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w:t>
      </w:r>
      <w:proofErr w:type="gramStart"/>
      <w:r w:rsidRPr="0081286B">
        <w:rPr>
          <w:b/>
          <w:sz w:val="36"/>
          <w:szCs w:val="36"/>
        </w:rPr>
        <w:t>银施罗德启欣</w:t>
      </w:r>
      <w:proofErr w:type="gramEnd"/>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4698C" w:rsidRDefault="00656DF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28</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银启欣</w:t>
            </w:r>
            <w:proofErr w:type="gramEnd"/>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010143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010143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5,701,316,781.26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在合理控制风险并保持基金资产良好流动性的前提下，充分发挥专业研究与管理能力，追求超越业绩比较基准的投资回报，力争实现基金资产的长期稳健增值。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w:t>
            </w:r>
            <w:r w:rsidRPr="00414345">
              <w:rPr>
                <w:color w:val="000000"/>
                <w:kern w:val="0"/>
                <w:sz w:val="24"/>
                <w:szCs w:val="24"/>
              </w:rPr>
              <w:lastRenderedPageBreak/>
              <w:t>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24698C" w:rsidRDefault="00656DF5">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56DF5" w:rsidRPr="00414345" w:rsidTr="00656DF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28</w:t>
            </w:r>
            <w:r w:rsidRPr="00414345">
              <w:rPr>
                <w:color w:val="000000"/>
                <w:sz w:val="24"/>
                <w:szCs w:val="24"/>
              </w:rPr>
              <w:t>日（基金合同生效日）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56DF5" w:rsidRPr="00414345" w:rsidTr="00656D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8,319,395.21</w:t>
            </w:r>
          </w:p>
        </w:tc>
      </w:tr>
      <w:tr w:rsidR="00656DF5" w:rsidRPr="00414345" w:rsidTr="00656D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160,305,964.90</w:t>
            </w:r>
          </w:p>
        </w:tc>
      </w:tr>
      <w:tr w:rsidR="00656DF5" w:rsidRPr="00414345" w:rsidTr="00656D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0.0281</w:t>
            </w:r>
          </w:p>
        </w:tc>
      </w:tr>
      <w:tr w:rsidR="00656DF5" w:rsidRPr="00414345" w:rsidTr="00656D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5,861,622,746.16</w:t>
            </w:r>
          </w:p>
        </w:tc>
      </w:tr>
      <w:tr w:rsidR="00656DF5" w:rsidRPr="00414345" w:rsidTr="00656DF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1.0281</w:t>
            </w:r>
          </w:p>
        </w:tc>
      </w:tr>
    </w:tbl>
    <w:p w:rsidR="0024698C" w:rsidRDefault="00656DF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 xml:space="preserve">、上述基金业绩指标不包括持有人认购或交易基金的各项费用，计入费用后的实际收益水平要低于所列数字；　</w:t>
      </w:r>
    </w:p>
    <w:p w:rsidR="0024698C" w:rsidRDefault="00656DF5">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、本基金合同生效日为</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28</w:t>
      </w:r>
      <w:r w:rsidRPr="00414345">
        <w:rPr>
          <w:color w:val="000000"/>
          <w:sz w:val="24"/>
          <w:szCs w:val="24"/>
        </w:rPr>
        <w:t>日，基金合同生效日至本报告期期末，本基金运作时间未满三个月。</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4698C">
        <w:trPr>
          <w:jc w:val="center"/>
        </w:trPr>
        <w:tc>
          <w:tcPr>
            <w:tcW w:w="1701" w:type="dxa"/>
            <w:vAlign w:val="center"/>
          </w:tcPr>
          <w:p w:rsidR="0024698C" w:rsidRDefault="00656DF5">
            <w:pPr>
              <w:jc w:val="left"/>
            </w:pPr>
            <w:r>
              <w:rPr>
                <w:color w:val="000000"/>
                <w:sz w:val="24"/>
                <w:szCs w:val="24"/>
              </w:rPr>
              <w:t>自基金合同生</w:t>
            </w:r>
            <w:r>
              <w:rPr>
                <w:color w:val="000000"/>
                <w:sz w:val="24"/>
                <w:szCs w:val="24"/>
              </w:rPr>
              <w:lastRenderedPageBreak/>
              <w:t>效起至今</w:t>
            </w:r>
          </w:p>
        </w:tc>
        <w:tc>
          <w:tcPr>
            <w:tcW w:w="1045" w:type="dxa"/>
            <w:vAlign w:val="center"/>
          </w:tcPr>
          <w:p w:rsidR="0024698C" w:rsidRDefault="00656DF5">
            <w:pPr>
              <w:jc w:val="center"/>
            </w:pPr>
            <w:r>
              <w:rPr>
                <w:color w:val="000000"/>
                <w:sz w:val="24"/>
                <w:szCs w:val="24"/>
              </w:rPr>
              <w:lastRenderedPageBreak/>
              <w:t>2.81%</w:t>
            </w:r>
          </w:p>
        </w:tc>
        <w:tc>
          <w:tcPr>
            <w:tcW w:w="1344" w:type="dxa"/>
            <w:vAlign w:val="center"/>
          </w:tcPr>
          <w:p w:rsidR="0024698C" w:rsidRDefault="00656DF5">
            <w:pPr>
              <w:jc w:val="center"/>
            </w:pPr>
            <w:r>
              <w:rPr>
                <w:color w:val="000000"/>
                <w:sz w:val="24"/>
                <w:szCs w:val="24"/>
              </w:rPr>
              <w:t>0.35%</w:t>
            </w:r>
          </w:p>
        </w:tc>
        <w:tc>
          <w:tcPr>
            <w:tcW w:w="1194" w:type="dxa"/>
            <w:vAlign w:val="center"/>
          </w:tcPr>
          <w:p w:rsidR="0024698C" w:rsidRDefault="00656DF5">
            <w:pPr>
              <w:jc w:val="center"/>
            </w:pPr>
            <w:r>
              <w:rPr>
                <w:color w:val="000000"/>
                <w:sz w:val="24"/>
                <w:szCs w:val="24"/>
              </w:rPr>
              <w:t>8.33%</w:t>
            </w:r>
          </w:p>
        </w:tc>
        <w:tc>
          <w:tcPr>
            <w:tcW w:w="1492" w:type="dxa"/>
            <w:vAlign w:val="center"/>
          </w:tcPr>
          <w:p w:rsidR="0024698C" w:rsidRDefault="00656DF5">
            <w:pPr>
              <w:jc w:val="center"/>
            </w:pPr>
            <w:r>
              <w:rPr>
                <w:color w:val="000000"/>
                <w:sz w:val="24"/>
                <w:szCs w:val="24"/>
              </w:rPr>
              <w:t>0.69%</w:t>
            </w:r>
          </w:p>
        </w:tc>
        <w:tc>
          <w:tcPr>
            <w:tcW w:w="1194" w:type="dxa"/>
            <w:vAlign w:val="center"/>
          </w:tcPr>
          <w:p w:rsidR="0024698C" w:rsidRDefault="00656DF5">
            <w:pPr>
              <w:jc w:val="center"/>
            </w:pPr>
            <w:r>
              <w:rPr>
                <w:color w:val="000000"/>
                <w:sz w:val="24"/>
                <w:szCs w:val="24"/>
              </w:rPr>
              <w:t>-5.52%</w:t>
            </w:r>
          </w:p>
        </w:tc>
        <w:tc>
          <w:tcPr>
            <w:tcW w:w="898" w:type="dxa"/>
            <w:vAlign w:val="center"/>
          </w:tcPr>
          <w:p w:rsidR="0024698C" w:rsidRDefault="00656DF5">
            <w:pPr>
              <w:jc w:val="center"/>
            </w:pPr>
            <w:r>
              <w:rPr>
                <w:color w:val="000000"/>
                <w:sz w:val="24"/>
                <w:szCs w:val="24"/>
              </w:rPr>
              <w:t>-0.34</w:t>
            </w:r>
            <w:r>
              <w:rPr>
                <w:color w:val="000000"/>
                <w:sz w:val="24"/>
                <w:szCs w:val="24"/>
              </w:rPr>
              <w:lastRenderedPageBreak/>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w:t>
      </w:r>
      <w:proofErr w:type="gramStart"/>
      <w:r w:rsidRPr="00414345">
        <w:rPr>
          <w:color w:val="000000"/>
          <w:sz w:val="24"/>
          <w:szCs w:val="24"/>
        </w:rPr>
        <w:t>银施罗德启欣</w:t>
      </w:r>
      <w:proofErr w:type="gramEnd"/>
      <w:r w:rsidRPr="00414345">
        <w:rPr>
          <w:color w:val="000000"/>
          <w:sz w:val="24"/>
          <w:szCs w:val="24"/>
        </w:rPr>
        <w:t>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4698C">
        <w:trPr>
          <w:jc w:val="center"/>
        </w:trPr>
        <w:tc>
          <w:tcPr>
            <w:tcW w:w="846" w:type="dxa"/>
            <w:vAlign w:val="center"/>
          </w:tcPr>
          <w:p w:rsidR="0024698C" w:rsidRDefault="00656DF5">
            <w:pPr>
              <w:jc w:val="center"/>
            </w:pPr>
            <w:r>
              <w:rPr>
                <w:color w:val="000000"/>
                <w:sz w:val="24"/>
                <w:szCs w:val="24"/>
              </w:rPr>
              <w:t>周中</w:t>
            </w:r>
          </w:p>
        </w:tc>
        <w:tc>
          <w:tcPr>
            <w:tcW w:w="845" w:type="dxa"/>
            <w:vAlign w:val="center"/>
          </w:tcPr>
          <w:p w:rsidR="0024698C" w:rsidRDefault="00656DF5">
            <w:pPr>
              <w:jc w:val="center"/>
            </w:pPr>
            <w:r>
              <w:rPr>
                <w:color w:val="000000"/>
                <w:sz w:val="24"/>
                <w:szCs w:val="24"/>
              </w:rPr>
              <w:t>交银环球精选混合</w:t>
            </w:r>
            <w:r>
              <w:rPr>
                <w:color w:val="000000"/>
                <w:sz w:val="24"/>
                <w:szCs w:val="24"/>
              </w:rPr>
              <w:t>(QDII</w:t>
            </w:r>
            <w:r>
              <w:rPr>
                <w:color w:val="000000"/>
                <w:sz w:val="24"/>
                <w:szCs w:val="24"/>
              </w:rPr>
              <w:lastRenderedPageBreak/>
              <w:t>)</w:t>
            </w:r>
            <w:r>
              <w:rPr>
                <w:color w:val="000000"/>
                <w:sz w:val="24"/>
                <w:szCs w:val="24"/>
              </w:rPr>
              <w:t>、交</w:t>
            </w:r>
            <w:proofErr w:type="gramStart"/>
            <w:r>
              <w:rPr>
                <w:color w:val="000000"/>
                <w:sz w:val="24"/>
                <w:szCs w:val="24"/>
              </w:rPr>
              <w:t>银创新</w:t>
            </w:r>
            <w:proofErr w:type="gramEnd"/>
            <w:r>
              <w:rPr>
                <w:color w:val="000000"/>
                <w:sz w:val="24"/>
                <w:szCs w:val="24"/>
              </w:rPr>
              <w:t>成长混合、交</w:t>
            </w:r>
            <w:proofErr w:type="gramStart"/>
            <w:r>
              <w:rPr>
                <w:color w:val="000000"/>
                <w:sz w:val="24"/>
                <w:szCs w:val="24"/>
              </w:rPr>
              <w:t>银启欣</w:t>
            </w:r>
            <w:proofErr w:type="gramEnd"/>
            <w:r>
              <w:rPr>
                <w:color w:val="000000"/>
                <w:sz w:val="24"/>
                <w:szCs w:val="24"/>
              </w:rPr>
              <w:t>混合的基金经理</w:t>
            </w:r>
          </w:p>
        </w:tc>
        <w:tc>
          <w:tcPr>
            <w:tcW w:w="1549" w:type="dxa"/>
            <w:vAlign w:val="center"/>
          </w:tcPr>
          <w:p w:rsidR="0024698C" w:rsidRDefault="00656DF5">
            <w:pPr>
              <w:jc w:val="center"/>
            </w:pPr>
            <w:r>
              <w:rPr>
                <w:color w:val="000000"/>
                <w:sz w:val="24"/>
                <w:szCs w:val="24"/>
              </w:rPr>
              <w:lastRenderedPageBreak/>
              <w:t>2020-10-28</w:t>
            </w:r>
          </w:p>
        </w:tc>
        <w:tc>
          <w:tcPr>
            <w:tcW w:w="1548" w:type="dxa"/>
            <w:vAlign w:val="center"/>
          </w:tcPr>
          <w:p w:rsidR="0024698C" w:rsidRDefault="00656DF5">
            <w:pPr>
              <w:jc w:val="center"/>
            </w:pPr>
            <w:r>
              <w:rPr>
                <w:color w:val="000000"/>
                <w:sz w:val="24"/>
                <w:szCs w:val="24"/>
              </w:rPr>
              <w:t>-</w:t>
            </w:r>
          </w:p>
        </w:tc>
        <w:tc>
          <w:tcPr>
            <w:tcW w:w="1407" w:type="dxa"/>
            <w:vAlign w:val="center"/>
          </w:tcPr>
          <w:p w:rsidR="0024698C" w:rsidRDefault="00656DF5">
            <w:pPr>
              <w:jc w:val="center"/>
            </w:pPr>
            <w:r>
              <w:rPr>
                <w:color w:val="000000"/>
                <w:sz w:val="24"/>
                <w:szCs w:val="24"/>
              </w:rPr>
              <w:t>11</w:t>
            </w:r>
            <w:r>
              <w:rPr>
                <w:color w:val="000000"/>
                <w:sz w:val="24"/>
                <w:szCs w:val="24"/>
              </w:rPr>
              <w:t>年</w:t>
            </w:r>
          </w:p>
        </w:tc>
        <w:tc>
          <w:tcPr>
            <w:tcW w:w="2673" w:type="dxa"/>
            <w:vAlign w:val="center"/>
          </w:tcPr>
          <w:p w:rsidR="0024698C" w:rsidRDefault="00656DF5">
            <w:r>
              <w:rPr>
                <w:color w:val="000000"/>
                <w:sz w:val="24"/>
                <w:szCs w:val="24"/>
              </w:rPr>
              <w:t>周中先生，中国国籍，复旦大学金融学硕士。历任野村证券亚太区股票研究部研究助理，中银国际证券研究部研究</w:t>
            </w:r>
            <w:r>
              <w:rPr>
                <w:color w:val="000000"/>
                <w:sz w:val="24"/>
                <w:szCs w:val="24"/>
              </w:rPr>
              <w:lastRenderedPageBreak/>
              <w:t>员、高级经理，瑞银证券研究</w:t>
            </w:r>
            <w:proofErr w:type="gramStart"/>
            <w:r>
              <w:rPr>
                <w:color w:val="000000"/>
                <w:sz w:val="24"/>
                <w:szCs w:val="24"/>
              </w:rPr>
              <w:t>部行业</w:t>
            </w:r>
            <w:proofErr w:type="gramEnd"/>
            <w:r>
              <w:rPr>
                <w:color w:val="000000"/>
                <w:sz w:val="24"/>
                <w:szCs w:val="24"/>
              </w:rPr>
              <w:t>分析师、董事。</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12</w:t>
            </w:r>
            <w:r>
              <w:rPr>
                <w:color w:val="000000"/>
                <w:sz w:val="24"/>
                <w:szCs w:val="24"/>
              </w:rPr>
              <w:t>月</w:t>
            </w:r>
            <w:r>
              <w:rPr>
                <w:color w:val="000000"/>
                <w:sz w:val="24"/>
                <w:szCs w:val="24"/>
              </w:rPr>
              <w:t>12</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4698C" w:rsidRDefault="00656DF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24698C" w:rsidRDefault="00656DF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24698C" w:rsidRDefault="00656DF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4698C" w:rsidRDefault="00656DF5">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年四季度，新冠疫情依然在部分国家和地区持续恶化，但是中国疫情始终控制比较良好，并且受益于全球流动性宽裕和海外需求强劲，中国整体经济复苏持续，相应的国内企业盈利也出现持续的恢复。</w:t>
      </w:r>
    </w:p>
    <w:p w:rsidR="0024698C" w:rsidRDefault="00656DF5">
      <w:pPr>
        <w:spacing w:before="29" w:line="288" w:lineRule="auto"/>
        <w:ind w:firstLineChars="200" w:firstLine="480"/>
        <w:rPr>
          <w:color w:val="000000"/>
          <w:sz w:val="24"/>
          <w:szCs w:val="24"/>
        </w:rPr>
      </w:pPr>
      <w:r>
        <w:rPr>
          <w:color w:val="000000"/>
          <w:sz w:val="24"/>
          <w:szCs w:val="24"/>
        </w:rPr>
        <w:t>本基金在四季度还处于建仓过程当中，重点配置于互联网、食品饮料、教育和制造业。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年一季度，我们认为经过了</w:t>
      </w:r>
      <w:r w:rsidRPr="00414345">
        <w:rPr>
          <w:color w:val="000000"/>
          <w:sz w:val="24"/>
          <w:szCs w:val="24"/>
        </w:rPr>
        <w:t>2020</w:t>
      </w:r>
      <w:r w:rsidRPr="00414345">
        <w:rPr>
          <w:color w:val="000000"/>
          <w:sz w:val="24"/>
          <w:szCs w:val="24"/>
        </w:rPr>
        <w:t>年的市场大幅上涨，部分行业和个股已经出现了一定的泡沫化的趋势，但是我们看到市场整体估值仍具有优势，大量的行业和个股还有待发掘。</w:t>
      </w:r>
      <w:r w:rsidRPr="00414345">
        <w:rPr>
          <w:color w:val="000000"/>
          <w:sz w:val="24"/>
          <w:szCs w:val="24"/>
        </w:rPr>
        <w:t>1</w:t>
      </w:r>
      <w:r w:rsidRPr="00414345">
        <w:rPr>
          <w:color w:val="000000"/>
          <w:sz w:val="24"/>
          <w:szCs w:val="24"/>
        </w:rPr>
        <w:t>）互联网平台反垄断短期会使得投资者情绪受到影响，但是长期来看会有利于行业中优质公司的长期健康发展。</w:t>
      </w:r>
      <w:r w:rsidRPr="00414345">
        <w:rPr>
          <w:color w:val="000000"/>
          <w:sz w:val="24"/>
          <w:szCs w:val="24"/>
        </w:rPr>
        <w:t>2</w:t>
      </w:r>
      <w:r w:rsidRPr="00414345">
        <w:rPr>
          <w:color w:val="000000"/>
          <w:sz w:val="24"/>
          <w:szCs w:val="24"/>
        </w:rPr>
        <w:t>）能源革命：新能源车和光伏为代表的新能源革命正在全球发生，由此带来的投资机会将是持续的；</w:t>
      </w:r>
      <w:r w:rsidRPr="00414345">
        <w:rPr>
          <w:color w:val="000000"/>
          <w:sz w:val="24"/>
          <w:szCs w:val="24"/>
        </w:rPr>
        <w:t>3</w:t>
      </w:r>
      <w:r w:rsidRPr="00414345">
        <w:rPr>
          <w:color w:val="000000"/>
          <w:sz w:val="24"/>
          <w:szCs w:val="24"/>
        </w:rPr>
        <w:t>）中国品牌出海：随着国内制造业竞争力的进一步增强和品牌设计运营能力进一步提升，中国商品在全球的竞争力在持续提高。我们将持续关注那些在疫情冲击之下核心竞争力较强、韧性优秀的上市公司，在目前的经济企稳回升过程中，这样的企业往往能够提供较好的超额回报。我们将积极寻找具有较好成长性的行业和优质的上市公司，在合适的价格买入，坚持自下而上精选个股的投资策略，力争为投资者创造较好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2,531,855,334.16</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42.59</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2,531,855,334.16</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42.59</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656DF5">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2,310,300,000.00</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38.86</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656DF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1,073,017,803.13</w:t>
            </w:r>
          </w:p>
        </w:tc>
        <w:tc>
          <w:tcPr>
            <w:tcW w:w="2943" w:type="dxa"/>
            <w:vAlign w:val="center"/>
          </w:tcPr>
          <w:p w:rsidR="00BF0019" w:rsidRPr="007B5F21" w:rsidRDefault="00BF0019" w:rsidP="00656DF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18.05</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656DF5">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656DF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29,588,073.56</w:t>
            </w:r>
          </w:p>
        </w:tc>
        <w:tc>
          <w:tcPr>
            <w:tcW w:w="2943" w:type="dxa"/>
            <w:vAlign w:val="center"/>
          </w:tcPr>
          <w:p w:rsidR="00BF0019" w:rsidRPr="007B5F21" w:rsidRDefault="00BF0019" w:rsidP="00656DF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0.50</w:t>
            </w:r>
          </w:p>
        </w:tc>
      </w:tr>
      <w:tr w:rsidR="00BF0019" w:rsidRPr="007B5F21" w:rsidTr="00487A40">
        <w:tc>
          <w:tcPr>
            <w:tcW w:w="720" w:type="dxa"/>
            <w:vAlign w:val="center"/>
          </w:tcPr>
          <w:p w:rsidR="00BF0019" w:rsidRPr="007B5F21" w:rsidRDefault="00BF0019" w:rsidP="00656DF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656DF5">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656DF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5,944,761,210.85</w:t>
            </w:r>
          </w:p>
        </w:tc>
        <w:tc>
          <w:tcPr>
            <w:tcW w:w="2943" w:type="dxa"/>
            <w:vAlign w:val="center"/>
          </w:tcPr>
          <w:p w:rsidR="00BF0019" w:rsidRPr="007B5F21" w:rsidRDefault="00BF0019" w:rsidP="00656DF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105169" w:rsidRPr="008A55CC" w:rsidRDefault="00105169" w:rsidP="00105169">
      <w:pPr>
        <w:autoSpaceDE w:val="0"/>
        <w:autoSpaceDN w:val="0"/>
        <w:spacing w:line="360" w:lineRule="auto"/>
        <w:jc w:val="left"/>
      </w:pPr>
      <w:r w:rsidRPr="008A55CC">
        <w:rPr>
          <w:color w:val="000000"/>
          <w:sz w:val="24"/>
          <w:szCs w:val="24"/>
        </w:rPr>
        <w:t>注：本基金本报告期末通过港股</w:t>
      </w:r>
      <w:proofErr w:type="gramStart"/>
      <w:r w:rsidRPr="008A55CC">
        <w:rPr>
          <w:color w:val="000000"/>
          <w:sz w:val="24"/>
          <w:szCs w:val="24"/>
        </w:rPr>
        <w:t>通机制</w:t>
      </w:r>
      <w:proofErr w:type="gramEnd"/>
      <w:r w:rsidRPr="008A55CC">
        <w:rPr>
          <w:color w:val="000000"/>
          <w:sz w:val="24"/>
          <w:szCs w:val="24"/>
        </w:rPr>
        <w:t>投资香港股票的公允价值为</w:t>
      </w:r>
      <w:r w:rsidRPr="008A55CC">
        <w:rPr>
          <w:color w:val="000000"/>
          <w:sz w:val="24"/>
          <w:szCs w:val="24"/>
        </w:rPr>
        <w:t>652,487,301.48</w:t>
      </w:r>
      <w:r w:rsidRPr="008A55CC">
        <w:rPr>
          <w:color w:val="000000"/>
          <w:sz w:val="24"/>
          <w:szCs w:val="24"/>
        </w:rPr>
        <w:t>元，占基金资产净值比例为</w:t>
      </w:r>
      <w:r w:rsidRPr="008A55CC">
        <w:rPr>
          <w:color w:val="000000"/>
          <w:sz w:val="24"/>
          <w:szCs w:val="24"/>
        </w:rPr>
        <w:t>11.13%</w:t>
      </w:r>
      <w:r w:rsidRPr="008A55CC">
        <w:rPr>
          <w:color w:val="000000"/>
          <w:sz w:val="24"/>
          <w:szCs w:val="24"/>
        </w:rPr>
        <w:t>。</w:t>
      </w:r>
    </w:p>
    <w:p w:rsidR="004061AC" w:rsidRPr="00105169"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1,306,762,511.14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98,249,601.73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135,623,822.00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57,408,975.14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67,997,987.31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213,325,135.36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1,879,368,032.68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32.06</w:t>
            </w:r>
          </w:p>
        </w:tc>
      </w:tr>
    </w:tbl>
    <w:p w:rsidR="00D56457" w:rsidRDefault="00D5645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656DF5">
        <w:trPr>
          <w:jc w:val="center"/>
        </w:trPr>
        <w:tc>
          <w:tcPr>
            <w:tcW w:w="2397" w:type="dxa"/>
            <w:vAlign w:val="center"/>
          </w:tcPr>
          <w:p w:rsidR="00F51C4E" w:rsidRPr="00FF0BBF" w:rsidRDefault="00F51C4E" w:rsidP="00656DF5">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656DF5">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656DF5">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24698C">
        <w:trPr>
          <w:jc w:val="center"/>
        </w:trPr>
        <w:tc>
          <w:tcPr>
            <w:tcW w:w="2397" w:type="dxa"/>
            <w:vAlign w:val="center"/>
          </w:tcPr>
          <w:p w:rsidR="0024698C" w:rsidRDefault="00656DF5" w:rsidP="00AF2ED9">
            <w:pPr>
              <w:jc w:val="left"/>
            </w:pPr>
            <w:r>
              <w:rPr>
                <w:color w:val="000000"/>
                <w:sz w:val="24"/>
              </w:rPr>
              <w:t>房地产</w:t>
            </w:r>
          </w:p>
        </w:tc>
        <w:tc>
          <w:tcPr>
            <w:tcW w:w="3119" w:type="dxa"/>
            <w:vAlign w:val="center"/>
          </w:tcPr>
          <w:p w:rsidR="0024698C" w:rsidRDefault="00656DF5" w:rsidP="00AF2ED9">
            <w:pPr>
              <w:jc w:val="right"/>
            </w:pPr>
            <w:r>
              <w:rPr>
                <w:color w:val="000000"/>
                <w:sz w:val="24"/>
              </w:rPr>
              <w:t>16,588,724.40</w:t>
            </w:r>
          </w:p>
        </w:tc>
        <w:tc>
          <w:tcPr>
            <w:tcW w:w="3118" w:type="dxa"/>
            <w:vAlign w:val="center"/>
          </w:tcPr>
          <w:p w:rsidR="0024698C" w:rsidRDefault="00656DF5" w:rsidP="00AF2ED9">
            <w:pPr>
              <w:jc w:val="right"/>
            </w:pPr>
            <w:r>
              <w:rPr>
                <w:color w:val="000000"/>
                <w:sz w:val="24"/>
              </w:rPr>
              <w:t>0.28</w:t>
            </w:r>
          </w:p>
        </w:tc>
      </w:tr>
      <w:tr w:rsidR="0024698C">
        <w:trPr>
          <w:jc w:val="center"/>
        </w:trPr>
        <w:tc>
          <w:tcPr>
            <w:tcW w:w="2397" w:type="dxa"/>
            <w:vAlign w:val="center"/>
          </w:tcPr>
          <w:p w:rsidR="0024698C" w:rsidRDefault="00656DF5" w:rsidP="00AF2ED9">
            <w:pPr>
              <w:jc w:val="left"/>
            </w:pPr>
            <w:r>
              <w:rPr>
                <w:color w:val="000000"/>
                <w:sz w:val="24"/>
              </w:rPr>
              <w:t>非日常生活消费品</w:t>
            </w:r>
          </w:p>
        </w:tc>
        <w:tc>
          <w:tcPr>
            <w:tcW w:w="3119" w:type="dxa"/>
            <w:vAlign w:val="center"/>
          </w:tcPr>
          <w:p w:rsidR="0024698C" w:rsidRDefault="00656DF5" w:rsidP="00AF2ED9">
            <w:pPr>
              <w:jc w:val="right"/>
            </w:pPr>
            <w:r>
              <w:rPr>
                <w:color w:val="000000"/>
                <w:sz w:val="24"/>
              </w:rPr>
              <w:t>175,212,615.20</w:t>
            </w:r>
          </w:p>
        </w:tc>
        <w:tc>
          <w:tcPr>
            <w:tcW w:w="3118" w:type="dxa"/>
            <w:vAlign w:val="center"/>
          </w:tcPr>
          <w:p w:rsidR="0024698C" w:rsidRDefault="00656DF5" w:rsidP="00AF2ED9">
            <w:pPr>
              <w:jc w:val="right"/>
            </w:pPr>
            <w:r>
              <w:rPr>
                <w:color w:val="000000"/>
                <w:sz w:val="24"/>
              </w:rPr>
              <w:t>2.99</w:t>
            </w:r>
          </w:p>
        </w:tc>
      </w:tr>
      <w:tr w:rsidR="0024698C">
        <w:trPr>
          <w:jc w:val="center"/>
        </w:trPr>
        <w:tc>
          <w:tcPr>
            <w:tcW w:w="2397" w:type="dxa"/>
            <w:vAlign w:val="center"/>
          </w:tcPr>
          <w:p w:rsidR="0024698C" w:rsidRDefault="00656DF5" w:rsidP="00AF2ED9">
            <w:pPr>
              <w:jc w:val="left"/>
            </w:pPr>
            <w:r>
              <w:rPr>
                <w:color w:val="000000"/>
                <w:sz w:val="24"/>
              </w:rPr>
              <w:t>工业</w:t>
            </w:r>
          </w:p>
        </w:tc>
        <w:tc>
          <w:tcPr>
            <w:tcW w:w="3119" w:type="dxa"/>
            <w:vAlign w:val="center"/>
          </w:tcPr>
          <w:p w:rsidR="0024698C" w:rsidRDefault="00656DF5" w:rsidP="00AF2ED9">
            <w:pPr>
              <w:jc w:val="right"/>
            </w:pPr>
            <w:r>
              <w:rPr>
                <w:color w:val="000000"/>
                <w:sz w:val="24"/>
              </w:rPr>
              <w:t>20,300,356.80</w:t>
            </w:r>
          </w:p>
        </w:tc>
        <w:tc>
          <w:tcPr>
            <w:tcW w:w="3118" w:type="dxa"/>
            <w:vAlign w:val="center"/>
          </w:tcPr>
          <w:p w:rsidR="0024698C" w:rsidRDefault="00656DF5" w:rsidP="00AF2ED9">
            <w:pPr>
              <w:jc w:val="right"/>
            </w:pPr>
            <w:r>
              <w:rPr>
                <w:color w:val="000000"/>
                <w:sz w:val="24"/>
              </w:rPr>
              <w:t>0.35</w:t>
            </w:r>
          </w:p>
        </w:tc>
      </w:tr>
      <w:tr w:rsidR="0024698C">
        <w:trPr>
          <w:jc w:val="center"/>
        </w:trPr>
        <w:tc>
          <w:tcPr>
            <w:tcW w:w="2397" w:type="dxa"/>
            <w:vAlign w:val="center"/>
          </w:tcPr>
          <w:p w:rsidR="0024698C" w:rsidRDefault="00656DF5" w:rsidP="00AF2ED9">
            <w:pPr>
              <w:jc w:val="left"/>
            </w:pPr>
            <w:r>
              <w:rPr>
                <w:color w:val="000000"/>
                <w:sz w:val="24"/>
              </w:rPr>
              <w:t>金融</w:t>
            </w:r>
          </w:p>
        </w:tc>
        <w:tc>
          <w:tcPr>
            <w:tcW w:w="3119" w:type="dxa"/>
            <w:vAlign w:val="center"/>
          </w:tcPr>
          <w:p w:rsidR="0024698C" w:rsidRDefault="00656DF5" w:rsidP="00AF2ED9">
            <w:pPr>
              <w:jc w:val="right"/>
            </w:pPr>
            <w:r>
              <w:rPr>
                <w:color w:val="000000"/>
                <w:sz w:val="24"/>
              </w:rPr>
              <w:t>113,141,665.20</w:t>
            </w:r>
          </w:p>
        </w:tc>
        <w:tc>
          <w:tcPr>
            <w:tcW w:w="3118" w:type="dxa"/>
            <w:vAlign w:val="center"/>
          </w:tcPr>
          <w:p w:rsidR="0024698C" w:rsidRDefault="00656DF5" w:rsidP="00AF2ED9">
            <w:pPr>
              <w:jc w:val="right"/>
            </w:pPr>
            <w:r>
              <w:rPr>
                <w:color w:val="000000"/>
                <w:sz w:val="24"/>
              </w:rPr>
              <w:t>1.93</w:t>
            </w:r>
          </w:p>
        </w:tc>
      </w:tr>
      <w:tr w:rsidR="0024698C">
        <w:trPr>
          <w:jc w:val="center"/>
        </w:trPr>
        <w:tc>
          <w:tcPr>
            <w:tcW w:w="2397" w:type="dxa"/>
            <w:vAlign w:val="center"/>
          </w:tcPr>
          <w:p w:rsidR="0024698C" w:rsidRDefault="00656DF5" w:rsidP="00AF2ED9">
            <w:pPr>
              <w:jc w:val="left"/>
            </w:pPr>
            <w:r>
              <w:rPr>
                <w:color w:val="000000"/>
                <w:sz w:val="24"/>
              </w:rPr>
              <w:t>日常消费品</w:t>
            </w:r>
          </w:p>
        </w:tc>
        <w:tc>
          <w:tcPr>
            <w:tcW w:w="3119" w:type="dxa"/>
            <w:vAlign w:val="center"/>
          </w:tcPr>
          <w:p w:rsidR="0024698C" w:rsidRDefault="00656DF5" w:rsidP="00AF2ED9">
            <w:pPr>
              <w:jc w:val="right"/>
            </w:pPr>
            <w:r>
              <w:rPr>
                <w:color w:val="000000"/>
                <w:sz w:val="24"/>
              </w:rPr>
              <w:t>18,341,018.88</w:t>
            </w:r>
          </w:p>
        </w:tc>
        <w:tc>
          <w:tcPr>
            <w:tcW w:w="3118" w:type="dxa"/>
            <w:vAlign w:val="center"/>
          </w:tcPr>
          <w:p w:rsidR="0024698C" w:rsidRDefault="00656DF5" w:rsidP="00AF2ED9">
            <w:pPr>
              <w:jc w:val="right"/>
            </w:pPr>
            <w:r>
              <w:rPr>
                <w:color w:val="000000"/>
                <w:sz w:val="24"/>
              </w:rPr>
              <w:t>0.31</w:t>
            </w:r>
          </w:p>
        </w:tc>
      </w:tr>
      <w:tr w:rsidR="0024698C">
        <w:trPr>
          <w:jc w:val="center"/>
        </w:trPr>
        <w:tc>
          <w:tcPr>
            <w:tcW w:w="2397" w:type="dxa"/>
            <w:vAlign w:val="center"/>
          </w:tcPr>
          <w:p w:rsidR="0024698C" w:rsidRDefault="00656DF5" w:rsidP="00AF2ED9">
            <w:pPr>
              <w:jc w:val="left"/>
            </w:pPr>
            <w:r>
              <w:rPr>
                <w:color w:val="000000"/>
                <w:sz w:val="24"/>
              </w:rPr>
              <w:t>通讯服务</w:t>
            </w:r>
          </w:p>
        </w:tc>
        <w:tc>
          <w:tcPr>
            <w:tcW w:w="3119" w:type="dxa"/>
            <w:vAlign w:val="center"/>
          </w:tcPr>
          <w:p w:rsidR="0024698C" w:rsidRDefault="00656DF5" w:rsidP="00AF2ED9">
            <w:pPr>
              <w:jc w:val="right"/>
            </w:pPr>
            <w:r>
              <w:rPr>
                <w:color w:val="000000"/>
                <w:sz w:val="24"/>
              </w:rPr>
              <w:t>132,911,788.80</w:t>
            </w:r>
          </w:p>
        </w:tc>
        <w:tc>
          <w:tcPr>
            <w:tcW w:w="3118" w:type="dxa"/>
            <w:vAlign w:val="center"/>
          </w:tcPr>
          <w:p w:rsidR="0024698C" w:rsidRDefault="00656DF5" w:rsidP="00AF2ED9">
            <w:pPr>
              <w:jc w:val="right"/>
            </w:pPr>
            <w:r>
              <w:rPr>
                <w:color w:val="000000"/>
                <w:sz w:val="24"/>
              </w:rPr>
              <w:t>2.27</w:t>
            </w:r>
          </w:p>
        </w:tc>
      </w:tr>
      <w:tr w:rsidR="0024698C">
        <w:trPr>
          <w:jc w:val="center"/>
        </w:trPr>
        <w:tc>
          <w:tcPr>
            <w:tcW w:w="2397" w:type="dxa"/>
            <w:vAlign w:val="center"/>
          </w:tcPr>
          <w:p w:rsidR="0024698C" w:rsidRDefault="00656DF5" w:rsidP="00AF2ED9">
            <w:pPr>
              <w:jc w:val="left"/>
            </w:pPr>
            <w:r>
              <w:rPr>
                <w:color w:val="000000"/>
                <w:sz w:val="24"/>
              </w:rPr>
              <w:t>信息技术</w:t>
            </w:r>
          </w:p>
        </w:tc>
        <w:tc>
          <w:tcPr>
            <w:tcW w:w="3119" w:type="dxa"/>
            <w:vAlign w:val="center"/>
          </w:tcPr>
          <w:p w:rsidR="0024698C" w:rsidRDefault="00656DF5" w:rsidP="00AF2ED9">
            <w:pPr>
              <w:jc w:val="right"/>
            </w:pPr>
            <w:r>
              <w:rPr>
                <w:color w:val="000000"/>
                <w:sz w:val="24"/>
              </w:rPr>
              <w:t>155,825,437.80</w:t>
            </w:r>
          </w:p>
        </w:tc>
        <w:tc>
          <w:tcPr>
            <w:tcW w:w="3118" w:type="dxa"/>
            <w:vAlign w:val="center"/>
          </w:tcPr>
          <w:p w:rsidR="0024698C" w:rsidRDefault="00656DF5" w:rsidP="00AF2ED9">
            <w:pPr>
              <w:jc w:val="right"/>
            </w:pPr>
            <w:r>
              <w:rPr>
                <w:color w:val="000000"/>
                <w:sz w:val="24"/>
              </w:rPr>
              <w:t>2.66</w:t>
            </w:r>
          </w:p>
        </w:tc>
      </w:tr>
      <w:tr w:rsidR="0024698C">
        <w:trPr>
          <w:jc w:val="center"/>
        </w:trPr>
        <w:tc>
          <w:tcPr>
            <w:tcW w:w="2397" w:type="dxa"/>
            <w:vAlign w:val="center"/>
          </w:tcPr>
          <w:p w:rsidR="0024698C" w:rsidRDefault="00656DF5" w:rsidP="00AF2ED9">
            <w:pPr>
              <w:jc w:val="left"/>
            </w:pPr>
            <w:r>
              <w:rPr>
                <w:color w:val="000000"/>
                <w:sz w:val="24"/>
              </w:rPr>
              <w:t>原材料</w:t>
            </w:r>
          </w:p>
        </w:tc>
        <w:tc>
          <w:tcPr>
            <w:tcW w:w="3119" w:type="dxa"/>
            <w:vAlign w:val="center"/>
          </w:tcPr>
          <w:p w:rsidR="0024698C" w:rsidRDefault="00656DF5" w:rsidP="00AF2ED9">
            <w:pPr>
              <w:jc w:val="right"/>
            </w:pPr>
            <w:r>
              <w:rPr>
                <w:color w:val="000000"/>
                <w:sz w:val="24"/>
              </w:rPr>
              <w:t>20,165,694.40</w:t>
            </w:r>
          </w:p>
        </w:tc>
        <w:tc>
          <w:tcPr>
            <w:tcW w:w="3118" w:type="dxa"/>
            <w:vAlign w:val="center"/>
          </w:tcPr>
          <w:p w:rsidR="0024698C" w:rsidRDefault="00656DF5" w:rsidP="00AF2ED9">
            <w:pPr>
              <w:jc w:val="right"/>
            </w:pPr>
            <w:r>
              <w:rPr>
                <w:color w:val="000000"/>
                <w:sz w:val="24"/>
              </w:rPr>
              <w:t>0.34</w:t>
            </w:r>
          </w:p>
        </w:tc>
      </w:tr>
      <w:tr w:rsidR="00F51C4E" w:rsidRPr="00FF0BBF" w:rsidTr="00656DF5">
        <w:trPr>
          <w:jc w:val="center"/>
        </w:trPr>
        <w:tc>
          <w:tcPr>
            <w:tcW w:w="2397" w:type="dxa"/>
            <w:vAlign w:val="center"/>
          </w:tcPr>
          <w:p w:rsidR="00F51C4E" w:rsidRPr="00FF0BBF" w:rsidRDefault="00F51C4E" w:rsidP="00AF2ED9">
            <w:pPr>
              <w:spacing w:before="29" w:line="360" w:lineRule="auto"/>
              <w:ind w:left="17"/>
              <w:jc w:val="left"/>
              <w:rPr>
                <w:color w:val="000000"/>
                <w:sz w:val="24"/>
              </w:rPr>
            </w:pPr>
            <w:r w:rsidRPr="00FF0BBF">
              <w:rPr>
                <w:rFonts w:hint="eastAsia"/>
                <w:color w:val="000000"/>
                <w:sz w:val="24"/>
              </w:rPr>
              <w:t>合计</w:t>
            </w:r>
          </w:p>
        </w:tc>
        <w:tc>
          <w:tcPr>
            <w:tcW w:w="3119" w:type="dxa"/>
            <w:vAlign w:val="center"/>
          </w:tcPr>
          <w:p w:rsidR="00F51C4E" w:rsidRPr="00FF0BBF" w:rsidRDefault="00F51C4E" w:rsidP="00AF2ED9">
            <w:pPr>
              <w:spacing w:before="29" w:line="360" w:lineRule="auto"/>
              <w:ind w:left="17"/>
              <w:jc w:val="right"/>
              <w:rPr>
                <w:color w:val="000000"/>
                <w:sz w:val="24"/>
              </w:rPr>
            </w:pPr>
            <w:r w:rsidRPr="00FF0BBF">
              <w:rPr>
                <w:rFonts w:hint="eastAsia"/>
                <w:color w:val="000000"/>
                <w:sz w:val="24"/>
              </w:rPr>
              <w:t>652,487,301.48</w:t>
            </w:r>
          </w:p>
        </w:tc>
        <w:tc>
          <w:tcPr>
            <w:tcW w:w="3118" w:type="dxa"/>
            <w:vAlign w:val="center"/>
          </w:tcPr>
          <w:p w:rsidR="00F51C4E" w:rsidRPr="00FF0BBF" w:rsidRDefault="00F51C4E" w:rsidP="00AF2ED9">
            <w:pPr>
              <w:spacing w:before="29" w:line="360" w:lineRule="auto"/>
              <w:ind w:left="17"/>
              <w:jc w:val="right"/>
              <w:rPr>
                <w:color w:val="000000"/>
                <w:sz w:val="24"/>
              </w:rPr>
            </w:pPr>
            <w:r w:rsidRPr="00FF0BBF">
              <w:rPr>
                <w:rFonts w:hint="eastAsia"/>
                <w:color w:val="000000"/>
                <w:sz w:val="24"/>
              </w:rPr>
              <w:t>11.13</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4698C">
        <w:trPr>
          <w:jc w:val="center"/>
        </w:trPr>
        <w:tc>
          <w:tcPr>
            <w:tcW w:w="855" w:type="dxa"/>
            <w:vAlign w:val="center"/>
          </w:tcPr>
          <w:p w:rsidR="0024698C" w:rsidRDefault="00656DF5">
            <w:pPr>
              <w:jc w:val="center"/>
            </w:pPr>
            <w:r>
              <w:rPr>
                <w:color w:val="000000"/>
                <w:sz w:val="24"/>
                <w:szCs w:val="24"/>
              </w:rPr>
              <w:t>1</w:t>
            </w:r>
          </w:p>
        </w:tc>
        <w:tc>
          <w:tcPr>
            <w:tcW w:w="1334" w:type="dxa"/>
            <w:vAlign w:val="center"/>
          </w:tcPr>
          <w:p w:rsidR="0024698C" w:rsidRDefault="00656DF5">
            <w:pPr>
              <w:jc w:val="center"/>
            </w:pPr>
            <w:r>
              <w:rPr>
                <w:color w:val="000000"/>
                <w:sz w:val="24"/>
                <w:szCs w:val="24"/>
              </w:rPr>
              <w:t>600519</w:t>
            </w:r>
          </w:p>
        </w:tc>
        <w:tc>
          <w:tcPr>
            <w:tcW w:w="1777" w:type="dxa"/>
            <w:vAlign w:val="center"/>
          </w:tcPr>
          <w:p w:rsidR="0024698C" w:rsidRDefault="00656DF5">
            <w:pPr>
              <w:jc w:val="center"/>
            </w:pPr>
            <w:r>
              <w:rPr>
                <w:color w:val="000000"/>
                <w:sz w:val="24"/>
                <w:szCs w:val="24"/>
              </w:rPr>
              <w:t>贵州茅台</w:t>
            </w:r>
          </w:p>
        </w:tc>
        <w:tc>
          <w:tcPr>
            <w:tcW w:w="1334" w:type="dxa"/>
            <w:vAlign w:val="center"/>
          </w:tcPr>
          <w:p w:rsidR="0024698C" w:rsidRDefault="00656DF5">
            <w:pPr>
              <w:jc w:val="right"/>
            </w:pPr>
            <w:r>
              <w:rPr>
                <w:color w:val="000000"/>
                <w:sz w:val="24"/>
                <w:szCs w:val="24"/>
              </w:rPr>
              <w:t>91,859</w:t>
            </w:r>
          </w:p>
        </w:tc>
        <w:tc>
          <w:tcPr>
            <w:tcW w:w="1924" w:type="dxa"/>
            <w:vAlign w:val="center"/>
          </w:tcPr>
          <w:p w:rsidR="0024698C" w:rsidRDefault="00656DF5">
            <w:pPr>
              <w:jc w:val="right"/>
            </w:pPr>
            <w:r>
              <w:rPr>
                <w:color w:val="000000"/>
                <w:sz w:val="24"/>
                <w:szCs w:val="24"/>
              </w:rPr>
              <w:t>183,534,282.00</w:t>
            </w:r>
          </w:p>
        </w:tc>
        <w:tc>
          <w:tcPr>
            <w:tcW w:w="1644" w:type="dxa"/>
            <w:vAlign w:val="center"/>
          </w:tcPr>
          <w:p w:rsidR="0024698C" w:rsidRDefault="00656DF5">
            <w:pPr>
              <w:jc w:val="right"/>
            </w:pPr>
            <w:r>
              <w:rPr>
                <w:color w:val="000000"/>
                <w:sz w:val="24"/>
                <w:szCs w:val="24"/>
              </w:rPr>
              <w:t>3.13</w:t>
            </w:r>
          </w:p>
        </w:tc>
      </w:tr>
      <w:tr w:rsidR="0024698C">
        <w:trPr>
          <w:jc w:val="center"/>
        </w:trPr>
        <w:tc>
          <w:tcPr>
            <w:tcW w:w="855" w:type="dxa"/>
            <w:vAlign w:val="center"/>
          </w:tcPr>
          <w:p w:rsidR="0024698C" w:rsidRDefault="00656DF5">
            <w:pPr>
              <w:jc w:val="center"/>
            </w:pPr>
            <w:r>
              <w:rPr>
                <w:color w:val="000000"/>
                <w:sz w:val="24"/>
                <w:szCs w:val="24"/>
              </w:rPr>
              <w:t>2</w:t>
            </w:r>
          </w:p>
        </w:tc>
        <w:tc>
          <w:tcPr>
            <w:tcW w:w="1334" w:type="dxa"/>
            <w:vAlign w:val="center"/>
          </w:tcPr>
          <w:p w:rsidR="0024698C" w:rsidRDefault="00656DF5">
            <w:pPr>
              <w:jc w:val="center"/>
            </w:pPr>
            <w:r>
              <w:rPr>
                <w:color w:val="000000"/>
                <w:sz w:val="24"/>
                <w:szCs w:val="24"/>
              </w:rPr>
              <w:t>002304</w:t>
            </w:r>
          </w:p>
        </w:tc>
        <w:tc>
          <w:tcPr>
            <w:tcW w:w="1777" w:type="dxa"/>
            <w:vAlign w:val="center"/>
          </w:tcPr>
          <w:p w:rsidR="0024698C" w:rsidRDefault="00656DF5">
            <w:pPr>
              <w:jc w:val="center"/>
            </w:pPr>
            <w:r>
              <w:rPr>
                <w:color w:val="000000"/>
                <w:sz w:val="24"/>
                <w:szCs w:val="24"/>
              </w:rPr>
              <w:t>洋河股份</w:t>
            </w:r>
          </w:p>
        </w:tc>
        <w:tc>
          <w:tcPr>
            <w:tcW w:w="1334" w:type="dxa"/>
            <w:vAlign w:val="center"/>
          </w:tcPr>
          <w:p w:rsidR="0024698C" w:rsidRDefault="00656DF5">
            <w:pPr>
              <w:jc w:val="right"/>
            </w:pPr>
            <w:r>
              <w:rPr>
                <w:color w:val="000000"/>
                <w:sz w:val="24"/>
                <w:szCs w:val="24"/>
              </w:rPr>
              <w:t>700,000</w:t>
            </w:r>
          </w:p>
        </w:tc>
        <w:tc>
          <w:tcPr>
            <w:tcW w:w="1924" w:type="dxa"/>
            <w:vAlign w:val="center"/>
          </w:tcPr>
          <w:p w:rsidR="0024698C" w:rsidRDefault="00656DF5">
            <w:pPr>
              <w:jc w:val="right"/>
            </w:pPr>
            <w:r>
              <w:rPr>
                <w:color w:val="000000"/>
                <w:sz w:val="24"/>
                <w:szCs w:val="24"/>
              </w:rPr>
              <w:t>165,193,000.00</w:t>
            </w:r>
          </w:p>
        </w:tc>
        <w:tc>
          <w:tcPr>
            <w:tcW w:w="1644" w:type="dxa"/>
            <w:vAlign w:val="center"/>
          </w:tcPr>
          <w:p w:rsidR="0024698C" w:rsidRDefault="00656DF5">
            <w:pPr>
              <w:jc w:val="right"/>
            </w:pPr>
            <w:r>
              <w:rPr>
                <w:color w:val="000000"/>
                <w:sz w:val="24"/>
                <w:szCs w:val="24"/>
              </w:rPr>
              <w:t>2.82</w:t>
            </w:r>
          </w:p>
        </w:tc>
      </w:tr>
      <w:tr w:rsidR="0024698C">
        <w:trPr>
          <w:jc w:val="center"/>
        </w:trPr>
        <w:tc>
          <w:tcPr>
            <w:tcW w:w="855" w:type="dxa"/>
            <w:vAlign w:val="center"/>
          </w:tcPr>
          <w:p w:rsidR="0024698C" w:rsidRDefault="00656DF5">
            <w:pPr>
              <w:jc w:val="center"/>
            </w:pPr>
            <w:r>
              <w:rPr>
                <w:color w:val="000000"/>
                <w:sz w:val="24"/>
                <w:szCs w:val="24"/>
              </w:rPr>
              <w:t>3</w:t>
            </w:r>
          </w:p>
        </w:tc>
        <w:tc>
          <w:tcPr>
            <w:tcW w:w="1334" w:type="dxa"/>
            <w:vAlign w:val="center"/>
          </w:tcPr>
          <w:p w:rsidR="0024698C" w:rsidRDefault="00656DF5">
            <w:pPr>
              <w:jc w:val="center"/>
            </w:pPr>
            <w:r>
              <w:rPr>
                <w:color w:val="000000"/>
                <w:sz w:val="24"/>
                <w:szCs w:val="24"/>
              </w:rPr>
              <w:t>000651</w:t>
            </w:r>
          </w:p>
        </w:tc>
        <w:tc>
          <w:tcPr>
            <w:tcW w:w="1777" w:type="dxa"/>
            <w:vAlign w:val="center"/>
          </w:tcPr>
          <w:p w:rsidR="0024698C" w:rsidRDefault="00656DF5">
            <w:pPr>
              <w:jc w:val="center"/>
            </w:pPr>
            <w:r>
              <w:rPr>
                <w:color w:val="000000"/>
                <w:sz w:val="24"/>
                <w:szCs w:val="24"/>
              </w:rPr>
              <w:t>格力电器</w:t>
            </w:r>
          </w:p>
        </w:tc>
        <w:tc>
          <w:tcPr>
            <w:tcW w:w="1334" w:type="dxa"/>
            <w:vAlign w:val="center"/>
          </w:tcPr>
          <w:p w:rsidR="0024698C" w:rsidRDefault="00656DF5">
            <w:pPr>
              <w:jc w:val="right"/>
            </w:pPr>
            <w:r>
              <w:rPr>
                <w:color w:val="000000"/>
                <w:sz w:val="24"/>
                <w:szCs w:val="24"/>
              </w:rPr>
              <w:t>2,199,884</w:t>
            </w:r>
          </w:p>
        </w:tc>
        <w:tc>
          <w:tcPr>
            <w:tcW w:w="1924" w:type="dxa"/>
            <w:vAlign w:val="center"/>
          </w:tcPr>
          <w:p w:rsidR="0024698C" w:rsidRDefault="00656DF5">
            <w:pPr>
              <w:jc w:val="right"/>
            </w:pPr>
            <w:r>
              <w:rPr>
                <w:color w:val="000000"/>
                <w:sz w:val="24"/>
                <w:szCs w:val="24"/>
              </w:rPr>
              <w:t>136,260,814.96</w:t>
            </w:r>
          </w:p>
        </w:tc>
        <w:tc>
          <w:tcPr>
            <w:tcW w:w="1644" w:type="dxa"/>
            <w:vAlign w:val="center"/>
          </w:tcPr>
          <w:p w:rsidR="0024698C" w:rsidRDefault="00656DF5">
            <w:pPr>
              <w:jc w:val="right"/>
            </w:pPr>
            <w:r>
              <w:rPr>
                <w:color w:val="000000"/>
                <w:sz w:val="24"/>
                <w:szCs w:val="24"/>
              </w:rPr>
              <w:t>2.32</w:t>
            </w:r>
          </w:p>
        </w:tc>
      </w:tr>
      <w:tr w:rsidR="0024698C">
        <w:trPr>
          <w:jc w:val="center"/>
        </w:trPr>
        <w:tc>
          <w:tcPr>
            <w:tcW w:w="855" w:type="dxa"/>
            <w:vAlign w:val="center"/>
          </w:tcPr>
          <w:p w:rsidR="0024698C" w:rsidRDefault="00656DF5">
            <w:pPr>
              <w:jc w:val="center"/>
            </w:pPr>
            <w:r>
              <w:rPr>
                <w:color w:val="000000"/>
                <w:sz w:val="24"/>
                <w:szCs w:val="24"/>
              </w:rPr>
              <w:lastRenderedPageBreak/>
              <w:t>4</w:t>
            </w:r>
          </w:p>
        </w:tc>
        <w:tc>
          <w:tcPr>
            <w:tcW w:w="1334" w:type="dxa"/>
            <w:vAlign w:val="center"/>
          </w:tcPr>
          <w:p w:rsidR="0024698C" w:rsidRDefault="00656DF5">
            <w:pPr>
              <w:jc w:val="center"/>
            </w:pPr>
            <w:r>
              <w:rPr>
                <w:color w:val="000000"/>
                <w:sz w:val="24"/>
                <w:szCs w:val="24"/>
              </w:rPr>
              <w:t>00700.HK</w:t>
            </w:r>
          </w:p>
        </w:tc>
        <w:tc>
          <w:tcPr>
            <w:tcW w:w="1777" w:type="dxa"/>
            <w:vAlign w:val="center"/>
          </w:tcPr>
          <w:p w:rsidR="0024698C" w:rsidRDefault="00656DF5">
            <w:pPr>
              <w:jc w:val="center"/>
            </w:pPr>
            <w:proofErr w:type="gramStart"/>
            <w:r>
              <w:rPr>
                <w:color w:val="000000"/>
                <w:sz w:val="24"/>
                <w:szCs w:val="24"/>
              </w:rPr>
              <w:t>腾讯控股</w:t>
            </w:r>
            <w:proofErr w:type="gramEnd"/>
          </w:p>
        </w:tc>
        <w:tc>
          <w:tcPr>
            <w:tcW w:w="1334" w:type="dxa"/>
            <w:vAlign w:val="center"/>
          </w:tcPr>
          <w:p w:rsidR="0024698C" w:rsidRDefault="00656DF5">
            <w:pPr>
              <w:jc w:val="right"/>
            </w:pPr>
            <w:r>
              <w:rPr>
                <w:color w:val="000000"/>
                <w:sz w:val="24"/>
                <w:szCs w:val="24"/>
              </w:rPr>
              <w:t>280,000</w:t>
            </w:r>
          </w:p>
        </w:tc>
        <w:tc>
          <w:tcPr>
            <w:tcW w:w="1924" w:type="dxa"/>
            <w:vAlign w:val="center"/>
          </w:tcPr>
          <w:p w:rsidR="0024698C" w:rsidRDefault="00656DF5">
            <w:pPr>
              <w:jc w:val="right"/>
            </w:pPr>
            <w:r>
              <w:rPr>
                <w:color w:val="000000"/>
                <w:sz w:val="24"/>
                <w:szCs w:val="24"/>
              </w:rPr>
              <w:t>132,911,788.80</w:t>
            </w:r>
          </w:p>
        </w:tc>
        <w:tc>
          <w:tcPr>
            <w:tcW w:w="1644" w:type="dxa"/>
            <w:vAlign w:val="center"/>
          </w:tcPr>
          <w:p w:rsidR="0024698C" w:rsidRDefault="00656DF5">
            <w:pPr>
              <w:jc w:val="right"/>
            </w:pPr>
            <w:r>
              <w:rPr>
                <w:color w:val="000000"/>
                <w:sz w:val="24"/>
                <w:szCs w:val="24"/>
              </w:rPr>
              <w:t>2.27</w:t>
            </w:r>
          </w:p>
        </w:tc>
      </w:tr>
      <w:tr w:rsidR="0024698C">
        <w:trPr>
          <w:jc w:val="center"/>
        </w:trPr>
        <w:tc>
          <w:tcPr>
            <w:tcW w:w="855" w:type="dxa"/>
            <w:vAlign w:val="center"/>
          </w:tcPr>
          <w:p w:rsidR="0024698C" w:rsidRDefault="00656DF5">
            <w:pPr>
              <w:jc w:val="center"/>
            </w:pPr>
            <w:r>
              <w:rPr>
                <w:color w:val="000000"/>
                <w:sz w:val="24"/>
                <w:szCs w:val="24"/>
              </w:rPr>
              <w:t>5</w:t>
            </w:r>
          </w:p>
        </w:tc>
        <w:tc>
          <w:tcPr>
            <w:tcW w:w="1334" w:type="dxa"/>
            <w:vAlign w:val="center"/>
          </w:tcPr>
          <w:p w:rsidR="0024698C" w:rsidRDefault="00656DF5">
            <w:pPr>
              <w:jc w:val="center"/>
            </w:pPr>
            <w:r>
              <w:rPr>
                <w:color w:val="000000"/>
                <w:sz w:val="24"/>
                <w:szCs w:val="24"/>
              </w:rPr>
              <w:t>000526</w:t>
            </w:r>
          </w:p>
        </w:tc>
        <w:tc>
          <w:tcPr>
            <w:tcW w:w="1777" w:type="dxa"/>
            <w:vAlign w:val="center"/>
          </w:tcPr>
          <w:p w:rsidR="0024698C" w:rsidRDefault="00656DF5">
            <w:pPr>
              <w:jc w:val="center"/>
            </w:pPr>
            <w:r>
              <w:rPr>
                <w:color w:val="000000"/>
                <w:sz w:val="24"/>
                <w:szCs w:val="24"/>
              </w:rPr>
              <w:t>紫光学大</w:t>
            </w:r>
          </w:p>
        </w:tc>
        <w:tc>
          <w:tcPr>
            <w:tcW w:w="1334" w:type="dxa"/>
            <w:vAlign w:val="center"/>
          </w:tcPr>
          <w:p w:rsidR="0024698C" w:rsidRDefault="00656DF5">
            <w:pPr>
              <w:jc w:val="right"/>
            </w:pPr>
            <w:r>
              <w:rPr>
                <w:color w:val="000000"/>
                <w:sz w:val="24"/>
                <w:szCs w:val="24"/>
              </w:rPr>
              <w:t>2,060,224</w:t>
            </w:r>
          </w:p>
        </w:tc>
        <w:tc>
          <w:tcPr>
            <w:tcW w:w="1924" w:type="dxa"/>
            <w:vAlign w:val="center"/>
          </w:tcPr>
          <w:p w:rsidR="0024698C" w:rsidRDefault="00656DF5">
            <w:pPr>
              <w:jc w:val="right"/>
            </w:pPr>
            <w:r>
              <w:rPr>
                <w:color w:val="000000"/>
                <w:sz w:val="24"/>
                <w:szCs w:val="24"/>
              </w:rPr>
              <w:t>107,935,135.36</w:t>
            </w:r>
          </w:p>
        </w:tc>
        <w:tc>
          <w:tcPr>
            <w:tcW w:w="1644" w:type="dxa"/>
            <w:vAlign w:val="center"/>
          </w:tcPr>
          <w:p w:rsidR="0024698C" w:rsidRDefault="00656DF5">
            <w:pPr>
              <w:jc w:val="right"/>
            </w:pPr>
            <w:r>
              <w:rPr>
                <w:color w:val="000000"/>
                <w:sz w:val="24"/>
                <w:szCs w:val="24"/>
              </w:rPr>
              <w:t>1.84</w:t>
            </w:r>
          </w:p>
        </w:tc>
      </w:tr>
      <w:tr w:rsidR="0024698C">
        <w:trPr>
          <w:jc w:val="center"/>
        </w:trPr>
        <w:tc>
          <w:tcPr>
            <w:tcW w:w="855" w:type="dxa"/>
            <w:vAlign w:val="center"/>
          </w:tcPr>
          <w:p w:rsidR="0024698C" w:rsidRDefault="00656DF5">
            <w:pPr>
              <w:jc w:val="center"/>
            </w:pPr>
            <w:r>
              <w:rPr>
                <w:color w:val="000000"/>
                <w:sz w:val="24"/>
                <w:szCs w:val="24"/>
              </w:rPr>
              <w:t>6</w:t>
            </w:r>
          </w:p>
        </w:tc>
        <w:tc>
          <w:tcPr>
            <w:tcW w:w="1334" w:type="dxa"/>
            <w:vAlign w:val="center"/>
          </w:tcPr>
          <w:p w:rsidR="0024698C" w:rsidRDefault="00656DF5">
            <w:pPr>
              <w:jc w:val="center"/>
            </w:pPr>
            <w:r>
              <w:rPr>
                <w:color w:val="000000"/>
                <w:sz w:val="24"/>
                <w:szCs w:val="24"/>
              </w:rPr>
              <w:t>002607</w:t>
            </w:r>
          </w:p>
        </w:tc>
        <w:tc>
          <w:tcPr>
            <w:tcW w:w="1777" w:type="dxa"/>
            <w:vAlign w:val="center"/>
          </w:tcPr>
          <w:p w:rsidR="0024698C" w:rsidRDefault="00656DF5">
            <w:pPr>
              <w:jc w:val="center"/>
            </w:pPr>
            <w:r>
              <w:rPr>
                <w:color w:val="000000"/>
                <w:sz w:val="24"/>
                <w:szCs w:val="24"/>
              </w:rPr>
              <w:t>中</w:t>
            </w:r>
            <w:proofErr w:type="gramStart"/>
            <w:r>
              <w:rPr>
                <w:color w:val="000000"/>
                <w:sz w:val="24"/>
                <w:szCs w:val="24"/>
              </w:rPr>
              <w:t>公教育</w:t>
            </w:r>
            <w:proofErr w:type="gramEnd"/>
          </w:p>
        </w:tc>
        <w:tc>
          <w:tcPr>
            <w:tcW w:w="1334" w:type="dxa"/>
            <w:vAlign w:val="center"/>
          </w:tcPr>
          <w:p w:rsidR="0024698C" w:rsidRDefault="00656DF5">
            <w:pPr>
              <w:jc w:val="right"/>
            </w:pPr>
            <w:r>
              <w:rPr>
                <w:color w:val="000000"/>
                <w:sz w:val="24"/>
                <w:szCs w:val="24"/>
              </w:rPr>
              <w:t>3,000,000</w:t>
            </w:r>
          </w:p>
        </w:tc>
        <w:tc>
          <w:tcPr>
            <w:tcW w:w="1924" w:type="dxa"/>
            <w:vAlign w:val="center"/>
          </w:tcPr>
          <w:p w:rsidR="0024698C" w:rsidRDefault="00656DF5">
            <w:pPr>
              <w:jc w:val="right"/>
            </w:pPr>
            <w:r>
              <w:rPr>
                <w:color w:val="000000"/>
                <w:sz w:val="24"/>
                <w:szCs w:val="24"/>
              </w:rPr>
              <w:t>105,390,000.00</w:t>
            </w:r>
          </w:p>
        </w:tc>
        <w:tc>
          <w:tcPr>
            <w:tcW w:w="1644" w:type="dxa"/>
            <w:vAlign w:val="center"/>
          </w:tcPr>
          <w:p w:rsidR="0024698C" w:rsidRDefault="00656DF5">
            <w:pPr>
              <w:jc w:val="right"/>
            </w:pPr>
            <w:r>
              <w:rPr>
                <w:color w:val="000000"/>
                <w:sz w:val="24"/>
                <w:szCs w:val="24"/>
              </w:rPr>
              <w:t>1.80</w:t>
            </w:r>
          </w:p>
        </w:tc>
      </w:tr>
      <w:tr w:rsidR="0024698C">
        <w:trPr>
          <w:jc w:val="center"/>
        </w:trPr>
        <w:tc>
          <w:tcPr>
            <w:tcW w:w="855" w:type="dxa"/>
            <w:vAlign w:val="center"/>
          </w:tcPr>
          <w:p w:rsidR="0024698C" w:rsidRDefault="00656DF5">
            <w:pPr>
              <w:jc w:val="center"/>
            </w:pPr>
            <w:r>
              <w:rPr>
                <w:color w:val="000000"/>
                <w:sz w:val="24"/>
                <w:szCs w:val="24"/>
              </w:rPr>
              <w:t>7</w:t>
            </w:r>
          </w:p>
        </w:tc>
        <w:tc>
          <w:tcPr>
            <w:tcW w:w="1334" w:type="dxa"/>
            <w:vAlign w:val="center"/>
          </w:tcPr>
          <w:p w:rsidR="0024698C" w:rsidRDefault="00656DF5">
            <w:pPr>
              <w:jc w:val="center"/>
            </w:pPr>
            <w:r>
              <w:rPr>
                <w:color w:val="000000"/>
                <w:sz w:val="24"/>
                <w:szCs w:val="24"/>
              </w:rPr>
              <w:t>601012</w:t>
            </w:r>
          </w:p>
        </w:tc>
        <w:tc>
          <w:tcPr>
            <w:tcW w:w="1777" w:type="dxa"/>
            <w:vAlign w:val="center"/>
          </w:tcPr>
          <w:p w:rsidR="0024698C" w:rsidRDefault="00656DF5">
            <w:pPr>
              <w:jc w:val="center"/>
            </w:pPr>
            <w:r>
              <w:rPr>
                <w:color w:val="000000"/>
                <w:sz w:val="24"/>
                <w:szCs w:val="24"/>
              </w:rPr>
              <w:t>隆基股份</w:t>
            </w:r>
          </w:p>
        </w:tc>
        <w:tc>
          <w:tcPr>
            <w:tcW w:w="1334" w:type="dxa"/>
            <w:vAlign w:val="center"/>
          </w:tcPr>
          <w:p w:rsidR="0024698C" w:rsidRDefault="00656DF5">
            <w:pPr>
              <w:jc w:val="right"/>
            </w:pPr>
            <w:r>
              <w:rPr>
                <w:color w:val="000000"/>
                <w:sz w:val="24"/>
                <w:szCs w:val="24"/>
              </w:rPr>
              <w:t>1,099,979</w:t>
            </w:r>
          </w:p>
        </w:tc>
        <w:tc>
          <w:tcPr>
            <w:tcW w:w="1924" w:type="dxa"/>
            <w:vAlign w:val="center"/>
          </w:tcPr>
          <w:p w:rsidR="0024698C" w:rsidRDefault="00656DF5">
            <w:pPr>
              <w:jc w:val="right"/>
            </w:pPr>
            <w:r>
              <w:rPr>
                <w:color w:val="000000"/>
                <w:sz w:val="24"/>
                <w:szCs w:val="24"/>
              </w:rPr>
              <w:t>101,418,063.80</w:t>
            </w:r>
          </w:p>
        </w:tc>
        <w:tc>
          <w:tcPr>
            <w:tcW w:w="1644" w:type="dxa"/>
            <w:vAlign w:val="center"/>
          </w:tcPr>
          <w:p w:rsidR="0024698C" w:rsidRDefault="00656DF5">
            <w:pPr>
              <w:jc w:val="right"/>
            </w:pPr>
            <w:r>
              <w:rPr>
                <w:color w:val="000000"/>
                <w:sz w:val="24"/>
                <w:szCs w:val="24"/>
              </w:rPr>
              <w:t>1.73</w:t>
            </w:r>
          </w:p>
        </w:tc>
      </w:tr>
      <w:tr w:rsidR="0024698C">
        <w:trPr>
          <w:jc w:val="center"/>
        </w:trPr>
        <w:tc>
          <w:tcPr>
            <w:tcW w:w="855" w:type="dxa"/>
            <w:vAlign w:val="center"/>
          </w:tcPr>
          <w:p w:rsidR="0024698C" w:rsidRDefault="00656DF5">
            <w:pPr>
              <w:jc w:val="center"/>
            </w:pPr>
            <w:r>
              <w:rPr>
                <w:color w:val="000000"/>
                <w:sz w:val="24"/>
                <w:szCs w:val="24"/>
              </w:rPr>
              <w:t>8</w:t>
            </w:r>
          </w:p>
        </w:tc>
        <w:tc>
          <w:tcPr>
            <w:tcW w:w="1334" w:type="dxa"/>
            <w:vAlign w:val="center"/>
          </w:tcPr>
          <w:p w:rsidR="0024698C" w:rsidRDefault="00656DF5">
            <w:pPr>
              <w:jc w:val="center"/>
            </w:pPr>
            <w:r>
              <w:rPr>
                <w:color w:val="000000"/>
                <w:sz w:val="24"/>
                <w:szCs w:val="24"/>
              </w:rPr>
              <w:t>02382.HK</w:t>
            </w:r>
          </w:p>
        </w:tc>
        <w:tc>
          <w:tcPr>
            <w:tcW w:w="1777" w:type="dxa"/>
            <w:vAlign w:val="center"/>
          </w:tcPr>
          <w:p w:rsidR="0024698C" w:rsidRDefault="00656DF5">
            <w:pPr>
              <w:jc w:val="center"/>
            </w:pPr>
            <w:proofErr w:type="gramStart"/>
            <w:r>
              <w:rPr>
                <w:color w:val="000000"/>
                <w:sz w:val="24"/>
                <w:szCs w:val="24"/>
              </w:rPr>
              <w:t>舜宇光学</w:t>
            </w:r>
            <w:proofErr w:type="gramEnd"/>
            <w:r>
              <w:rPr>
                <w:color w:val="000000"/>
                <w:sz w:val="24"/>
                <w:szCs w:val="24"/>
              </w:rPr>
              <w:t>科技</w:t>
            </w:r>
          </w:p>
        </w:tc>
        <w:tc>
          <w:tcPr>
            <w:tcW w:w="1334" w:type="dxa"/>
            <w:vAlign w:val="center"/>
          </w:tcPr>
          <w:p w:rsidR="0024698C" w:rsidRDefault="00656DF5">
            <w:pPr>
              <w:jc w:val="right"/>
            </w:pPr>
            <w:r>
              <w:rPr>
                <w:color w:val="000000"/>
                <w:sz w:val="24"/>
                <w:szCs w:val="24"/>
              </w:rPr>
              <w:t>650,000</w:t>
            </w:r>
          </w:p>
        </w:tc>
        <w:tc>
          <w:tcPr>
            <w:tcW w:w="1924" w:type="dxa"/>
            <w:vAlign w:val="center"/>
          </w:tcPr>
          <w:p w:rsidR="0024698C" w:rsidRDefault="00656DF5">
            <w:pPr>
              <w:jc w:val="right"/>
            </w:pPr>
            <w:r>
              <w:rPr>
                <w:color w:val="000000"/>
                <w:sz w:val="24"/>
                <w:szCs w:val="24"/>
              </w:rPr>
              <w:t>92,837,100.20</w:t>
            </w:r>
          </w:p>
        </w:tc>
        <w:tc>
          <w:tcPr>
            <w:tcW w:w="1644" w:type="dxa"/>
            <w:vAlign w:val="center"/>
          </w:tcPr>
          <w:p w:rsidR="0024698C" w:rsidRDefault="00656DF5">
            <w:pPr>
              <w:jc w:val="right"/>
            </w:pPr>
            <w:r>
              <w:rPr>
                <w:color w:val="000000"/>
                <w:sz w:val="24"/>
                <w:szCs w:val="24"/>
              </w:rPr>
              <w:t>1.58</w:t>
            </w:r>
          </w:p>
        </w:tc>
      </w:tr>
      <w:tr w:rsidR="0024698C">
        <w:trPr>
          <w:jc w:val="center"/>
        </w:trPr>
        <w:tc>
          <w:tcPr>
            <w:tcW w:w="855" w:type="dxa"/>
            <w:vAlign w:val="center"/>
          </w:tcPr>
          <w:p w:rsidR="0024698C" w:rsidRDefault="00656DF5">
            <w:pPr>
              <w:jc w:val="center"/>
            </w:pPr>
            <w:r>
              <w:rPr>
                <w:color w:val="000000"/>
                <w:sz w:val="24"/>
                <w:szCs w:val="24"/>
              </w:rPr>
              <w:t>9</w:t>
            </w:r>
          </w:p>
        </w:tc>
        <w:tc>
          <w:tcPr>
            <w:tcW w:w="1334" w:type="dxa"/>
            <w:vAlign w:val="center"/>
          </w:tcPr>
          <w:p w:rsidR="0024698C" w:rsidRDefault="00656DF5">
            <w:pPr>
              <w:jc w:val="center"/>
            </w:pPr>
            <w:r>
              <w:rPr>
                <w:color w:val="000000"/>
                <w:sz w:val="24"/>
                <w:szCs w:val="24"/>
              </w:rPr>
              <w:t>002179</w:t>
            </w:r>
          </w:p>
        </w:tc>
        <w:tc>
          <w:tcPr>
            <w:tcW w:w="1777" w:type="dxa"/>
            <w:vAlign w:val="center"/>
          </w:tcPr>
          <w:p w:rsidR="0024698C" w:rsidRDefault="00656DF5">
            <w:pPr>
              <w:jc w:val="center"/>
            </w:pPr>
            <w:r>
              <w:rPr>
                <w:color w:val="000000"/>
                <w:sz w:val="24"/>
                <w:szCs w:val="24"/>
              </w:rPr>
              <w:t>中航光电</w:t>
            </w:r>
          </w:p>
        </w:tc>
        <w:tc>
          <w:tcPr>
            <w:tcW w:w="1334" w:type="dxa"/>
            <w:vAlign w:val="center"/>
          </w:tcPr>
          <w:p w:rsidR="0024698C" w:rsidRDefault="00656DF5">
            <w:pPr>
              <w:jc w:val="right"/>
            </w:pPr>
            <w:r>
              <w:rPr>
                <w:color w:val="000000"/>
                <w:sz w:val="24"/>
                <w:szCs w:val="24"/>
              </w:rPr>
              <w:t>999,986</w:t>
            </w:r>
          </w:p>
        </w:tc>
        <w:tc>
          <w:tcPr>
            <w:tcW w:w="1924" w:type="dxa"/>
            <w:vAlign w:val="center"/>
          </w:tcPr>
          <w:p w:rsidR="0024698C" w:rsidRDefault="00656DF5">
            <w:pPr>
              <w:jc w:val="right"/>
            </w:pPr>
            <w:r>
              <w:rPr>
                <w:color w:val="000000"/>
                <w:sz w:val="24"/>
                <w:szCs w:val="24"/>
              </w:rPr>
              <w:t>78,288,903.94</w:t>
            </w:r>
          </w:p>
        </w:tc>
        <w:tc>
          <w:tcPr>
            <w:tcW w:w="1644" w:type="dxa"/>
            <w:vAlign w:val="center"/>
          </w:tcPr>
          <w:p w:rsidR="0024698C" w:rsidRDefault="00656DF5">
            <w:pPr>
              <w:jc w:val="right"/>
            </w:pPr>
            <w:r>
              <w:rPr>
                <w:color w:val="000000"/>
                <w:sz w:val="24"/>
                <w:szCs w:val="24"/>
              </w:rPr>
              <w:t>1.34</w:t>
            </w:r>
          </w:p>
        </w:tc>
      </w:tr>
      <w:tr w:rsidR="0024698C">
        <w:trPr>
          <w:jc w:val="center"/>
        </w:trPr>
        <w:tc>
          <w:tcPr>
            <w:tcW w:w="855" w:type="dxa"/>
            <w:vAlign w:val="center"/>
          </w:tcPr>
          <w:p w:rsidR="0024698C" w:rsidRDefault="00656DF5">
            <w:pPr>
              <w:jc w:val="center"/>
            </w:pPr>
            <w:r>
              <w:rPr>
                <w:color w:val="000000"/>
                <w:sz w:val="24"/>
                <w:szCs w:val="24"/>
              </w:rPr>
              <w:t>10</w:t>
            </w:r>
          </w:p>
        </w:tc>
        <w:tc>
          <w:tcPr>
            <w:tcW w:w="1334" w:type="dxa"/>
            <w:vAlign w:val="center"/>
          </w:tcPr>
          <w:p w:rsidR="0024698C" w:rsidRDefault="00656DF5">
            <w:pPr>
              <w:jc w:val="center"/>
            </w:pPr>
            <w:r>
              <w:rPr>
                <w:color w:val="000000"/>
                <w:sz w:val="24"/>
                <w:szCs w:val="24"/>
              </w:rPr>
              <w:t>03690.HK</w:t>
            </w:r>
          </w:p>
        </w:tc>
        <w:tc>
          <w:tcPr>
            <w:tcW w:w="1777" w:type="dxa"/>
            <w:vAlign w:val="center"/>
          </w:tcPr>
          <w:p w:rsidR="0024698C" w:rsidRDefault="00656DF5">
            <w:pPr>
              <w:jc w:val="center"/>
            </w:pPr>
            <w:r>
              <w:rPr>
                <w:color w:val="000000"/>
                <w:sz w:val="24"/>
                <w:szCs w:val="24"/>
              </w:rPr>
              <w:t>美团－Ｗ</w:t>
            </w:r>
          </w:p>
        </w:tc>
        <w:tc>
          <w:tcPr>
            <w:tcW w:w="1334" w:type="dxa"/>
            <w:vAlign w:val="center"/>
          </w:tcPr>
          <w:p w:rsidR="0024698C" w:rsidRDefault="00656DF5">
            <w:pPr>
              <w:jc w:val="right"/>
            </w:pPr>
            <w:r>
              <w:rPr>
                <w:color w:val="000000"/>
                <w:sz w:val="24"/>
                <w:szCs w:val="24"/>
              </w:rPr>
              <w:t>300,000</w:t>
            </w:r>
          </w:p>
        </w:tc>
        <w:tc>
          <w:tcPr>
            <w:tcW w:w="1924" w:type="dxa"/>
            <w:vAlign w:val="center"/>
          </w:tcPr>
          <w:p w:rsidR="0024698C" w:rsidRDefault="00656DF5">
            <w:pPr>
              <w:jc w:val="right"/>
            </w:pPr>
            <w:r>
              <w:rPr>
                <w:color w:val="000000"/>
                <w:sz w:val="24"/>
                <w:szCs w:val="24"/>
              </w:rPr>
              <w:t>74,384,143.20</w:t>
            </w:r>
          </w:p>
        </w:tc>
        <w:tc>
          <w:tcPr>
            <w:tcW w:w="1644" w:type="dxa"/>
            <w:vAlign w:val="center"/>
          </w:tcPr>
          <w:p w:rsidR="0024698C" w:rsidRDefault="00656DF5">
            <w:pPr>
              <w:jc w:val="right"/>
            </w:pPr>
            <w:r>
              <w:rPr>
                <w:color w:val="000000"/>
                <w:sz w:val="24"/>
                <w:szCs w:val="24"/>
              </w:rPr>
              <w:t>1.27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D56457" w:rsidRDefault="00D56457"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D56457" w:rsidRDefault="00D56457"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D56457" w:rsidRDefault="00D56457"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585,759.63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29,473,022.85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-470,708.92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29,588,073.56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D56457" w:rsidRDefault="00D56457"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D56457" w:rsidRDefault="00D56457"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5,701,316,781.26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w:t>
            </w:r>
            <w:proofErr w:type="gramStart"/>
            <w:r w:rsidRPr="00414345">
              <w:rPr>
                <w:color w:val="000000"/>
                <w:kern w:val="0"/>
                <w:sz w:val="24"/>
                <w:szCs w:val="24"/>
              </w:rPr>
              <w:t>至报告</w:t>
            </w:r>
            <w:proofErr w:type="gramEnd"/>
            <w:r w:rsidRPr="00414345">
              <w:rPr>
                <w:color w:val="000000"/>
                <w:kern w:val="0"/>
                <w:sz w:val="24"/>
                <w:szCs w:val="24"/>
              </w:rPr>
              <w:t>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w:t>
            </w:r>
            <w:proofErr w:type="gramStart"/>
            <w:r w:rsidR="00FE179F" w:rsidRPr="00414345">
              <w:rPr>
                <w:color w:val="000000"/>
                <w:kern w:val="0"/>
                <w:sz w:val="24"/>
                <w:szCs w:val="24"/>
              </w:rPr>
              <w:t>至报告</w:t>
            </w:r>
            <w:proofErr w:type="gramEnd"/>
            <w:r w:rsidR="00FE179F" w:rsidRPr="00414345">
              <w:rPr>
                <w:color w:val="000000"/>
                <w:kern w:val="0"/>
                <w:sz w:val="24"/>
                <w:szCs w:val="24"/>
              </w:rPr>
              <w:t>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w:t>
            </w:r>
            <w:proofErr w:type="gramStart"/>
            <w:r w:rsidRPr="00414345">
              <w:rPr>
                <w:color w:val="000000"/>
                <w:kern w:val="0"/>
                <w:sz w:val="24"/>
                <w:szCs w:val="24"/>
              </w:rPr>
              <w:t>至报告</w:t>
            </w:r>
            <w:proofErr w:type="gramEnd"/>
            <w:r w:rsidRPr="00414345">
              <w:rPr>
                <w:color w:val="000000"/>
                <w:kern w:val="0"/>
                <w:sz w:val="24"/>
                <w:szCs w:val="24"/>
              </w:rPr>
              <w:t>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5,701,316,781.26</w:t>
            </w:r>
          </w:p>
        </w:tc>
      </w:tr>
    </w:tbl>
    <w:p w:rsidR="0024698C" w:rsidRDefault="00656DF5">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5E6580">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656DF5" w:rsidRDefault="003C50AD" w:rsidP="003C50AD">
      <w:pPr>
        <w:spacing w:line="360" w:lineRule="auto"/>
        <w:ind w:firstLineChars="200" w:firstLine="480"/>
        <w:rPr>
          <w:rFonts w:ascii="宋体" w:hAnsi="宋体"/>
          <w:color w:val="000000"/>
          <w:sz w:val="24"/>
          <w:szCs w:val="24"/>
        </w:rPr>
      </w:pPr>
      <w:r w:rsidRPr="00656DF5">
        <w:rPr>
          <w:rFonts w:ascii="宋体" w:hAnsi="宋体"/>
          <w:color w:val="000000"/>
          <w:sz w:val="24"/>
          <w:szCs w:val="24"/>
        </w:rPr>
        <w:t>根据有关法律法规规定和基金合同的约定，本基金可投资</w:t>
      </w:r>
      <w:proofErr w:type="gramStart"/>
      <w:r w:rsidRPr="00656DF5">
        <w:rPr>
          <w:rFonts w:ascii="宋体" w:hAnsi="宋体"/>
          <w:color w:val="000000"/>
          <w:sz w:val="24"/>
          <w:szCs w:val="24"/>
        </w:rPr>
        <w:t>科创板</w:t>
      </w:r>
      <w:proofErr w:type="gramEnd"/>
      <w:r w:rsidRPr="00656DF5">
        <w:rPr>
          <w:rFonts w:ascii="宋体" w:hAnsi="宋体"/>
          <w:color w:val="000000"/>
          <w:sz w:val="24"/>
          <w:szCs w:val="24"/>
        </w:rPr>
        <w:t>股票。基金资产投资于</w:t>
      </w:r>
      <w:proofErr w:type="gramStart"/>
      <w:r w:rsidRPr="00656DF5">
        <w:rPr>
          <w:rFonts w:ascii="宋体" w:hAnsi="宋体"/>
          <w:color w:val="000000"/>
          <w:sz w:val="24"/>
          <w:szCs w:val="24"/>
        </w:rPr>
        <w:t>科创板</w:t>
      </w:r>
      <w:proofErr w:type="gramEnd"/>
      <w:r w:rsidRPr="00656DF5">
        <w:rPr>
          <w:rFonts w:ascii="宋体" w:hAnsi="宋体"/>
          <w:color w:val="000000"/>
          <w:sz w:val="24"/>
          <w:szCs w:val="24"/>
        </w:rPr>
        <w:t>股票，会</w:t>
      </w:r>
      <w:proofErr w:type="gramStart"/>
      <w:r w:rsidRPr="00656DF5">
        <w:rPr>
          <w:rFonts w:ascii="宋体" w:hAnsi="宋体"/>
          <w:color w:val="000000"/>
          <w:sz w:val="24"/>
          <w:szCs w:val="24"/>
        </w:rPr>
        <w:t>面临科创板机制</w:t>
      </w:r>
      <w:proofErr w:type="gramEnd"/>
      <w:r w:rsidRPr="00656DF5">
        <w:rPr>
          <w:rFonts w:ascii="宋体" w:hAnsi="宋体"/>
          <w:color w:val="000000"/>
          <w:sz w:val="24"/>
          <w:szCs w:val="24"/>
        </w:rPr>
        <w:t>下因投资标的、市场制度以及交易规则等差异带来的特有风险，包括但不限于市场风险、流动性风险、退市风险、集中度风险、系统性风险、政策风险等。有关详情请查阅本基金管理人于2020年10月30日发布的《交银施罗德基金管理有限公司关于交银施罗德启欣混合型证券投资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4698C" w:rsidRDefault="00656DF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w:t>
      </w:r>
      <w:proofErr w:type="gramStart"/>
      <w:r>
        <w:rPr>
          <w:color w:val="000000"/>
          <w:sz w:val="24"/>
          <w:szCs w:val="24"/>
        </w:rPr>
        <w:t>银施罗德启欣</w:t>
      </w:r>
      <w:proofErr w:type="gramEnd"/>
      <w:r>
        <w:rPr>
          <w:color w:val="000000"/>
          <w:sz w:val="24"/>
          <w:szCs w:val="24"/>
        </w:rPr>
        <w:t>混合型证券投资基金募集注册的文件；</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、《交银施罗德启欣混合型证券投资基金基金合同》；</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、《交银施罗德启欣混合型证券投资基金招募说明书》；</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、《交银施罗德启欣混合型证券投资基金托管协议》；</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w:t>
      </w:r>
      <w:proofErr w:type="gramStart"/>
      <w:r>
        <w:rPr>
          <w:color w:val="000000"/>
          <w:sz w:val="24"/>
          <w:szCs w:val="24"/>
        </w:rPr>
        <w:t>银施罗德启欣</w:t>
      </w:r>
      <w:proofErr w:type="gramEnd"/>
      <w:r>
        <w:rPr>
          <w:color w:val="000000"/>
          <w:sz w:val="24"/>
          <w:szCs w:val="24"/>
        </w:rPr>
        <w:t>混合型证券投资基金的法律意见书；</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4698C" w:rsidRDefault="00656DF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w:t>
      </w:r>
      <w:proofErr w:type="gramStart"/>
      <w:r w:rsidRPr="00414345">
        <w:rPr>
          <w:color w:val="000000"/>
          <w:sz w:val="24"/>
          <w:szCs w:val="24"/>
        </w:rPr>
        <w:t>银施罗德启欣</w:t>
      </w:r>
      <w:proofErr w:type="gramEnd"/>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4698C" w:rsidRDefault="00656DF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608" w:rsidRDefault="008A2608" w:rsidP="00876D65">
      <w:r>
        <w:separator/>
      </w:r>
    </w:p>
  </w:endnote>
  <w:endnote w:type="continuationSeparator" w:id="0">
    <w:p w:rsidR="008A2608" w:rsidRDefault="008A26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Default="00656D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Pr="001D0DB0" w:rsidRDefault="00656DF5"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24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Default="00656D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608" w:rsidRDefault="008A2608" w:rsidP="00876D65">
      <w:r>
        <w:separator/>
      </w:r>
    </w:p>
  </w:footnote>
  <w:footnote w:type="continuationSeparator" w:id="0">
    <w:p w:rsidR="008A2608" w:rsidRDefault="008A2608"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Default="00656DF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Pr="00DC456F" w:rsidRDefault="00656DF5" w:rsidP="00090A26">
    <w:pPr>
      <w:pStyle w:val="ac"/>
      <w:pBdr>
        <w:bottom w:val="single" w:sz="6" w:space="0" w:color="auto"/>
      </w:pBdr>
      <w:jc w:val="right"/>
      <w:rPr>
        <w:sz w:val="24"/>
        <w:szCs w:val="24"/>
      </w:rPr>
    </w:pPr>
    <w:r w:rsidRPr="003E676C">
      <w:rPr>
        <w:sz w:val="24"/>
        <w:szCs w:val="24"/>
      </w:rPr>
      <w:t>交</w:t>
    </w:r>
    <w:proofErr w:type="gramStart"/>
    <w:r w:rsidRPr="003E676C">
      <w:rPr>
        <w:sz w:val="24"/>
        <w:szCs w:val="24"/>
      </w:rPr>
      <w:t>银施罗德启欣</w:t>
    </w:r>
    <w:proofErr w:type="gramEnd"/>
    <w:r w:rsidRPr="003E676C">
      <w:rPr>
        <w:sz w:val="24"/>
        <w:szCs w:val="24"/>
      </w:rPr>
      <w:t>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F5" w:rsidRDefault="00656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5169"/>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698C"/>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728A"/>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E6580"/>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6DF5"/>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2608"/>
    <w:rsid w:val="008A3DAA"/>
    <w:rsid w:val="008A55CC"/>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2ED9"/>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6457"/>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AE5D8"/>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88FF-DA56-4F8D-BF4A-6C331675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12</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605</cp:revision>
  <dcterms:created xsi:type="dcterms:W3CDTF">2012-10-16T06:07:00Z</dcterms:created>
  <dcterms:modified xsi:type="dcterms:W3CDTF">2021-01-18T08:44:00Z</dcterms:modified>
</cp:coreProperties>
</file>