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交银施罗德阿尔法核心混合型证券投资基金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2012年8月3日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2,316,597,208.51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516,552,498.23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792,134,488.90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0.3121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8,300,808,118.24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3.583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9.61%</w:t>
            </w:r>
          </w:p>
        </w:tc>
        <w:tc>
          <w:tcPr>
            <w:vAlign w:val="center"/>
          </w:tcPr>
          <w:p>
            <w:pPr>
              <w:jc w:val="center"/>
            </w:pPr>
            <w:r>
              <w:rPr>
                <w:color w:val="000000"/>
                <w:sz w:val="24"/>
                <w:szCs w:val="24"/>
              </w:rPr>
              <w:t>0.99%</w:t>
            </w:r>
          </w:p>
        </w:tc>
        <w:tc>
          <w:tcPr>
            <w:vAlign w:val="center"/>
          </w:tcPr>
          <w:p>
            <w:pPr>
              <w:jc w:val="center"/>
            </w:pPr>
            <w:r>
              <w:rPr>
                <w:color w:val="000000"/>
                <w:sz w:val="24"/>
                <w:szCs w:val="24"/>
              </w:rPr>
              <w:t>10.43%</w:t>
            </w:r>
          </w:p>
        </w:tc>
        <w:tc>
          <w:tcPr>
            <w:vAlign w:val="center"/>
          </w:tcPr>
          <w:p>
            <w:pPr>
              <w:jc w:val="center"/>
            </w:pPr>
            <w:r>
              <w:rPr>
                <w:color w:val="000000"/>
                <w:sz w:val="24"/>
                <w:szCs w:val="24"/>
              </w:rPr>
              <w:t>0.74%</w:t>
            </w:r>
          </w:p>
        </w:tc>
        <w:tc>
          <w:tcPr>
            <w:vAlign w:val="center"/>
          </w:tcPr>
          <w:p>
            <w:pPr>
              <w:jc w:val="center"/>
            </w:pPr>
            <w:r>
              <w:rPr>
                <w:color w:val="000000"/>
                <w:sz w:val="24"/>
                <w:szCs w:val="24"/>
              </w:rPr>
              <w:t>-0.82%</w:t>
            </w:r>
          </w:p>
        </w:tc>
        <w:tc>
          <w:tcPr>
            <w:vAlign w:val="center"/>
          </w:tcPr>
          <w:p>
            <w:pPr>
              <w:jc w:val="center"/>
            </w:pPr>
            <w:r>
              <w:rPr>
                <w:color w:val="000000"/>
                <w:sz w:val="24"/>
                <w:szCs w:val="24"/>
              </w:rPr>
              <w:t>0.25%</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20.64%</w:t>
            </w:r>
          </w:p>
        </w:tc>
        <w:tc>
          <w:tcPr>
            <w:vAlign w:val="center"/>
          </w:tcPr>
          <w:p>
            <w:pPr>
              <w:jc w:val="center"/>
            </w:pPr>
            <w:r>
              <w:rPr>
                <w:color w:val="000000"/>
                <w:sz w:val="24"/>
                <w:szCs w:val="24"/>
              </w:rPr>
              <w:t>1.23%</w:t>
            </w:r>
          </w:p>
        </w:tc>
        <w:tc>
          <w:tcPr>
            <w:vAlign w:val="center"/>
          </w:tcPr>
          <w:p>
            <w:pPr>
              <w:jc w:val="center"/>
            </w:pPr>
            <w:r>
              <w:rPr>
                <w:color w:val="000000"/>
                <w:sz w:val="24"/>
                <w:szCs w:val="24"/>
              </w:rPr>
              <w:t>18.77%</w:t>
            </w:r>
          </w:p>
        </w:tc>
        <w:tc>
          <w:tcPr>
            <w:vAlign w:val="center"/>
          </w:tcPr>
          <w:p>
            <w:pPr>
              <w:jc w:val="center"/>
            </w:pPr>
            <w:r>
              <w:rPr>
                <w:color w:val="000000"/>
                <w:sz w:val="24"/>
                <w:szCs w:val="24"/>
              </w:rPr>
              <w:t>1.01%</w:t>
            </w:r>
          </w:p>
        </w:tc>
        <w:tc>
          <w:tcPr>
            <w:vAlign w:val="center"/>
          </w:tcPr>
          <w:p>
            <w:pPr>
              <w:jc w:val="center"/>
            </w:pPr>
            <w:r>
              <w:rPr>
                <w:color w:val="000000"/>
                <w:sz w:val="24"/>
                <w:szCs w:val="24"/>
              </w:rPr>
              <w:t>1.87%</w:t>
            </w:r>
          </w:p>
        </w:tc>
        <w:tc>
          <w:tcPr>
            <w:vAlign w:val="center"/>
          </w:tcPr>
          <w:p>
            <w:pPr>
              <w:jc w:val="center"/>
            </w:pPr>
            <w:r>
              <w:rPr>
                <w:color w:val="000000"/>
                <w:sz w:val="24"/>
                <w:szCs w:val="24"/>
              </w:rPr>
              <w:t>0.22%</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37.23%</w:t>
            </w:r>
          </w:p>
        </w:tc>
        <w:tc>
          <w:tcPr>
            <w:vAlign w:val="center"/>
          </w:tcPr>
          <w:p>
            <w:pPr>
              <w:jc w:val="center"/>
            </w:pPr>
            <w:r>
              <w:rPr>
                <w:color w:val="000000"/>
                <w:sz w:val="24"/>
                <w:szCs w:val="24"/>
              </w:rPr>
              <w:t>1.22%</w:t>
            </w:r>
          </w:p>
        </w:tc>
        <w:tc>
          <w:tcPr>
            <w:vAlign w:val="center"/>
          </w:tcPr>
          <w:p>
            <w:pPr>
              <w:jc w:val="center"/>
            </w:pPr>
            <w:r>
              <w:rPr>
                <w:color w:val="000000"/>
                <w:sz w:val="24"/>
                <w:szCs w:val="24"/>
              </w:rPr>
              <w:t>21.26%</w:t>
            </w:r>
          </w:p>
        </w:tc>
        <w:tc>
          <w:tcPr>
            <w:vAlign w:val="center"/>
          </w:tcPr>
          <w:p>
            <w:pPr>
              <w:jc w:val="center"/>
            </w:pPr>
            <w:r>
              <w:rPr>
                <w:color w:val="000000"/>
                <w:sz w:val="24"/>
                <w:szCs w:val="24"/>
              </w:rPr>
              <w:t>1.07%</w:t>
            </w:r>
          </w:p>
        </w:tc>
        <w:tc>
          <w:tcPr>
            <w:vAlign w:val="center"/>
          </w:tcPr>
          <w:p>
            <w:pPr>
              <w:jc w:val="center"/>
            </w:pPr>
            <w:r>
              <w:rPr>
                <w:color w:val="000000"/>
                <w:sz w:val="24"/>
                <w:szCs w:val="24"/>
              </w:rPr>
              <w:t>15.97%</w:t>
            </w:r>
          </w:p>
        </w:tc>
        <w:tc>
          <w:tcPr>
            <w:vAlign w:val="center"/>
          </w:tcPr>
          <w:p>
            <w:pPr>
              <w:jc w:val="center"/>
            </w:pPr>
            <w:r>
              <w:rPr>
                <w:color w:val="000000"/>
                <w:sz w:val="24"/>
                <w:szCs w:val="24"/>
              </w:rPr>
              <w:t>0.15%</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107.81%</w:t>
            </w:r>
          </w:p>
        </w:tc>
        <w:tc>
          <w:tcPr>
            <w:vAlign w:val="center"/>
          </w:tcPr>
          <w:p>
            <w:pPr>
              <w:jc w:val="center"/>
            </w:pPr>
            <w:r>
              <w:rPr>
                <w:color w:val="000000"/>
                <w:sz w:val="24"/>
                <w:szCs w:val="24"/>
              </w:rPr>
              <w:t>1.32%</w:t>
            </w:r>
          </w:p>
        </w:tc>
        <w:tc>
          <w:tcPr>
            <w:vAlign w:val="center"/>
          </w:tcPr>
          <w:p>
            <w:pPr>
              <w:jc w:val="center"/>
            </w:pPr>
            <w:r>
              <w:rPr>
                <w:color w:val="000000"/>
                <w:sz w:val="24"/>
                <w:szCs w:val="24"/>
              </w:rPr>
              <w:t>27.60%</w:t>
            </w:r>
          </w:p>
        </w:tc>
        <w:tc>
          <w:tcPr>
            <w:vAlign w:val="center"/>
          </w:tcPr>
          <w:p>
            <w:pPr>
              <w:jc w:val="center"/>
            </w:pPr>
            <w:r>
              <w:rPr>
                <w:color w:val="000000"/>
                <w:sz w:val="24"/>
                <w:szCs w:val="24"/>
              </w:rPr>
              <w:t>1.00%</w:t>
            </w:r>
          </w:p>
        </w:tc>
        <w:tc>
          <w:tcPr>
            <w:vAlign w:val="center"/>
          </w:tcPr>
          <w:p>
            <w:pPr>
              <w:jc w:val="center"/>
            </w:pPr>
            <w:r>
              <w:rPr>
                <w:color w:val="000000"/>
                <w:sz w:val="24"/>
                <w:szCs w:val="24"/>
              </w:rPr>
              <w:t>80.21%</w:t>
            </w:r>
          </w:p>
        </w:tc>
        <w:tc>
          <w:tcPr>
            <w:vAlign w:val="center"/>
          </w:tcPr>
          <w:p>
            <w:pPr>
              <w:jc w:val="center"/>
            </w:pPr>
            <w:r>
              <w:rPr>
                <w:color w:val="000000"/>
                <w:sz w:val="24"/>
                <w:szCs w:val="24"/>
              </w:rPr>
              <w:t>0.32%</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142.26%</w:t>
            </w:r>
          </w:p>
        </w:tc>
        <w:tc>
          <w:tcPr>
            <w:vAlign w:val="center"/>
          </w:tcPr>
          <w:p>
            <w:pPr>
              <w:jc w:val="center"/>
            </w:pPr>
            <w:r>
              <w:rPr>
                <w:color w:val="000000"/>
                <w:sz w:val="24"/>
                <w:szCs w:val="24"/>
              </w:rPr>
              <w:t>1.31%</w:t>
            </w:r>
          </w:p>
        </w:tc>
        <w:tc>
          <w:tcPr>
            <w:vAlign w:val="center"/>
          </w:tcPr>
          <w:p>
            <w:pPr>
              <w:jc w:val="center"/>
            </w:pPr>
            <w:r>
              <w:rPr>
                <w:color w:val="000000"/>
                <w:sz w:val="24"/>
                <w:szCs w:val="24"/>
              </w:rPr>
              <w:t>36.77%</w:t>
            </w:r>
          </w:p>
        </w:tc>
        <w:tc>
          <w:tcPr>
            <w:vAlign w:val="center"/>
          </w:tcPr>
          <w:p>
            <w:pPr>
              <w:jc w:val="center"/>
            </w:pPr>
            <w:r>
              <w:rPr>
                <w:color w:val="000000"/>
                <w:sz w:val="24"/>
                <w:szCs w:val="24"/>
              </w:rPr>
              <w:t>0.93%</w:t>
            </w:r>
          </w:p>
        </w:tc>
        <w:tc>
          <w:tcPr>
            <w:vAlign w:val="center"/>
          </w:tcPr>
          <w:p>
            <w:pPr>
              <w:jc w:val="center"/>
            </w:pPr>
            <w:r>
              <w:rPr>
                <w:color w:val="000000"/>
                <w:sz w:val="24"/>
                <w:szCs w:val="24"/>
              </w:rPr>
              <w:t>105.49%</w:t>
            </w:r>
          </w:p>
        </w:tc>
        <w:tc>
          <w:tcPr>
            <w:vAlign w:val="center"/>
          </w:tcPr>
          <w:p>
            <w:pPr>
              <w:jc w:val="center"/>
            </w:pPr>
            <w:r>
              <w:rPr>
                <w:color w:val="000000"/>
                <w:sz w:val="24"/>
                <w:szCs w:val="24"/>
              </w:rPr>
              <w:t>0.38%</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444.84%</w:t>
            </w:r>
          </w:p>
        </w:tc>
        <w:tc>
          <w:tcPr>
            <w:vAlign w:val="center"/>
          </w:tcPr>
          <w:p>
            <w:pPr>
              <w:jc w:val="center"/>
            </w:pPr>
            <w:r>
              <w:rPr>
                <w:color w:val="000000"/>
                <w:sz w:val="24"/>
                <w:szCs w:val="24"/>
              </w:rPr>
              <w:t>1.46%</w:t>
            </w:r>
          </w:p>
        </w:tc>
        <w:tc>
          <w:tcPr>
            <w:vAlign w:val="center"/>
          </w:tcPr>
          <w:p>
            <w:pPr>
              <w:jc w:val="center"/>
            </w:pPr>
            <w:r>
              <w:rPr>
                <w:color w:val="000000"/>
                <w:sz w:val="24"/>
                <w:szCs w:val="24"/>
              </w:rPr>
              <w:t>107.89%</w:t>
            </w:r>
          </w:p>
        </w:tc>
        <w:tc>
          <w:tcPr>
            <w:vAlign w:val="center"/>
          </w:tcPr>
          <w:p>
            <w:pPr>
              <w:jc w:val="center"/>
            </w:pPr>
            <w:r>
              <w:rPr>
                <w:color w:val="000000"/>
                <w:sz w:val="24"/>
                <w:szCs w:val="24"/>
              </w:rPr>
              <w:t>1.10%</w:t>
            </w:r>
          </w:p>
        </w:tc>
        <w:tc>
          <w:tcPr>
            <w:vAlign w:val="center"/>
          </w:tcPr>
          <w:p>
            <w:pPr>
              <w:jc w:val="center"/>
            </w:pPr>
            <w:r>
              <w:rPr>
                <w:color w:val="000000"/>
                <w:sz w:val="24"/>
                <w:szCs w:val="24"/>
              </w:rPr>
              <w:t>336.95%</w:t>
            </w:r>
          </w:p>
        </w:tc>
        <w:tc>
          <w:tcPr>
            <w:vAlign w:val="center"/>
          </w:tcPr>
          <w:p>
            <w:pPr>
              <w:jc w:val="center"/>
            </w:pPr>
            <w:r>
              <w:rPr>
                <w:color w:val="000000"/>
                <w:sz w:val="24"/>
                <w:szCs w:val="24"/>
              </w:rPr>
              <w:t>0.36%</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交银施罗德阿尔法核心混合型证券投资基金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2012年8月3日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2015-09-16</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2020年四季度市场分化明显，景气度较高的行业如军工、新能源车以及白酒等行业涨幅明显，而低估值板块依然表现不佳，如地产、银行等。</w:t>
      </w:r>
    </w:p>
    <w:p>
      <w:pPr>
        <w:spacing w:before="29" w:line="288" w:lineRule="auto"/>
        <w:ind w:firstLine="480" w:firstLineChars="200"/>
        <w:rPr>
          <w:color w:val="000000"/>
          <w:sz w:val="24"/>
          <w:szCs w:val="24"/>
        </w:rPr>
      </w:pPr>
      <w:r>
        <w:rPr>
          <w:color w:val="000000"/>
          <w:sz w:val="24"/>
          <w:szCs w:val="24"/>
        </w:rPr>
        <w:t>国内经济在四季度继续回暖，货币政策从相对宽裕转向相对稳定。市场中不少中小型公司估值回落明显，资金向更少数的行业和公司集中。本基金整体持仓变化不大，适当增加了新能源行业以及如精细化工类的制造业配置。</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我们计划围绕两个方向展开，首先是基本面非常强劲的新兴行业，并且我们希望公司的估值没有透支未来3到5年的增长预期；然后，我们依然坚持要回到资产本身，挖掘市场“抛弃”的公司中，是否存在未来预期收益率较高并且安全边际很足的资产。</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7,711,850,262.51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91.53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7,711,850,262.51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91.53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449,911,396.20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5.34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449,911,396.20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5.34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177,030,233.61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86,839,221.09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8,425,631,113.41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373,108.00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482,200.00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4,198,363,248.71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1,600,900.00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210,800.00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40,108,000.10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411,227,225.95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747,425,576.43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230,981,664.30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2,028,132,990.80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421,400.00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15,649.20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547,192.43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51,960,306.59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7,711,850,262.51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92.90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31,976,323</w:t>
            </w:r>
          </w:p>
        </w:tc>
        <w:tc>
          <w:tcPr>
            <w:vAlign w:val="center"/>
          </w:tcPr>
          <w:p>
            <w:pPr>
              <w:jc w:val="right"/>
            </w:pPr>
            <w:r>
              <w:rPr>
                <w:color w:val="000000"/>
                <w:sz w:val="24"/>
                <w:szCs w:val="24"/>
              </w:rPr>
              <w:t>788,216,361.95</w:t>
            </w:r>
          </w:p>
        </w:tc>
        <w:tc>
          <w:tcPr>
            <w:vAlign w:val="center"/>
          </w:tcPr>
          <w:p>
            <w:pPr>
              <w:jc w:val="right"/>
            </w:pPr>
            <w:r>
              <w:rPr>
                <w:color w:val="000000"/>
                <w:sz w:val="24"/>
                <w:szCs w:val="24"/>
              </w:rPr>
              <w:t>9.50</w:t>
            </w:r>
          </w:p>
        </w:tc>
      </w:tr>
      <w:tr>
        <w:tc>
          <w:tcPr>
            <w:vAlign w:val="center"/>
          </w:tcPr>
          <w:p>
            <w:pPr>
              <w:jc w:val="center"/>
            </w:pPr>
            <w:r>
              <w:rPr>
                <w:color w:val="000000"/>
                <w:sz w:val="24"/>
                <w:szCs w:val="24"/>
              </w:rPr>
              <w:t>2</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26,782,752</w:t>
            </w:r>
          </w:p>
        </w:tc>
        <w:tc>
          <w:tcPr>
            <w:vAlign w:val="center"/>
          </w:tcPr>
          <w:p>
            <w:pPr>
              <w:jc w:val="right"/>
            </w:pPr>
            <w:r>
              <w:rPr>
                <w:color w:val="000000"/>
                <w:sz w:val="24"/>
                <w:szCs w:val="24"/>
              </w:rPr>
              <w:t>768,664,982.40</w:t>
            </w:r>
          </w:p>
        </w:tc>
        <w:tc>
          <w:tcPr>
            <w:vAlign w:val="center"/>
          </w:tcPr>
          <w:p>
            <w:pPr>
              <w:jc w:val="right"/>
            </w:pPr>
            <w:r>
              <w:rPr>
                <w:color w:val="000000"/>
                <w:sz w:val="24"/>
                <w:szCs w:val="24"/>
              </w:rPr>
              <w:t>9.26</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32,481,426</w:t>
            </w:r>
          </w:p>
        </w:tc>
        <w:tc>
          <w:tcPr>
            <w:vAlign w:val="center"/>
          </w:tcPr>
          <w:p>
            <w:pPr>
              <w:jc w:val="right"/>
            </w:pPr>
            <w:r>
              <w:rPr>
                <w:color w:val="000000"/>
                <w:sz w:val="24"/>
                <w:szCs w:val="24"/>
              </w:rPr>
              <w:t>513,856,159.32</w:t>
            </w:r>
          </w:p>
        </w:tc>
        <w:tc>
          <w:tcPr>
            <w:vAlign w:val="center"/>
          </w:tcPr>
          <w:p>
            <w:pPr>
              <w:jc w:val="right"/>
            </w:pPr>
            <w:r>
              <w:rPr>
                <w:color w:val="000000"/>
                <w:sz w:val="24"/>
                <w:szCs w:val="24"/>
              </w:rPr>
              <w:t>6.19</w:t>
            </w:r>
          </w:p>
        </w:tc>
      </w:tr>
      <w:tr>
        <w:tc>
          <w:tcPr>
            <w:vAlign w:val="center"/>
          </w:tcPr>
          <w:p>
            <w:pPr>
              <w:jc w:val="center"/>
            </w:pPr>
            <w:r>
              <w:rPr>
                <w:color w:val="000000"/>
                <w:sz w:val="24"/>
                <w:szCs w:val="24"/>
              </w:rPr>
              <w:t>4</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3,580,852</w:t>
            </w:r>
          </w:p>
        </w:tc>
        <w:tc>
          <w:tcPr>
            <w:vAlign w:val="center"/>
          </w:tcPr>
          <w:p>
            <w:pPr>
              <w:jc w:val="right"/>
            </w:pPr>
            <w:r>
              <w:rPr>
                <w:color w:val="000000"/>
                <w:sz w:val="24"/>
                <w:szCs w:val="24"/>
              </w:rPr>
              <w:t>479,153,806.12</w:t>
            </w:r>
          </w:p>
        </w:tc>
        <w:tc>
          <w:tcPr>
            <w:vAlign w:val="center"/>
          </w:tcPr>
          <w:p>
            <w:pPr>
              <w:jc w:val="right"/>
            </w:pPr>
            <w:r>
              <w:rPr>
                <w:color w:val="000000"/>
                <w:sz w:val="24"/>
                <w:szCs w:val="24"/>
              </w:rPr>
              <w:t>5.77</w:t>
            </w:r>
          </w:p>
        </w:tc>
      </w:tr>
      <w:tr>
        <w:tc>
          <w:tcPr>
            <w:vAlign w:val="center"/>
          </w:tcPr>
          <w:p>
            <w:pPr>
              <w:jc w:val="center"/>
            </w:pPr>
            <w:r>
              <w:rPr>
                <w:color w:val="000000"/>
                <w:sz w:val="24"/>
                <w:szCs w:val="24"/>
              </w:rPr>
              <w:t>5</w:t>
            </w:r>
          </w:p>
        </w:tc>
        <w:tc>
          <w:tcPr>
            <w:vAlign w:val="center"/>
          </w:tcPr>
          <w:p>
            <w:pPr>
              <w:jc w:val="center"/>
            </w:pPr>
            <w:r>
              <w:rPr>
                <w:color w:val="000000"/>
                <w:sz w:val="24"/>
                <w:szCs w:val="24"/>
              </w:rPr>
              <w:t>000961</w:t>
            </w:r>
          </w:p>
        </w:tc>
        <w:tc>
          <w:tcPr>
            <w:vAlign w:val="center"/>
          </w:tcPr>
          <w:p>
            <w:pPr>
              <w:jc w:val="center"/>
            </w:pPr>
            <w:r>
              <w:rPr>
                <w:color w:val="000000"/>
                <w:sz w:val="24"/>
                <w:szCs w:val="24"/>
              </w:rPr>
              <w:t>中南建设</w:t>
            </w:r>
          </w:p>
        </w:tc>
        <w:tc>
          <w:tcPr>
            <w:vAlign w:val="center"/>
          </w:tcPr>
          <w:p>
            <w:pPr>
              <w:jc w:val="right"/>
            </w:pPr>
            <w:r>
              <w:rPr>
                <w:color w:val="000000"/>
                <w:sz w:val="24"/>
                <w:szCs w:val="24"/>
              </w:rPr>
              <w:t>51,634,218</w:t>
            </w:r>
          </w:p>
        </w:tc>
        <w:tc>
          <w:tcPr>
            <w:vAlign w:val="center"/>
          </w:tcPr>
          <w:p>
            <w:pPr>
              <w:jc w:val="right"/>
            </w:pPr>
            <w:r>
              <w:rPr>
                <w:color w:val="000000"/>
                <w:sz w:val="24"/>
                <w:szCs w:val="24"/>
              </w:rPr>
              <w:t>455,930,144.94</w:t>
            </w:r>
          </w:p>
        </w:tc>
        <w:tc>
          <w:tcPr>
            <w:vAlign w:val="center"/>
          </w:tcPr>
          <w:p>
            <w:pPr>
              <w:jc w:val="right"/>
            </w:pPr>
            <w:r>
              <w:rPr>
                <w:color w:val="000000"/>
                <w:sz w:val="24"/>
                <w:szCs w:val="24"/>
              </w:rPr>
              <w:t>5.49</w:t>
            </w:r>
          </w:p>
        </w:tc>
      </w:tr>
      <w:tr>
        <w:tc>
          <w:tcPr>
            <w:vAlign w:val="center"/>
          </w:tcPr>
          <w:p>
            <w:pPr>
              <w:jc w:val="center"/>
            </w:pPr>
            <w:r>
              <w:rPr>
                <w:color w:val="000000"/>
                <w:sz w:val="24"/>
                <w:szCs w:val="24"/>
              </w:rPr>
              <w:t>6</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18,441,057</w:t>
            </w:r>
          </w:p>
        </w:tc>
        <w:tc>
          <w:tcPr>
            <w:vAlign w:val="center"/>
          </w:tcPr>
          <w:p>
            <w:pPr>
              <w:jc w:val="right"/>
            </w:pPr>
            <w:r>
              <w:rPr>
                <w:color w:val="000000"/>
                <w:sz w:val="24"/>
                <w:szCs w:val="24"/>
              </w:rPr>
              <w:t>440,188,030.59</w:t>
            </w:r>
          </w:p>
        </w:tc>
        <w:tc>
          <w:tcPr>
            <w:vAlign w:val="center"/>
          </w:tcPr>
          <w:p>
            <w:pPr>
              <w:jc w:val="right"/>
            </w:pPr>
            <w:r>
              <w:rPr>
                <w:color w:val="000000"/>
                <w:sz w:val="24"/>
                <w:szCs w:val="24"/>
              </w:rPr>
              <w:t>5.30</w:t>
            </w:r>
          </w:p>
        </w:tc>
      </w:tr>
      <w:tr>
        <w:tc>
          <w:tcPr>
            <w:vAlign w:val="center"/>
          </w:tcPr>
          <w:p>
            <w:pPr>
              <w:jc w:val="center"/>
            </w:pPr>
            <w:r>
              <w:rPr>
                <w:color w:val="000000"/>
                <w:sz w:val="24"/>
                <w:szCs w:val="24"/>
              </w:rPr>
              <w:t>7</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4,666,109</w:t>
            </w:r>
          </w:p>
        </w:tc>
        <w:tc>
          <w:tcPr>
            <w:vAlign w:val="center"/>
          </w:tcPr>
          <w:p>
            <w:pPr>
              <w:jc w:val="right"/>
            </w:pPr>
            <w:r>
              <w:rPr>
                <w:color w:val="000000"/>
                <w:sz w:val="24"/>
                <w:szCs w:val="24"/>
              </w:rPr>
              <w:t>410,634,797.07</w:t>
            </w:r>
          </w:p>
        </w:tc>
        <w:tc>
          <w:tcPr>
            <w:vAlign w:val="center"/>
          </w:tcPr>
          <w:p>
            <w:pPr>
              <w:jc w:val="right"/>
            </w:pPr>
            <w:r>
              <w:rPr>
                <w:color w:val="000000"/>
                <w:sz w:val="24"/>
                <w:szCs w:val="24"/>
              </w:rPr>
              <w:t>4.95</w:t>
            </w:r>
          </w:p>
        </w:tc>
      </w:tr>
      <w:tr>
        <w:tc>
          <w:tcPr>
            <w:vAlign w:val="center"/>
          </w:tcPr>
          <w:p>
            <w:pPr>
              <w:jc w:val="center"/>
            </w:pPr>
            <w:r>
              <w:rPr>
                <w:color w:val="000000"/>
                <w:sz w:val="24"/>
                <w:szCs w:val="24"/>
              </w:rPr>
              <w:t>8</w:t>
            </w:r>
          </w:p>
        </w:tc>
        <w:tc>
          <w:tcPr>
            <w:vAlign w:val="center"/>
          </w:tcPr>
          <w:p>
            <w:pPr>
              <w:jc w:val="center"/>
            </w:pPr>
            <w:r>
              <w:rPr>
                <w:color w:val="000000"/>
                <w:sz w:val="24"/>
                <w:szCs w:val="24"/>
              </w:rPr>
              <w:t>002831</w:t>
            </w:r>
          </w:p>
        </w:tc>
        <w:tc>
          <w:tcPr>
            <w:vAlign w:val="center"/>
          </w:tcPr>
          <w:p>
            <w:pPr>
              <w:jc w:val="center"/>
            </w:pPr>
            <w:r>
              <w:rPr>
                <w:color w:val="000000"/>
                <w:sz w:val="24"/>
                <w:szCs w:val="24"/>
              </w:rPr>
              <w:t>裕同科技</w:t>
            </w:r>
          </w:p>
        </w:tc>
        <w:tc>
          <w:tcPr>
            <w:vAlign w:val="center"/>
          </w:tcPr>
          <w:p>
            <w:pPr>
              <w:jc w:val="right"/>
            </w:pPr>
            <w:r>
              <w:rPr>
                <w:color w:val="000000"/>
                <w:sz w:val="24"/>
                <w:szCs w:val="24"/>
              </w:rPr>
              <w:t>11,161,268</w:t>
            </w:r>
          </w:p>
        </w:tc>
        <w:tc>
          <w:tcPr>
            <w:vAlign w:val="center"/>
          </w:tcPr>
          <w:p>
            <w:pPr>
              <w:jc w:val="right"/>
            </w:pPr>
            <w:r>
              <w:rPr>
                <w:color w:val="000000"/>
                <w:sz w:val="24"/>
                <w:szCs w:val="24"/>
              </w:rPr>
              <w:t>341,758,026.16</w:t>
            </w:r>
          </w:p>
        </w:tc>
        <w:tc>
          <w:tcPr>
            <w:vAlign w:val="center"/>
          </w:tcPr>
          <w:p>
            <w:pPr>
              <w:jc w:val="right"/>
            </w:pPr>
            <w:r>
              <w:rPr>
                <w:color w:val="000000"/>
                <w:sz w:val="24"/>
                <w:szCs w:val="24"/>
              </w:rPr>
              <w:t>4.12</w:t>
            </w:r>
          </w:p>
        </w:tc>
      </w:tr>
      <w:tr>
        <w:tc>
          <w:tcPr>
            <w:vAlign w:val="center"/>
          </w:tcPr>
          <w:p>
            <w:pPr>
              <w:jc w:val="center"/>
            </w:pPr>
            <w:r>
              <w:rPr>
                <w:color w:val="000000"/>
                <w:sz w:val="24"/>
                <w:szCs w:val="24"/>
              </w:rPr>
              <w:t>9</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21,444,854</w:t>
            </w:r>
          </w:p>
        </w:tc>
        <w:tc>
          <w:tcPr>
            <w:vAlign w:val="center"/>
          </w:tcPr>
          <w:p>
            <w:pPr>
              <w:jc w:val="right"/>
            </w:pPr>
            <w:r>
              <w:rPr>
                <w:color w:val="000000"/>
                <w:sz w:val="24"/>
                <w:szCs w:val="24"/>
              </w:rPr>
              <w:t>289,505,529.00</w:t>
            </w:r>
          </w:p>
        </w:tc>
        <w:tc>
          <w:tcPr>
            <w:vAlign w:val="center"/>
          </w:tcPr>
          <w:p>
            <w:pPr>
              <w:jc w:val="right"/>
            </w:pPr>
            <w:r>
              <w:rPr>
                <w:color w:val="000000"/>
                <w:sz w:val="24"/>
                <w:szCs w:val="24"/>
              </w:rPr>
              <w:t>3.49</w:t>
            </w:r>
          </w:p>
        </w:tc>
      </w:tr>
      <w:tr>
        <w:tc>
          <w:tcPr>
            <w:vAlign w:val="center"/>
          </w:tcPr>
          <w:p>
            <w:pPr>
              <w:jc w:val="center"/>
            </w:pPr>
            <w:r>
              <w:rPr>
                <w:color w:val="000000"/>
                <w:sz w:val="24"/>
                <w:szCs w:val="24"/>
              </w:rPr>
              <w:t>10</w:t>
            </w:r>
          </w:p>
        </w:tc>
        <w:tc>
          <w:tcPr>
            <w:vAlign w:val="center"/>
          </w:tcPr>
          <w:p>
            <w:pPr>
              <w:jc w:val="center"/>
            </w:pPr>
            <w:r>
              <w:rPr>
                <w:color w:val="000000"/>
                <w:sz w:val="24"/>
                <w:szCs w:val="24"/>
              </w:rPr>
              <w:t>603129</w:t>
            </w:r>
          </w:p>
        </w:tc>
        <w:tc>
          <w:tcPr>
            <w:vAlign w:val="center"/>
          </w:tcPr>
          <w:p>
            <w:pPr>
              <w:jc w:val="center"/>
            </w:pPr>
            <w:r>
              <w:rPr>
                <w:color w:val="000000"/>
                <w:sz w:val="24"/>
                <w:szCs w:val="24"/>
              </w:rPr>
              <w:t>春风动力</w:t>
            </w:r>
          </w:p>
        </w:tc>
        <w:tc>
          <w:tcPr>
            <w:vAlign w:val="center"/>
          </w:tcPr>
          <w:p>
            <w:pPr>
              <w:jc w:val="right"/>
            </w:pPr>
            <w:r>
              <w:rPr>
                <w:color w:val="000000"/>
                <w:sz w:val="24"/>
                <w:szCs w:val="24"/>
              </w:rPr>
              <w:t>1,534,393</w:t>
            </w:r>
          </w:p>
        </w:tc>
        <w:tc>
          <w:tcPr>
            <w:vAlign w:val="center"/>
          </w:tcPr>
          <w:p>
            <w:pPr>
              <w:jc w:val="right"/>
            </w:pPr>
            <w:r>
              <w:rPr>
                <w:color w:val="000000"/>
                <w:sz w:val="24"/>
                <w:szCs w:val="24"/>
              </w:rPr>
              <w:t>267,275,916.67</w:t>
            </w:r>
          </w:p>
        </w:tc>
        <w:tc>
          <w:tcPr>
            <w:vAlign w:val="center"/>
          </w:tcPr>
          <w:p>
            <w:pPr>
              <w:jc w:val="right"/>
            </w:pPr>
            <w:r>
              <w:rPr>
                <w:color w:val="000000"/>
                <w:sz w:val="24"/>
                <w:szCs w:val="24"/>
              </w:rPr>
              <w:t>3.22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449,818,000.00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449,818,000.00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93,396.20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449,911,396.20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200409</w:t>
            </w:r>
          </w:p>
        </w:tc>
        <w:tc>
          <w:tcPr>
            <w:vAlign w:val="center"/>
          </w:tcPr>
          <w:p>
            <w:pPr>
              <w:jc w:val="center"/>
            </w:pPr>
            <w:r>
              <w:rPr>
                <w:color w:val="000000"/>
                <w:sz w:val="24"/>
                <w:szCs w:val="24"/>
              </w:rPr>
              <w:t>20农发09</w:t>
            </w:r>
          </w:p>
        </w:tc>
        <w:tc>
          <w:tcPr>
            <w:vAlign w:val="center"/>
          </w:tcPr>
          <w:p>
            <w:pPr>
              <w:jc w:val="right"/>
            </w:pPr>
            <w:r>
              <w:rPr>
                <w:color w:val="000000"/>
                <w:sz w:val="24"/>
                <w:szCs w:val="24"/>
              </w:rPr>
              <w:t>1,600,000</w:t>
            </w:r>
          </w:p>
        </w:tc>
        <w:tc>
          <w:tcPr>
            <w:vAlign w:val="center"/>
          </w:tcPr>
          <w:p>
            <w:pPr>
              <w:jc w:val="right"/>
            </w:pPr>
            <w:r>
              <w:rPr>
                <w:color w:val="000000"/>
                <w:sz w:val="24"/>
                <w:szCs w:val="24"/>
              </w:rPr>
              <w:t>160,064,000.00</w:t>
            </w:r>
          </w:p>
        </w:tc>
        <w:tc>
          <w:tcPr>
            <w:vAlign w:val="center"/>
          </w:tcPr>
          <w:p>
            <w:pPr>
              <w:jc w:val="right"/>
            </w:pPr>
            <w:r>
              <w:rPr>
                <w:color w:val="000000"/>
                <w:sz w:val="24"/>
                <w:szCs w:val="24"/>
              </w:rPr>
              <w:t>1.93</w:t>
            </w:r>
          </w:p>
        </w:tc>
      </w:tr>
      <w:tr>
        <w:tc>
          <w:tcPr>
            <w:vAlign w:val="center"/>
          </w:tcPr>
          <w:p>
            <w:pPr>
              <w:jc w:val="center"/>
            </w:pPr>
            <w:r>
              <w:rPr>
                <w:color w:val="000000"/>
                <w:sz w:val="24"/>
                <w:szCs w:val="24"/>
              </w:rPr>
              <w:t>2</w:t>
            </w:r>
          </w:p>
        </w:tc>
        <w:tc>
          <w:tcPr>
            <w:vAlign w:val="center"/>
          </w:tcPr>
          <w:p>
            <w:pPr>
              <w:jc w:val="center"/>
            </w:pPr>
            <w:r>
              <w:rPr>
                <w:color w:val="000000"/>
                <w:sz w:val="24"/>
                <w:szCs w:val="24"/>
              </w:rPr>
              <w:t>200406</w:t>
            </w:r>
          </w:p>
        </w:tc>
        <w:tc>
          <w:tcPr>
            <w:vAlign w:val="center"/>
          </w:tcPr>
          <w:p>
            <w:pPr>
              <w:jc w:val="center"/>
            </w:pPr>
            <w:r>
              <w:rPr>
                <w:color w:val="000000"/>
                <w:sz w:val="24"/>
                <w:szCs w:val="24"/>
              </w:rPr>
              <w:t>20农发06</w:t>
            </w:r>
          </w:p>
        </w:tc>
        <w:tc>
          <w:tcPr>
            <w:vAlign w:val="center"/>
          </w:tcPr>
          <w:p>
            <w:pPr>
              <w:jc w:val="right"/>
            </w:pPr>
            <w:r>
              <w:rPr>
                <w:color w:val="000000"/>
                <w:sz w:val="24"/>
                <w:szCs w:val="24"/>
              </w:rPr>
              <w:t>1,300,000</w:t>
            </w:r>
          </w:p>
        </w:tc>
        <w:tc>
          <w:tcPr>
            <w:vAlign w:val="center"/>
          </w:tcPr>
          <w:p>
            <w:pPr>
              <w:jc w:val="right"/>
            </w:pPr>
            <w:r>
              <w:rPr>
                <w:color w:val="000000"/>
                <w:sz w:val="24"/>
                <w:szCs w:val="24"/>
              </w:rPr>
              <w:t>129,688,000.00</w:t>
            </w:r>
          </w:p>
        </w:tc>
        <w:tc>
          <w:tcPr>
            <w:vAlign w:val="center"/>
          </w:tcPr>
          <w:p>
            <w:pPr>
              <w:jc w:val="right"/>
            </w:pPr>
            <w:r>
              <w:rPr>
                <w:color w:val="000000"/>
                <w:sz w:val="24"/>
                <w:szCs w:val="24"/>
              </w:rPr>
              <w:t>1.56</w:t>
            </w:r>
          </w:p>
        </w:tc>
      </w:tr>
      <w:tr>
        <w:tc>
          <w:tcPr>
            <w:vAlign w:val="center"/>
          </w:tcPr>
          <w:p>
            <w:pPr>
              <w:jc w:val="center"/>
            </w:pPr>
            <w:r>
              <w:rPr>
                <w:color w:val="000000"/>
                <w:sz w:val="24"/>
                <w:szCs w:val="24"/>
              </w:rPr>
              <w:t>3</w:t>
            </w:r>
          </w:p>
        </w:tc>
        <w:tc>
          <w:tcPr>
            <w:vAlign w:val="center"/>
          </w:tcPr>
          <w:p>
            <w:pPr>
              <w:jc w:val="center"/>
            </w:pPr>
            <w:r>
              <w:rPr>
                <w:color w:val="000000"/>
                <w:sz w:val="24"/>
                <w:szCs w:val="24"/>
              </w:rPr>
              <w:t>200314</w:t>
            </w:r>
          </w:p>
        </w:tc>
        <w:tc>
          <w:tcPr>
            <w:vAlign w:val="center"/>
          </w:tcPr>
          <w:p>
            <w:pPr>
              <w:jc w:val="center"/>
            </w:pPr>
            <w:r>
              <w:rPr>
                <w:color w:val="000000"/>
                <w:sz w:val="24"/>
                <w:szCs w:val="24"/>
              </w:rPr>
              <w:t>20进出14</w:t>
            </w:r>
          </w:p>
        </w:tc>
        <w:tc>
          <w:tcPr>
            <w:vAlign w:val="center"/>
          </w:tcPr>
          <w:p>
            <w:pPr>
              <w:jc w:val="right"/>
            </w:pPr>
            <w:r>
              <w:rPr>
                <w:color w:val="000000"/>
                <w:sz w:val="24"/>
                <w:szCs w:val="24"/>
              </w:rPr>
              <w:t>700,000</w:t>
            </w:r>
          </w:p>
        </w:tc>
        <w:tc>
          <w:tcPr>
            <w:vAlign w:val="center"/>
          </w:tcPr>
          <w:p>
            <w:pPr>
              <w:jc w:val="right"/>
            </w:pPr>
            <w:r>
              <w:rPr>
                <w:color w:val="000000"/>
                <w:sz w:val="24"/>
                <w:szCs w:val="24"/>
              </w:rPr>
              <w:t>70,077,000.00</w:t>
            </w:r>
          </w:p>
        </w:tc>
        <w:tc>
          <w:tcPr>
            <w:vAlign w:val="center"/>
          </w:tcPr>
          <w:p>
            <w:pPr>
              <w:jc w:val="right"/>
            </w:pPr>
            <w:r>
              <w:rPr>
                <w:color w:val="000000"/>
                <w:sz w:val="24"/>
                <w:szCs w:val="24"/>
              </w:rPr>
              <w:t>0.84</w:t>
            </w:r>
          </w:p>
        </w:tc>
      </w:tr>
      <w:tr>
        <w:tc>
          <w:tcPr>
            <w:vAlign w:val="center"/>
          </w:tcPr>
          <w:p>
            <w:pPr>
              <w:jc w:val="center"/>
            </w:pPr>
            <w:r>
              <w:rPr>
                <w:color w:val="000000"/>
                <w:sz w:val="24"/>
                <w:szCs w:val="24"/>
              </w:rPr>
              <w:t>4</w:t>
            </w:r>
          </w:p>
        </w:tc>
        <w:tc>
          <w:tcPr>
            <w:vAlign w:val="center"/>
          </w:tcPr>
          <w:p>
            <w:pPr>
              <w:jc w:val="center"/>
            </w:pPr>
            <w:r>
              <w:rPr>
                <w:color w:val="000000"/>
                <w:sz w:val="24"/>
                <w:szCs w:val="24"/>
              </w:rPr>
              <w:t>200201</w:t>
            </w:r>
          </w:p>
        </w:tc>
        <w:tc>
          <w:tcPr>
            <w:vAlign w:val="center"/>
          </w:tcPr>
          <w:p>
            <w:pPr>
              <w:jc w:val="center"/>
            </w:pPr>
            <w:r>
              <w:rPr>
                <w:color w:val="000000"/>
                <w:sz w:val="24"/>
                <w:szCs w:val="24"/>
              </w:rPr>
              <w:t>20国开01</w:t>
            </w:r>
          </w:p>
        </w:tc>
        <w:tc>
          <w:tcPr>
            <w:vAlign w:val="center"/>
          </w:tcPr>
          <w:p>
            <w:pPr>
              <w:jc w:val="right"/>
            </w:pPr>
            <w:r>
              <w:rPr>
                <w:color w:val="000000"/>
                <w:sz w:val="24"/>
                <w:szCs w:val="24"/>
              </w:rPr>
              <w:t>500,000</w:t>
            </w:r>
          </w:p>
        </w:tc>
        <w:tc>
          <w:tcPr>
            <w:vAlign w:val="center"/>
          </w:tcPr>
          <w:p>
            <w:pPr>
              <w:jc w:val="right"/>
            </w:pPr>
            <w:r>
              <w:rPr>
                <w:color w:val="000000"/>
                <w:sz w:val="24"/>
                <w:szCs w:val="24"/>
              </w:rPr>
              <w:t>50,005,000.00</w:t>
            </w:r>
          </w:p>
        </w:tc>
        <w:tc>
          <w:tcPr>
            <w:vAlign w:val="center"/>
          </w:tcPr>
          <w:p>
            <w:pPr>
              <w:jc w:val="right"/>
            </w:pPr>
            <w:r>
              <w:rPr>
                <w:color w:val="000000"/>
                <w:sz w:val="24"/>
                <w:szCs w:val="24"/>
              </w:rPr>
              <w:t>0.60</w:t>
            </w:r>
          </w:p>
        </w:tc>
      </w:tr>
      <w:tr>
        <w:tc>
          <w:tcPr>
            <w:vAlign w:val="center"/>
          </w:tcPr>
          <w:p>
            <w:pPr>
              <w:jc w:val="center"/>
            </w:pPr>
            <w:r>
              <w:rPr>
                <w:color w:val="000000"/>
                <w:sz w:val="24"/>
                <w:szCs w:val="24"/>
              </w:rPr>
              <w:t>5</w:t>
            </w:r>
          </w:p>
        </w:tc>
        <w:tc>
          <w:tcPr>
            <w:vAlign w:val="center"/>
          </w:tcPr>
          <w:p>
            <w:pPr>
              <w:jc w:val="center"/>
            </w:pPr>
            <w:r>
              <w:rPr>
                <w:color w:val="000000"/>
                <w:sz w:val="24"/>
                <w:szCs w:val="24"/>
              </w:rPr>
              <w:t>200304</w:t>
            </w:r>
          </w:p>
        </w:tc>
        <w:tc>
          <w:tcPr>
            <w:vAlign w:val="center"/>
          </w:tcPr>
          <w:p>
            <w:pPr>
              <w:jc w:val="center"/>
            </w:pPr>
            <w:r>
              <w:rPr>
                <w:color w:val="000000"/>
                <w:sz w:val="24"/>
                <w:szCs w:val="24"/>
              </w:rPr>
              <w:t>20进出04</w:t>
            </w:r>
          </w:p>
        </w:tc>
        <w:tc>
          <w:tcPr>
            <w:vAlign w:val="center"/>
          </w:tcPr>
          <w:p>
            <w:pPr>
              <w:jc w:val="right"/>
            </w:pPr>
            <w:r>
              <w:rPr>
                <w:color w:val="000000"/>
                <w:sz w:val="24"/>
                <w:szCs w:val="24"/>
              </w:rPr>
              <w:t>400,000</w:t>
            </w:r>
          </w:p>
        </w:tc>
        <w:tc>
          <w:tcPr>
            <w:vAlign w:val="center"/>
          </w:tcPr>
          <w:p>
            <w:pPr>
              <w:jc w:val="right"/>
            </w:pPr>
            <w:r>
              <w:rPr>
                <w:color w:val="000000"/>
                <w:sz w:val="24"/>
                <w:szCs w:val="24"/>
              </w:rPr>
              <w:t>39,984,000.00</w:t>
            </w:r>
          </w:p>
        </w:tc>
        <w:tc>
          <w:tcPr>
            <w:vAlign w:val="center"/>
          </w:tcPr>
          <w:p>
            <w:pPr>
              <w:jc w:val="right"/>
            </w:pPr>
            <w:r>
              <w:rPr>
                <w:color w:val="000000"/>
                <w:sz w:val="24"/>
                <w:szCs w:val="24"/>
              </w:rPr>
              <w:t>0.48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1,689,524.97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67,107,669.57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4,294,005.56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13,748,020.99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86,839,221.09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65,656.40</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69,528,000.00</w:t>
            </w:r>
          </w:p>
        </w:tc>
        <w:tc>
          <w:tcPr>
            <w:vAlign w:val="center"/>
          </w:tcPr>
          <w:p>
            <w:pPr>
              <w:jc w:val="right"/>
            </w:pPr>
            <w:r>
              <w:rPr>
                <w:color w:val="000000"/>
                <w:sz w:val="24"/>
                <w:szCs w:val="24"/>
              </w:rPr>
              <w:t>0.84</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2,698,235,394.32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298,135,754.80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679,773,940.61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2,316,597,208.51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1、中国证监会核准交银施罗德阿尔法核心股票型证券投资基金募集的文件；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2、《交银施罗德阿尔法核心混合型证券投资基金基金合同》；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3、《交银施罗德阿尔法核心混合型证券投资基金招募说明书》； </w:t>
      </w:r>
    </w:p>
    <w:p>
      <w:pPr>
        <w:spacing w:before="29" w:line="288" w:lineRule="auto"/>
        <w:ind w:firstLine="480" w:firstLineChars="200"/>
        <w:rPr>
          <w:color w:val="000000"/>
          <w:sz w:val="24"/>
          <w:szCs w:val="24"/>
        </w:rPr>
      </w:pPr>
      <w:r>
        <w:rPr>
          <w:color w:val="000000"/>
          <w:sz w:val="24"/>
          <w:szCs w:val="24"/>
        </w:rPr>
        <w:t>4、《交银施罗德阿尔法核心混合型证券投资基金托管协议》；</w:t>
      </w:r>
    </w:p>
    <w:p>
      <w:pPr>
        <w:spacing w:before="29" w:line="288" w:lineRule="auto"/>
        <w:ind w:firstLine="480" w:firstLineChars="200"/>
        <w:rPr>
          <w:color w:val="000000"/>
          <w:sz w:val="24"/>
          <w:szCs w:val="24"/>
        </w:rPr>
      </w:pPr>
      <w:r>
        <w:rPr>
          <w:color w:val="000000"/>
          <w:sz w:val="24"/>
          <w:szCs w:val="24"/>
        </w:rPr>
        <w:t>5、关于募集交银施罗德阿尔法核心股票型证券投资基金之法律意见书；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8、报告期内交银施罗德阿尔法核心混合型证券投资基金在指定报刊上各项公告的原稿。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交银施罗德阿尔法核心混合型证券投资基金2020年第4季度报告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