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rPr>
          <w:color w:val="000000"/>
          <w:kern w:val="0"/>
          <w:sz w:val="24"/>
          <w:szCs w:val="24"/>
        </w:rPr>
      </w:pPr>
    </w:p>
    <w:p>
      <w:pPr>
        <w:spacing w:before="29" w:line="288" w:lineRule="auto"/>
        <w:jc w:val="center"/>
        <w:outlineLvl w:val="0"/>
        <w:rPr>
          <w:b/>
          <w:sz w:val="36"/>
          <w:szCs w:val="36"/>
        </w:rPr>
      </w:pPr>
      <w:r>
        <w:rPr>
          <w:b/>
          <w:sz w:val="36"/>
          <w:szCs w:val="36"/>
        </w:rPr>
        <w:t>交银施罗德裕惠纯债债券型证券投资基金</w:t>
      </w:r>
    </w:p>
    <w:p>
      <w:pPr>
        <w:spacing w:before="29" w:line="288" w:lineRule="auto"/>
        <w:jc w:val="center"/>
        <w:outlineLvl w:val="0"/>
        <w:rPr>
          <w:b/>
          <w:sz w:val="36"/>
          <w:szCs w:val="36"/>
        </w:rPr>
      </w:pPr>
      <w:r>
        <w:rPr>
          <w:b/>
          <w:sz w:val="36"/>
          <w:szCs w:val="36"/>
        </w:rPr>
        <w:t>2020年第4季度报告</w:t>
      </w:r>
    </w:p>
    <w:p>
      <w:pPr>
        <w:spacing w:before="29" w:line="288" w:lineRule="auto"/>
        <w:jc w:val="center"/>
        <w:outlineLvl w:val="0"/>
        <w:rPr>
          <w:b/>
          <w:sz w:val="36"/>
          <w:szCs w:val="36"/>
        </w:rPr>
      </w:pPr>
      <w:r>
        <w:rPr>
          <w:b/>
          <w:sz w:val="36"/>
          <w:szCs w:val="36"/>
        </w:rPr>
        <w:t>2020年12月31日</w:t>
      </w: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jc w:val="center"/>
        <w:rPr>
          <w:b/>
          <w:bCs/>
          <w:color w:val="000000"/>
          <w:sz w:val="24"/>
          <w:szCs w:val="24"/>
        </w:rPr>
      </w:pPr>
    </w:p>
    <w:p>
      <w:pPr>
        <w:spacing w:before="29" w:line="288" w:lineRule="auto"/>
        <w:ind w:firstLine="2168" w:firstLineChars="900"/>
        <w:outlineLvl w:val="0"/>
        <w:rPr>
          <w:b/>
          <w:color w:val="000000"/>
          <w:sz w:val="24"/>
          <w:szCs w:val="24"/>
        </w:rPr>
      </w:pPr>
      <w:r>
        <w:rPr>
          <w:b/>
          <w:color w:val="000000"/>
          <w:sz w:val="24"/>
          <w:szCs w:val="24"/>
        </w:rPr>
        <w:t>基金管理人：交银施罗德基金管理有限公司</w:t>
      </w:r>
    </w:p>
    <w:p>
      <w:pPr>
        <w:spacing w:before="29" w:line="288" w:lineRule="auto"/>
        <w:ind w:firstLine="2168" w:firstLineChars="900"/>
        <w:outlineLvl w:val="0"/>
        <w:rPr>
          <w:b/>
          <w:color w:val="000000"/>
          <w:sz w:val="24"/>
          <w:szCs w:val="24"/>
        </w:rPr>
      </w:pPr>
      <w:r>
        <w:rPr>
          <w:b/>
          <w:color w:val="000000"/>
          <w:sz w:val="24"/>
          <w:szCs w:val="24"/>
        </w:rPr>
        <w:t>基金托管人：中国建设银行股份有限公司</w:t>
      </w:r>
    </w:p>
    <w:p>
      <w:pPr>
        <w:spacing w:before="29" w:line="288" w:lineRule="auto"/>
        <w:ind w:firstLine="2168" w:firstLineChars="900"/>
        <w:outlineLvl w:val="0"/>
        <w:rPr>
          <w:b/>
          <w:color w:val="000000"/>
          <w:sz w:val="24"/>
          <w:szCs w:val="24"/>
        </w:rPr>
        <w:sectPr>
          <w:headerReference r:id="rId5" w:type="first"/>
          <w:footerReference r:id="rId8" w:type="first"/>
          <w:headerReference r:id="rId3" w:type="default"/>
          <w:footerReference r:id="rId6" w:type="default"/>
          <w:headerReference r:id="rId4" w:type="even"/>
          <w:footerReference r:id="rId7" w:type="even"/>
          <w:pgSz w:w="11926" w:h="15840"/>
          <w:pgMar w:top="1418" w:right="1440" w:bottom="851" w:left="1440" w:header="851" w:footer="992" w:gutter="0"/>
          <w:cols w:space="720" w:num="1"/>
          <w:titlePg/>
          <w:docGrid w:linePitch="286" w:charSpace="0"/>
        </w:sectPr>
      </w:pPr>
      <w:r>
        <w:rPr>
          <w:b/>
          <w:color w:val="000000"/>
          <w:sz w:val="24"/>
          <w:szCs w:val="24"/>
        </w:rPr>
        <w:t>报告送出日期：二〇二一年一月二十一日</w:t>
      </w:r>
    </w:p>
    <w:p>
      <w:pPr>
        <w:pStyle w:val="2"/>
        <w:spacing w:before="312" w:beforeLines="100" w:after="312" w:afterLines="100" w:line="288" w:lineRule="auto"/>
        <w:jc w:val="center"/>
        <w:rPr>
          <w:b w:val="0"/>
          <w:bCs w:val="0"/>
          <w:color w:val="000000"/>
          <w:kern w:val="0"/>
          <w:sz w:val="24"/>
          <w:szCs w:val="24"/>
        </w:rPr>
      </w:pPr>
      <w:r>
        <w:rPr>
          <w:color w:val="000000"/>
          <w:kern w:val="0"/>
          <w:sz w:val="24"/>
          <w:szCs w:val="24"/>
        </w:rPr>
        <w:t>§1  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pPr>
        <w:spacing w:before="29" w:line="288" w:lineRule="auto"/>
        <w:ind w:firstLine="480" w:firstLineChars="200"/>
        <w:rPr>
          <w:color w:val="000000"/>
          <w:sz w:val="24"/>
          <w:szCs w:val="24"/>
        </w:rPr>
      </w:pPr>
      <w:r>
        <w:rPr>
          <w:color w:val="000000"/>
          <w:sz w:val="24"/>
          <w:szCs w:val="24"/>
        </w:rPr>
        <w:t>本报告期自2020年10月1日起至12月31日止。</w:t>
      </w:r>
    </w:p>
    <w:p>
      <w:pPr>
        <w:spacing w:before="29" w:line="288" w:lineRule="auto"/>
        <w:ind w:firstLine="480" w:firstLineChars="200"/>
        <w:rPr>
          <w:color w:val="000000"/>
          <w:sz w:val="24"/>
          <w:szCs w:val="24"/>
        </w:rPr>
      </w:pPr>
    </w:p>
    <w:p>
      <w:pPr>
        <w:pStyle w:val="2"/>
        <w:spacing w:before="312" w:beforeLines="100" w:after="312" w:afterLines="100" w:line="288" w:lineRule="auto"/>
        <w:jc w:val="center"/>
        <w:rPr>
          <w:color w:val="000000"/>
          <w:kern w:val="0"/>
          <w:sz w:val="24"/>
          <w:szCs w:val="24"/>
        </w:rPr>
      </w:pPr>
      <w:r>
        <w:rPr>
          <w:color w:val="000000"/>
          <w:kern w:val="0"/>
          <w:sz w:val="24"/>
          <w:szCs w:val="24"/>
        </w:rPr>
        <w:t>§2  基金产品概况</w:t>
      </w:r>
    </w:p>
    <w:tbl>
      <w:tblPr>
        <w:tblStyle w:val="23"/>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kern w:val="0"/>
                <w:sz w:val="24"/>
                <w:szCs w:val="24"/>
              </w:rPr>
            </w:pPr>
            <w:r>
              <w:rPr>
                <w:kern w:val="0"/>
                <w:sz w:val="24"/>
                <w:szCs w:val="24"/>
              </w:rPr>
              <w:t>基金简称</w:t>
            </w:r>
          </w:p>
        </w:tc>
        <w:tc>
          <w:tcPr>
            <w:tcW w:w="5845" w:type="dxa"/>
            <w:vAlign w:val="center"/>
          </w:tcPr>
          <w:p>
            <w:pPr>
              <w:adjustRightInd w:val="0"/>
              <w:spacing w:before="29" w:line="288" w:lineRule="auto"/>
              <w:ind w:left="17"/>
              <w:jc w:val="left"/>
              <w:rPr>
                <w:color w:val="000000"/>
                <w:kern w:val="0"/>
                <w:sz w:val="24"/>
                <w:szCs w:val="24"/>
              </w:rPr>
            </w:pPr>
            <w:r>
              <w:rPr>
                <w:color w:val="000000"/>
                <w:kern w:val="0"/>
                <w:sz w:val="24"/>
                <w:szCs w:val="24"/>
              </w:rPr>
              <w:t>交银裕惠纯债债券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tcBorders>
              <w:top w:val="single" w:color="auto" w:sz="4" w:space="0"/>
              <w:left w:val="single" w:color="auto" w:sz="4" w:space="0"/>
              <w:bottom w:val="single" w:color="auto" w:sz="4" w:space="0"/>
              <w:right w:val="single" w:color="auto" w:sz="4" w:space="0"/>
            </w:tcBorders>
            <w:vAlign w:val="center"/>
          </w:tcPr>
          <w:p>
            <w:pPr>
              <w:adjustRightInd w:val="0"/>
              <w:spacing w:before="29" w:line="288" w:lineRule="auto"/>
              <w:ind w:left="17"/>
              <w:jc w:val="left"/>
              <w:rPr>
                <w:kern w:val="0"/>
                <w:sz w:val="24"/>
                <w:szCs w:val="24"/>
              </w:rPr>
            </w:pPr>
            <w:r>
              <w:rPr>
                <w:kern w:val="0"/>
                <w:sz w:val="24"/>
                <w:szCs w:val="24"/>
              </w:rPr>
              <w:t>基金主代码</w:t>
            </w:r>
          </w:p>
        </w:tc>
        <w:tc>
          <w:tcPr>
            <w:tcW w:w="5845" w:type="dxa"/>
            <w:tcBorders>
              <w:top w:val="single" w:color="auto" w:sz="4" w:space="0"/>
              <w:left w:val="single" w:color="auto" w:sz="4" w:space="0"/>
              <w:bottom w:val="single" w:color="auto" w:sz="4" w:space="0"/>
              <w:right w:val="single" w:color="auto" w:sz="4" w:space="0"/>
            </w:tcBorders>
            <w:vAlign w:val="center"/>
          </w:tcPr>
          <w:p>
            <w:pPr>
              <w:adjustRightInd w:val="0"/>
              <w:spacing w:before="29" w:line="288" w:lineRule="auto"/>
              <w:ind w:left="17"/>
              <w:jc w:val="left"/>
              <w:rPr>
                <w:color w:val="000000"/>
                <w:kern w:val="0"/>
                <w:sz w:val="24"/>
                <w:szCs w:val="24"/>
              </w:rPr>
            </w:pPr>
            <w:r>
              <w:rPr>
                <w:color w:val="000000"/>
                <w:kern w:val="0"/>
                <w:sz w:val="24"/>
                <w:szCs w:val="24"/>
              </w:rPr>
              <w:t>519722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tcBorders>
              <w:top w:val="single" w:color="auto" w:sz="4" w:space="0"/>
              <w:left w:val="single" w:color="auto" w:sz="4" w:space="0"/>
              <w:bottom w:val="single" w:color="auto" w:sz="4" w:space="0"/>
              <w:right w:val="single" w:color="auto" w:sz="4" w:space="0"/>
            </w:tcBorders>
            <w:vAlign w:val="center"/>
          </w:tcPr>
          <w:p>
            <w:pPr>
              <w:adjustRightInd w:val="0"/>
              <w:spacing w:before="29" w:line="288" w:lineRule="auto"/>
              <w:ind w:left="17"/>
              <w:jc w:val="left"/>
              <w:rPr>
                <w:kern w:val="0"/>
                <w:sz w:val="24"/>
                <w:szCs w:val="24"/>
              </w:rPr>
            </w:pPr>
            <w:r>
              <w:rPr>
                <w:kern w:val="0"/>
                <w:sz w:val="24"/>
                <w:szCs w:val="24"/>
              </w:rPr>
              <w:t>交易代码</w:t>
            </w:r>
          </w:p>
        </w:tc>
        <w:tc>
          <w:tcPr>
            <w:tcW w:w="5845" w:type="dxa"/>
            <w:tcBorders>
              <w:top w:val="single" w:color="auto" w:sz="4" w:space="0"/>
              <w:left w:val="single" w:color="auto" w:sz="4" w:space="0"/>
              <w:bottom w:val="single" w:color="auto" w:sz="4" w:space="0"/>
              <w:right w:val="single" w:color="auto" w:sz="4" w:space="0"/>
            </w:tcBorders>
            <w:vAlign w:val="center"/>
          </w:tcPr>
          <w:p>
            <w:pPr>
              <w:adjustRightInd w:val="0"/>
              <w:spacing w:before="29" w:line="288" w:lineRule="auto"/>
              <w:ind w:left="17"/>
              <w:jc w:val="left"/>
              <w:rPr>
                <w:color w:val="000000"/>
                <w:kern w:val="0"/>
                <w:sz w:val="24"/>
                <w:szCs w:val="24"/>
              </w:rPr>
            </w:pPr>
            <w:r>
              <w:rPr>
                <w:kern w:val="0"/>
                <w:sz w:val="24"/>
              </w:rPr>
              <w:t>519722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基金运作方式</w:t>
            </w:r>
          </w:p>
        </w:tc>
        <w:tc>
          <w:tcPr>
            <w:tcW w:w="5845" w:type="dxa"/>
            <w:vAlign w:val="center"/>
          </w:tcPr>
          <w:p>
            <w:pPr>
              <w:adjustRightInd w:val="0"/>
              <w:spacing w:before="29" w:line="288" w:lineRule="auto"/>
              <w:ind w:left="17"/>
              <w:jc w:val="left"/>
              <w:rPr>
                <w:color w:val="000000"/>
                <w:sz w:val="24"/>
                <w:szCs w:val="24"/>
              </w:rPr>
            </w:pPr>
            <w:r>
              <w:rPr>
                <w:color w:val="000000"/>
                <w:kern w:val="0"/>
                <w:sz w:val="24"/>
                <w:szCs w:val="24"/>
              </w:rPr>
              <w:t>契约型开放式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基金合同生效日</w:t>
            </w:r>
          </w:p>
        </w:tc>
        <w:tc>
          <w:tcPr>
            <w:tcW w:w="5845" w:type="dxa"/>
            <w:vAlign w:val="center"/>
          </w:tcPr>
          <w:p>
            <w:pPr>
              <w:adjustRightInd w:val="0"/>
              <w:spacing w:before="29" w:line="288" w:lineRule="auto"/>
              <w:ind w:left="17"/>
              <w:jc w:val="left"/>
              <w:rPr>
                <w:color w:val="000000"/>
                <w:sz w:val="24"/>
                <w:szCs w:val="24"/>
              </w:rPr>
            </w:pPr>
            <w:r>
              <w:rPr>
                <w:color w:val="000000"/>
                <w:kern w:val="0"/>
                <w:sz w:val="24"/>
                <w:szCs w:val="24"/>
              </w:rPr>
              <w:t>2020年7月28日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报告期末基金份额总额</w:t>
            </w:r>
          </w:p>
        </w:tc>
        <w:tc>
          <w:tcPr>
            <w:tcW w:w="5845" w:type="dxa"/>
            <w:vAlign w:val="center"/>
          </w:tcPr>
          <w:p>
            <w:pPr>
              <w:adjustRightInd w:val="0"/>
              <w:spacing w:before="29" w:line="288" w:lineRule="auto"/>
              <w:ind w:left="17"/>
              <w:jc w:val="left"/>
              <w:rPr>
                <w:color w:val="000000"/>
                <w:sz w:val="24"/>
                <w:szCs w:val="24"/>
              </w:rPr>
            </w:pPr>
            <w:r>
              <w:rPr>
                <w:color w:val="000000"/>
                <w:kern w:val="0"/>
                <w:sz w:val="24"/>
                <w:szCs w:val="24"/>
              </w:rPr>
              <w:t>769,512,873.77份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投资目标</w:t>
            </w:r>
          </w:p>
        </w:tc>
        <w:tc>
          <w:tcPr>
            <w:tcW w:w="5845" w:type="dxa"/>
            <w:vAlign w:val="center"/>
          </w:tcPr>
          <w:p>
            <w:pPr>
              <w:adjustRightInd w:val="0"/>
              <w:spacing w:before="29" w:line="288" w:lineRule="auto"/>
              <w:ind w:left="17"/>
              <w:jc w:val="left"/>
              <w:rPr>
                <w:color w:val="000000"/>
                <w:sz w:val="24"/>
                <w:szCs w:val="24"/>
              </w:rPr>
            </w:pPr>
            <w:r>
              <w:rPr>
                <w:color w:val="000000"/>
                <w:kern w:val="0"/>
                <w:sz w:val="24"/>
                <w:szCs w:val="24"/>
              </w:rPr>
              <w:t>在严格控制风险和保持较高流动性的前提下，力求获得高于业绩比较基准的投资收益。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投资策略</w:t>
            </w:r>
          </w:p>
        </w:tc>
        <w:tc>
          <w:tcPr>
            <w:tcW w:w="5845" w:type="dxa"/>
            <w:vAlign w:val="center"/>
          </w:tcPr>
          <w:p>
            <w:pPr>
              <w:adjustRightInd w:val="0"/>
              <w:spacing w:before="29" w:line="288" w:lineRule="auto"/>
              <w:ind w:left="17"/>
              <w:jc w:val="left"/>
              <w:rPr>
                <w:color w:val="000000"/>
                <w:sz w:val="24"/>
                <w:szCs w:val="24"/>
              </w:rPr>
            </w:pPr>
            <w:r>
              <w:rPr>
                <w:color w:val="000000"/>
                <w:kern w:val="0"/>
                <w:sz w:val="24"/>
                <w:szCs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业绩比较基准</w:t>
            </w:r>
          </w:p>
        </w:tc>
        <w:tc>
          <w:tcPr>
            <w:tcW w:w="5845" w:type="dxa"/>
            <w:vAlign w:val="center"/>
          </w:tcPr>
          <w:p>
            <w:pPr>
              <w:adjustRightInd w:val="0"/>
              <w:spacing w:before="29" w:line="288" w:lineRule="auto"/>
              <w:ind w:left="17"/>
              <w:jc w:val="left"/>
              <w:rPr>
                <w:color w:val="000000"/>
                <w:sz w:val="24"/>
                <w:szCs w:val="24"/>
              </w:rPr>
            </w:pPr>
            <w:r>
              <w:rPr>
                <w:color w:val="000000"/>
                <w:kern w:val="0"/>
                <w:sz w:val="24"/>
                <w:szCs w:val="24"/>
              </w:rPr>
              <w:t>中债综合全价指数收益率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风险收益特征</w:t>
            </w:r>
          </w:p>
        </w:tc>
        <w:tc>
          <w:tcPr>
            <w:tcW w:w="5845" w:type="dxa"/>
            <w:vAlign w:val="center"/>
          </w:tcPr>
          <w:p>
            <w:pPr>
              <w:adjustRightInd w:val="0"/>
              <w:spacing w:before="29" w:line="288" w:lineRule="auto"/>
              <w:ind w:left="17"/>
              <w:jc w:val="left"/>
              <w:rPr>
                <w:color w:val="000000"/>
                <w:sz w:val="24"/>
                <w:szCs w:val="24"/>
              </w:rPr>
            </w:pPr>
            <w:r>
              <w:rPr>
                <w:color w:val="000000"/>
                <w:kern w:val="0"/>
                <w:sz w:val="24"/>
                <w:szCs w:val="24"/>
              </w:rPr>
              <w:t>本基金是一只债券型基金，其预期风险与预期收益高于货币市场基金，低于混合型基金和股票型基金。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基金管理人</w:t>
            </w:r>
          </w:p>
        </w:tc>
        <w:tc>
          <w:tcPr>
            <w:tcW w:w="5845" w:type="dxa"/>
            <w:vAlign w:val="center"/>
          </w:tcPr>
          <w:p>
            <w:pPr>
              <w:adjustRightInd w:val="0"/>
              <w:spacing w:before="29" w:line="288" w:lineRule="auto"/>
              <w:ind w:left="17"/>
              <w:jc w:val="left"/>
              <w:rPr>
                <w:color w:val="000000"/>
                <w:sz w:val="24"/>
                <w:szCs w:val="24"/>
              </w:rPr>
            </w:pPr>
            <w:r>
              <w:rPr>
                <w:color w:val="000000"/>
                <w:kern w:val="0"/>
                <w:sz w:val="24"/>
                <w:szCs w:val="24"/>
              </w:rPr>
              <w:t>交银施罗德基金管理有限公司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23" w:type="dxa"/>
            <w:vAlign w:val="center"/>
          </w:tcPr>
          <w:p>
            <w:pPr>
              <w:adjustRightInd w:val="0"/>
              <w:spacing w:before="29" w:line="288" w:lineRule="auto"/>
              <w:ind w:left="17"/>
              <w:jc w:val="left"/>
              <w:rPr>
                <w:sz w:val="24"/>
                <w:szCs w:val="24"/>
              </w:rPr>
            </w:pPr>
            <w:r>
              <w:rPr>
                <w:kern w:val="0"/>
                <w:sz w:val="24"/>
                <w:szCs w:val="24"/>
              </w:rPr>
              <w:t>基金托管人</w:t>
            </w:r>
          </w:p>
        </w:tc>
        <w:tc>
          <w:tcPr>
            <w:tcW w:w="5845" w:type="dxa"/>
            <w:vAlign w:val="center"/>
          </w:tcPr>
          <w:p>
            <w:pPr>
              <w:adjustRightInd w:val="0"/>
              <w:spacing w:before="29" w:line="288" w:lineRule="auto"/>
              <w:ind w:left="17"/>
              <w:jc w:val="left"/>
              <w:rPr>
                <w:color w:val="000000"/>
                <w:sz w:val="24"/>
                <w:szCs w:val="24"/>
              </w:rPr>
            </w:pPr>
            <w:r>
              <w:rPr>
                <w:color w:val="000000"/>
                <w:kern w:val="0"/>
                <w:sz w:val="24"/>
                <w:szCs w:val="24"/>
              </w:rPr>
              <w:t>中国建设银行股份有限公司</w:t>
            </w:r>
          </w:p>
        </w:tc>
      </w:tr>
    </w:tbl>
    <w:p>
      <w:pPr>
        <w:autoSpaceDE w:val="0"/>
        <w:autoSpaceDN w:val="0"/>
        <w:adjustRightInd w:val="0"/>
        <w:spacing w:before="29" w:line="288" w:lineRule="auto"/>
        <w:jc w:val="left"/>
        <w:rPr>
          <w:color w:val="000000"/>
          <w:kern w:val="0"/>
          <w:sz w:val="24"/>
          <w:szCs w:val="24"/>
        </w:rPr>
      </w:pPr>
    </w:p>
    <w:p>
      <w:pPr>
        <w:pStyle w:val="2"/>
        <w:spacing w:before="312" w:beforeLines="100" w:after="312" w:afterLines="100" w:line="288" w:lineRule="auto"/>
        <w:jc w:val="center"/>
        <w:rPr>
          <w:color w:val="000000"/>
          <w:kern w:val="0"/>
          <w:sz w:val="24"/>
          <w:szCs w:val="24"/>
        </w:rPr>
      </w:pPr>
      <w:r>
        <w:rPr>
          <w:color w:val="000000"/>
          <w:kern w:val="0"/>
          <w:sz w:val="24"/>
          <w:szCs w:val="24"/>
        </w:rPr>
        <w:t>§3  主要财务指标和基金净值表现</w:t>
      </w: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3.1 主要财务指标</w:t>
      </w:r>
    </w:p>
    <w:p>
      <w:pPr>
        <w:autoSpaceDE w:val="0"/>
        <w:autoSpaceDN w:val="0"/>
        <w:adjustRightInd w:val="0"/>
        <w:spacing w:before="29" w:line="288" w:lineRule="auto"/>
        <w:ind w:left="15"/>
        <w:jc w:val="right"/>
        <w:rPr>
          <w:color w:val="000000"/>
          <w:kern w:val="0"/>
          <w:sz w:val="24"/>
          <w:szCs w:val="24"/>
        </w:rPr>
      </w:pPr>
      <w:r>
        <w:rPr>
          <w:color w:val="000000"/>
          <w:kern w:val="0"/>
          <w:sz w:val="24"/>
          <w:szCs w:val="24"/>
        </w:rPr>
        <w:t>单位：人民币元</w:t>
      </w:r>
    </w:p>
    <w:tbl>
      <w:tblPr>
        <w:tblStyle w:val="23"/>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7"/>
        <w:gridCol w:w="5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vAlign w:val="center"/>
          </w:tcPr>
          <w:p>
            <w:pPr>
              <w:adjustRightInd w:val="0"/>
              <w:spacing w:before="29" w:line="288" w:lineRule="auto"/>
              <w:ind w:left="17"/>
              <w:jc w:val="center"/>
              <w:rPr>
                <w:kern w:val="0"/>
                <w:sz w:val="24"/>
                <w:szCs w:val="24"/>
              </w:rPr>
            </w:pPr>
            <w:r>
              <w:rPr>
                <w:kern w:val="0"/>
                <w:sz w:val="24"/>
                <w:szCs w:val="24"/>
              </w:rPr>
              <w:t>主要财务指标</w:t>
            </w:r>
          </w:p>
        </w:tc>
        <w:tc>
          <w:tcPr>
            <w:tcW w:w="4962" w:type="dxa"/>
            <w:vAlign w:val="center"/>
          </w:tcPr>
          <w:p>
            <w:pPr>
              <w:adjustRightInd w:val="0"/>
              <w:spacing w:before="29" w:line="288" w:lineRule="auto"/>
              <w:ind w:left="17"/>
              <w:jc w:val="center"/>
              <w:rPr>
                <w:color w:val="000000"/>
                <w:sz w:val="24"/>
                <w:szCs w:val="24"/>
              </w:rPr>
            </w:pPr>
            <w:r>
              <w:rPr>
                <w:color w:val="000000"/>
                <w:sz w:val="24"/>
                <w:szCs w:val="24"/>
              </w:rPr>
              <w:t>报告期</w:t>
            </w:r>
          </w:p>
          <w:p>
            <w:pPr>
              <w:adjustRightInd w:val="0"/>
              <w:spacing w:before="29" w:line="288" w:lineRule="auto"/>
              <w:ind w:left="17"/>
              <w:jc w:val="center"/>
              <w:rPr>
                <w:color w:val="000000"/>
                <w:sz w:val="24"/>
                <w:szCs w:val="24"/>
              </w:rPr>
            </w:pPr>
            <w:r>
              <w:rPr>
                <w:color w:val="000000"/>
                <w:sz w:val="24"/>
                <w:szCs w:val="24"/>
              </w:rPr>
              <w:t>(2020年10月1日-2020年12月31日)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vAlign w:val="center"/>
          </w:tcPr>
          <w:p>
            <w:pPr>
              <w:adjustRightInd w:val="0"/>
              <w:spacing w:before="29" w:line="288" w:lineRule="auto"/>
              <w:ind w:left="17"/>
              <w:rPr>
                <w:kern w:val="0"/>
                <w:sz w:val="24"/>
                <w:szCs w:val="24"/>
              </w:rPr>
            </w:pPr>
            <w:r>
              <w:rPr>
                <w:kern w:val="0"/>
                <w:sz w:val="24"/>
                <w:szCs w:val="24"/>
              </w:rPr>
              <w:t>1.本期已实现收益</w:t>
            </w:r>
          </w:p>
        </w:tc>
        <w:tc>
          <w:tcPr>
            <w:tcW w:w="4962" w:type="dxa"/>
            <w:vAlign w:val="center"/>
          </w:tcPr>
          <w:p>
            <w:pPr>
              <w:adjustRightInd w:val="0"/>
              <w:spacing w:before="29" w:line="288" w:lineRule="auto"/>
              <w:ind w:left="17"/>
              <w:jc w:val="right"/>
              <w:rPr>
                <w:color w:val="000000"/>
                <w:sz w:val="24"/>
                <w:szCs w:val="24"/>
              </w:rPr>
            </w:pPr>
            <w:r>
              <w:rPr>
                <w:color w:val="000000"/>
                <w:sz w:val="24"/>
                <w:szCs w:val="24"/>
              </w:rPr>
              <w:t>6,421,145.30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vAlign w:val="center"/>
          </w:tcPr>
          <w:p>
            <w:pPr>
              <w:adjustRightInd w:val="0"/>
              <w:spacing w:before="29" w:line="288" w:lineRule="auto"/>
              <w:ind w:left="17"/>
              <w:rPr>
                <w:kern w:val="0"/>
                <w:sz w:val="24"/>
                <w:szCs w:val="24"/>
              </w:rPr>
            </w:pPr>
            <w:r>
              <w:rPr>
                <w:kern w:val="0"/>
                <w:sz w:val="24"/>
                <w:szCs w:val="24"/>
              </w:rPr>
              <w:t>2.本期利润</w:t>
            </w:r>
          </w:p>
        </w:tc>
        <w:tc>
          <w:tcPr>
            <w:tcW w:w="4962" w:type="dxa"/>
            <w:vAlign w:val="center"/>
          </w:tcPr>
          <w:p>
            <w:pPr>
              <w:adjustRightInd w:val="0"/>
              <w:spacing w:before="29" w:line="288" w:lineRule="auto"/>
              <w:ind w:left="17"/>
              <w:jc w:val="right"/>
              <w:rPr>
                <w:color w:val="000000"/>
                <w:sz w:val="24"/>
                <w:szCs w:val="24"/>
              </w:rPr>
            </w:pPr>
            <w:r>
              <w:rPr>
                <w:color w:val="000000"/>
                <w:sz w:val="24"/>
                <w:szCs w:val="24"/>
              </w:rPr>
              <w:t>7,368,018.92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vAlign w:val="center"/>
          </w:tcPr>
          <w:p>
            <w:pPr>
              <w:adjustRightInd w:val="0"/>
              <w:spacing w:before="29" w:line="288" w:lineRule="auto"/>
              <w:ind w:left="17"/>
              <w:rPr>
                <w:kern w:val="0"/>
                <w:sz w:val="24"/>
                <w:szCs w:val="24"/>
              </w:rPr>
            </w:pPr>
            <w:r>
              <w:rPr>
                <w:kern w:val="0"/>
                <w:sz w:val="24"/>
                <w:szCs w:val="24"/>
              </w:rPr>
              <w:t>3.加权平均基金份额本期利润</w:t>
            </w:r>
          </w:p>
        </w:tc>
        <w:tc>
          <w:tcPr>
            <w:tcW w:w="4962" w:type="dxa"/>
            <w:vAlign w:val="center"/>
          </w:tcPr>
          <w:p>
            <w:pPr>
              <w:adjustRightInd w:val="0"/>
              <w:spacing w:before="29" w:line="288" w:lineRule="auto"/>
              <w:ind w:left="17"/>
              <w:jc w:val="right"/>
              <w:rPr>
                <w:color w:val="000000"/>
                <w:sz w:val="24"/>
                <w:szCs w:val="24"/>
              </w:rPr>
            </w:pPr>
            <w:r>
              <w:rPr>
                <w:color w:val="000000"/>
                <w:sz w:val="24"/>
                <w:szCs w:val="24"/>
              </w:rPr>
              <w:t>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2" w:type="dxa"/>
            <w:vAlign w:val="center"/>
          </w:tcPr>
          <w:p>
            <w:pPr>
              <w:adjustRightInd w:val="0"/>
              <w:spacing w:before="29" w:line="288" w:lineRule="auto"/>
              <w:ind w:left="17"/>
              <w:rPr>
                <w:kern w:val="0"/>
                <w:sz w:val="24"/>
                <w:szCs w:val="24"/>
              </w:rPr>
            </w:pPr>
            <w:r>
              <w:rPr>
                <w:kern w:val="0"/>
                <w:sz w:val="24"/>
                <w:szCs w:val="24"/>
              </w:rPr>
              <w:t>4.期末基金资产净值</w:t>
            </w:r>
          </w:p>
        </w:tc>
        <w:tc>
          <w:tcPr>
            <w:tcW w:w="4962" w:type="dxa"/>
            <w:vAlign w:val="center"/>
          </w:tcPr>
          <w:p>
            <w:pPr>
              <w:adjustRightInd w:val="0"/>
              <w:spacing w:before="29" w:line="288" w:lineRule="auto"/>
              <w:ind w:left="17"/>
              <w:jc w:val="right"/>
              <w:rPr>
                <w:color w:val="000000"/>
                <w:sz w:val="24"/>
                <w:szCs w:val="24"/>
              </w:rPr>
            </w:pPr>
            <w:r>
              <w:rPr>
                <w:color w:val="000000"/>
                <w:sz w:val="24"/>
                <w:szCs w:val="24"/>
              </w:rPr>
              <w:t>778,394,508.10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3402" w:type="dxa"/>
            <w:vAlign w:val="center"/>
          </w:tcPr>
          <w:p>
            <w:pPr>
              <w:adjustRightInd w:val="0"/>
              <w:spacing w:before="29" w:line="288" w:lineRule="auto"/>
              <w:ind w:left="17"/>
              <w:rPr>
                <w:kern w:val="0"/>
                <w:sz w:val="24"/>
                <w:szCs w:val="24"/>
              </w:rPr>
            </w:pPr>
            <w:r>
              <w:rPr>
                <w:kern w:val="0"/>
                <w:sz w:val="24"/>
                <w:szCs w:val="24"/>
              </w:rPr>
              <w:t>5.期末基金份额净值</w:t>
            </w:r>
          </w:p>
        </w:tc>
        <w:tc>
          <w:tcPr>
            <w:tcW w:w="4962" w:type="dxa"/>
            <w:vAlign w:val="center"/>
          </w:tcPr>
          <w:p>
            <w:pPr>
              <w:adjustRightInd w:val="0"/>
              <w:spacing w:before="29" w:line="288" w:lineRule="auto"/>
              <w:ind w:left="17"/>
              <w:jc w:val="right"/>
              <w:rPr>
                <w:color w:val="000000"/>
                <w:sz w:val="24"/>
                <w:szCs w:val="24"/>
              </w:rPr>
            </w:pPr>
            <w:r>
              <w:rPr>
                <w:color w:val="000000"/>
                <w:sz w:val="24"/>
                <w:szCs w:val="24"/>
              </w:rPr>
              <w:t>1.0115</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pPr>
        <w:autoSpaceDE w:val="0"/>
        <w:autoSpaceDN w:val="0"/>
        <w:adjustRightInd w:val="0"/>
        <w:spacing w:before="29" w:line="288" w:lineRule="auto"/>
        <w:jc w:val="left"/>
        <w:rPr>
          <w:color w:val="000000"/>
          <w:sz w:val="24"/>
          <w:szCs w:val="24"/>
        </w:rPr>
      </w:pPr>
      <w:r>
        <w:rPr>
          <w:color w:val="000000"/>
          <w:sz w:val="24"/>
          <w:szCs w:val="24"/>
        </w:rPr>
        <w:t>2、本期已实现收益指基金本期利息收入、投资收益、其他收入（不含公允价值变动收益）扣除相关费用后的余额，本期利润为本期已实现收益加上本期公允价值变动收益。</w:t>
      </w: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3.2 基金净值表现</w:t>
      </w:r>
    </w:p>
    <w:p>
      <w:pPr>
        <w:autoSpaceDE w:val="0"/>
        <w:autoSpaceDN w:val="0"/>
        <w:adjustRightInd w:val="0"/>
        <w:spacing w:before="29" w:line="288" w:lineRule="auto"/>
        <w:jc w:val="left"/>
        <w:outlineLvl w:val="1"/>
        <w:rPr>
          <w:b/>
          <w:bCs/>
          <w:color w:val="000000"/>
          <w:kern w:val="0"/>
          <w:sz w:val="24"/>
          <w:szCs w:val="24"/>
        </w:rPr>
      </w:pPr>
      <w:r>
        <w:rPr>
          <w:b/>
          <w:bCs/>
          <w:color w:val="000000"/>
          <w:kern w:val="0"/>
          <w:sz w:val="24"/>
          <w:szCs w:val="24"/>
        </w:rPr>
        <w:t>3.2.1 本报告期基金份额净值增长率及其与同期业绩比较基准收益率的比较</w:t>
      </w:r>
    </w:p>
    <w:tbl>
      <w:tblPr>
        <w:tblStyle w:val="24"/>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701"/>
        <w:gridCol w:w="1045"/>
        <w:gridCol w:w="1344"/>
        <w:gridCol w:w="1194"/>
        <w:gridCol w:w="1492"/>
        <w:gridCol w:w="1194"/>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1614"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阶段</w:t>
            </w:r>
          </w:p>
        </w:tc>
        <w:tc>
          <w:tcPr>
            <w:tcW w:w="992"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净值增长率</w:t>
            </w:r>
            <w:r>
              <w:rPr>
                <w:rFonts w:hAnsi="宋体"/>
                <w:color w:val="000000"/>
                <w:kern w:val="0"/>
                <w:sz w:val="24"/>
                <w:szCs w:val="24"/>
              </w:rPr>
              <w:t>①</w:t>
            </w:r>
          </w:p>
        </w:tc>
        <w:tc>
          <w:tcPr>
            <w:tcW w:w="1276"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净值增长率标准差</w:t>
            </w:r>
            <w:r>
              <w:rPr>
                <w:rFonts w:hAnsi="宋体"/>
                <w:color w:val="000000"/>
                <w:kern w:val="0"/>
                <w:sz w:val="24"/>
                <w:szCs w:val="24"/>
              </w:rPr>
              <w:t>②</w:t>
            </w:r>
          </w:p>
        </w:tc>
        <w:tc>
          <w:tcPr>
            <w:tcW w:w="1134"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业绩比较基准收益率</w:t>
            </w:r>
            <w:r>
              <w:rPr>
                <w:rFonts w:hAnsi="宋体"/>
                <w:color w:val="000000"/>
                <w:kern w:val="0"/>
                <w:sz w:val="24"/>
                <w:szCs w:val="24"/>
              </w:rPr>
              <w:t>③</w:t>
            </w:r>
          </w:p>
        </w:tc>
        <w:tc>
          <w:tcPr>
            <w:tcW w:w="1417"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业绩比较基准收益率标准差</w:t>
            </w:r>
            <w:r>
              <w:rPr>
                <w:rFonts w:hAnsi="宋体"/>
                <w:color w:val="000000"/>
                <w:kern w:val="0"/>
                <w:sz w:val="24"/>
                <w:szCs w:val="24"/>
              </w:rPr>
              <w:t>④</w:t>
            </w:r>
          </w:p>
        </w:tc>
        <w:tc>
          <w:tcPr>
            <w:tcW w:w="1134" w:type="dxa"/>
            <w:vAlign w:val="center"/>
          </w:tcPr>
          <w:p>
            <w:pPr>
              <w:autoSpaceDE w:val="0"/>
              <w:autoSpaceDN w:val="0"/>
              <w:adjustRightInd w:val="0"/>
              <w:spacing w:before="29" w:line="288" w:lineRule="auto"/>
              <w:ind w:left="17"/>
              <w:jc w:val="center"/>
              <w:rPr>
                <w:color w:val="000000"/>
                <w:kern w:val="0"/>
                <w:sz w:val="24"/>
                <w:szCs w:val="24"/>
              </w:rPr>
            </w:pPr>
            <w:r>
              <w:rPr>
                <w:rFonts w:hAnsi="宋体"/>
                <w:color w:val="000000"/>
                <w:kern w:val="0"/>
                <w:sz w:val="24"/>
                <w:szCs w:val="24"/>
              </w:rPr>
              <w:t>①</w:t>
            </w:r>
            <w:r>
              <w:rPr>
                <w:color w:val="000000"/>
                <w:kern w:val="0"/>
                <w:sz w:val="24"/>
                <w:szCs w:val="24"/>
              </w:rPr>
              <w:t>-</w:t>
            </w:r>
            <w:r>
              <w:rPr>
                <w:rFonts w:hAnsi="宋体"/>
                <w:color w:val="000000"/>
                <w:kern w:val="0"/>
                <w:sz w:val="24"/>
                <w:szCs w:val="24"/>
              </w:rPr>
              <w:t>③</w:t>
            </w:r>
          </w:p>
        </w:tc>
        <w:tc>
          <w:tcPr>
            <w:tcW w:w="853" w:type="dxa"/>
            <w:vAlign w:val="center"/>
          </w:tcPr>
          <w:p>
            <w:pPr>
              <w:autoSpaceDE w:val="0"/>
              <w:autoSpaceDN w:val="0"/>
              <w:adjustRightInd w:val="0"/>
              <w:spacing w:before="29" w:line="288" w:lineRule="auto"/>
              <w:ind w:left="17"/>
              <w:jc w:val="center"/>
              <w:rPr>
                <w:color w:val="000000"/>
                <w:kern w:val="0"/>
                <w:sz w:val="24"/>
                <w:szCs w:val="24"/>
              </w:rPr>
            </w:pPr>
            <w:r>
              <w:rPr>
                <w:rFonts w:hAnsi="宋体"/>
                <w:color w:val="000000"/>
                <w:kern w:val="0"/>
                <w:sz w:val="24"/>
                <w:szCs w:val="24"/>
              </w:rPr>
              <w:t>②</w:t>
            </w:r>
            <w:r>
              <w:rPr>
                <w:color w:val="000000"/>
                <w:kern w:val="0"/>
                <w:sz w:val="24"/>
                <w:szCs w:val="24"/>
              </w:rPr>
              <w:t>-</w:t>
            </w:r>
            <w:r>
              <w:rPr>
                <w:rFonts w:hAnsi="宋体"/>
                <w:color w:val="000000"/>
                <w:kern w:val="0"/>
                <w:sz w:val="24"/>
                <w:szCs w:val="24"/>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vAlign w:val="center"/>
          </w:tcPr>
          <w:p>
            <w:pPr>
              <w:jc w:val="left"/>
              <w:rPr>
                <w:kern w:val="0"/>
                <w:sz w:val="20"/>
              </w:rPr>
            </w:pPr>
            <w:r>
              <w:rPr>
                <w:color w:val="000000"/>
                <w:kern w:val="0"/>
                <w:sz w:val="24"/>
                <w:szCs w:val="24"/>
              </w:rPr>
              <w:t>过去三个月</w:t>
            </w:r>
          </w:p>
        </w:tc>
        <w:tc>
          <w:tcPr>
            <w:vAlign w:val="center"/>
          </w:tcPr>
          <w:p>
            <w:pPr>
              <w:jc w:val="center"/>
              <w:rPr>
                <w:kern w:val="0"/>
                <w:sz w:val="20"/>
              </w:rPr>
            </w:pPr>
            <w:r>
              <w:rPr>
                <w:color w:val="000000"/>
                <w:kern w:val="0"/>
                <w:sz w:val="24"/>
                <w:szCs w:val="24"/>
              </w:rPr>
              <w:t>0.95%</w:t>
            </w:r>
          </w:p>
        </w:tc>
        <w:tc>
          <w:tcPr>
            <w:vAlign w:val="center"/>
          </w:tcPr>
          <w:p>
            <w:pPr>
              <w:jc w:val="center"/>
              <w:rPr>
                <w:kern w:val="0"/>
                <w:sz w:val="20"/>
              </w:rPr>
            </w:pPr>
            <w:r>
              <w:rPr>
                <w:color w:val="000000"/>
                <w:kern w:val="0"/>
                <w:sz w:val="24"/>
                <w:szCs w:val="24"/>
              </w:rPr>
              <w:t>0.02%</w:t>
            </w:r>
          </w:p>
        </w:tc>
        <w:tc>
          <w:tcPr>
            <w:vAlign w:val="center"/>
          </w:tcPr>
          <w:p>
            <w:pPr>
              <w:jc w:val="center"/>
              <w:rPr>
                <w:kern w:val="0"/>
                <w:sz w:val="20"/>
              </w:rPr>
            </w:pPr>
            <w:r>
              <w:rPr>
                <w:color w:val="000000"/>
                <w:kern w:val="0"/>
                <w:sz w:val="24"/>
                <w:szCs w:val="24"/>
              </w:rPr>
              <w:t>0.64%</w:t>
            </w:r>
          </w:p>
        </w:tc>
        <w:tc>
          <w:tcPr>
            <w:vAlign w:val="center"/>
          </w:tcPr>
          <w:p>
            <w:pPr>
              <w:jc w:val="center"/>
              <w:rPr>
                <w:kern w:val="0"/>
                <w:sz w:val="20"/>
              </w:rPr>
            </w:pPr>
            <w:r>
              <w:rPr>
                <w:color w:val="000000"/>
                <w:kern w:val="0"/>
                <w:sz w:val="24"/>
                <w:szCs w:val="24"/>
              </w:rPr>
              <w:t>0.04%</w:t>
            </w:r>
          </w:p>
        </w:tc>
        <w:tc>
          <w:tcPr>
            <w:vAlign w:val="center"/>
          </w:tcPr>
          <w:p>
            <w:pPr>
              <w:jc w:val="center"/>
              <w:rPr>
                <w:kern w:val="0"/>
                <w:sz w:val="20"/>
              </w:rPr>
            </w:pPr>
            <w:r>
              <w:rPr>
                <w:color w:val="000000"/>
                <w:kern w:val="0"/>
                <w:sz w:val="24"/>
                <w:szCs w:val="24"/>
              </w:rPr>
              <w:t>0.31%</w:t>
            </w:r>
          </w:p>
        </w:tc>
        <w:tc>
          <w:tcPr>
            <w:vAlign w:val="center"/>
          </w:tcPr>
          <w:p>
            <w:pPr>
              <w:jc w:val="center"/>
              <w:rPr>
                <w:kern w:val="0"/>
                <w:sz w:val="20"/>
              </w:rPr>
            </w:pPr>
            <w:r>
              <w:rPr>
                <w:color w:val="000000"/>
                <w:kern w:val="0"/>
                <w:sz w:val="24"/>
                <w:szCs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vAlign w:val="center"/>
          </w:tcPr>
          <w:p>
            <w:pPr>
              <w:jc w:val="left"/>
              <w:rPr>
                <w:kern w:val="0"/>
                <w:sz w:val="20"/>
              </w:rPr>
            </w:pPr>
            <w:r>
              <w:rPr>
                <w:color w:val="000000"/>
                <w:kern w:val="0"/>
                <w:sz w:val="24"/>
                <w:szCs w:val="24"/>
              </w:rPr>
              <w:t>自基金合同生效至今</w:t>
            </w:r>
          </w:p>
        </w:tc>
        <w:tc>
          <w:tcPr>
            <w:vAlign w:val="center"/>
          </w:tcPr>
          <w:p>
            <w:pPr>
              <w:jc w:val="center"/>
              <w:rPr>
                <w:kern w:val="0"/>
                <w:sz w:val="20"/>
              </w:rPr>
            </w:pPr>
            <w:r>
              <w:rPr>
                <w:color w:val="000000"/>
                <w:kern w:val="0"/>
                <w:sz w:val="24"/>
                <w:szCs w:val="24"/>
              </w:rPr>
              <w:t>1.15%</w:t>
            </w:r>
          </w:p>
        </w:tc>
        <w:tc>
          <w:tcPr>
            <w:vAlign w:val="center"/>
          </w:tcPr>
          <w:p>
            <w:pPr>
              <w:jc w:val="center"/>
              <w:rPr>
                <w:kern w:val="0"/>
                <w:sz w:val="20"/>
              </w:rPr>
            </w:pPr>
            <w:r>
              <w:rPr>
                <w:color w:val="000000"/>
                <w:kern w:val="0"/>
                <w:sz w:val="24"/>
                <w:szCs w:val="24"/>
              </w:rPr>
              <w:t>0.02%</w:t>
            </w:r>
          </w:p>
        </w:tc>
        <w:tc>
          <w:tcPr>
            <w:vAlign w:val="center"/>
          </w:tcPr>
          <w:p>
            <w:pPr>
              <w:jc w:val="center"/>
              <w:rPr>
                <w:kern w:val="0"/>
                <w:sz w:val="20"/>
              </w:rPr>
            </w:pPr>
            <w:r>
              <w:rPr>
                <w:color w:val="000000"/>
                <w:kern w:val="0"/>
                <w:sz w:val="24"/>
                <w:szCs w:val="24"/>
              </w:rPr>
              <w:t>-0.43%</w:t>
            </w:r>
          </w:p>
        </w:tc>
        <w:tc>
          <w:tcPr>
            <w:vAlign w:val="center"/>
          </w:tcPr>
          <w:p>
            <w:pPr>
              <w:jc w:val="center"/>
              <w:rPr>
                <w:kern w:val="0"/>
                <w:sz w:val="20"/>
              </w:rPr>
            </w:pPr>
            <w:r>
              <w:rPr>
                <w:color w:val="000000"/>
                <w:kern w:val="0"/>
                <w:sz w:val="24"/>
                <w:szCs w:val="24"/>
              </w:rPr>
              <w:t>0.05%</w:t>
            </w:r>
          </w:p>
        </w:tc>
        <w:tc>
          <w:tcPr>
            <w:vAlign w:val="center"/>
          </w:tcPr>
          <w:p>
            <w:pPr>
              <w:jc w:val="center"/>
              <w:rPr>
                <w:kern w:val="0"/>
                <w:sz w:val="20"/>
              </w:rPr>
            </w:pPr>
            <w:r>
              <w:rPr>
                <w:color w:val="000000"/>
                <w:kern w:val="0"/>
                <w:sz w:val="24"/>
                <w:szCs w:val="24"/>
              </w:rPr>
              <w:t>1.58%</w:t>
            </w:r>
          </w:p>
        </w:tc>
        <w:tc>
          <w:tcPr>
            <w:vAlign w:val="center"/>
          </w:tcPr>
          <w:p>
            <w:pPr>
              <w:jc w:val="center"/>
              <w:rPr>
                <w:kern w:val="0"/>
                <w:sz w:val="20"/>
              </w:rPr>
            </w:pPr>
            <w:r>
              <w:rPr>
                <w:color w:val="000000"/>
                <w:kern w:val="0"/>
                <w:sz w:val="24"/>
                <w:szCs w:val="24"/>
              </w:rPr>
              <w:t>-0.03%</w:t>
            </w:r>
          </w:p>
        </w:tc>
      </w:tr>
    </w:tbl>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outlineLvl w:val="1"/>
        <w:rPr>
          <w:b/>
          <w:bCs/>
          <w:color w:val="000000"/>
          <w:kern w:val="0"/>
          <w:sz w:val="24"/>
          <w:szCs w:val="24"/>
        </w:rPr>
      </w:pPr>
      <w:r>
        <w:rPr>
          <w:b/>
          <w:bCs/>
          <w:color w:val="000000"/>
          <w:kern w:val="0"/>
          <w:sz w:val="24"/>
          <w:szCs w:val="24"/>
        </w:rPr>
        <w:t>3.2.2</w:t>
      </w:r>
      <w:r>
        <w:rPr>
          <w:rFonts w:hint="eastAsia"/>
          <w:b/>
          <w:bCs/>
          <w:color w:val="000000"/>
          <w:kern w:val="0"/>
          <w:sz w:val="24"/>
          <w:szCs w:val="24"/>
        </w:rPr>
        <w:t>自基金转型以来</w:t>
      </w:r>
      <w:r>
        <w:rPr>
          <w:b/>
          <w:bCs/>
          <w:color w:val="000000"/>
          <w:kern w:val="0"/>
          <w:sz w:val="24"/>
          <w:szCs w:val="24"/>
        </w:rPr>
        <w:t>基</w:t>
      </w:r>
      <w:r>
        <w:rPr>
          <w:b/>
          <w:bCs/>
          <w:color w:val="000000"/>
          <w:sz w:val="24"/>
        </w:rPr>
        <w:t>金份额累计净值增长率变动及其与同期业绩比较基准收益率变动的比较</w:t>
      </w:r>
    </w:p>
    <w:p>
      <w:pPr>
        <w:spacing w:before="29" w:line="288" w:lineRule="auto"/>
        <w:jc w:val="center"/>
        <w:outlineLvl w:val="0"/>
        <w:rPr>
          <w:color w:val="000000"/>
          <w:sz w:val="24"/>
          <w:szCs w:val="24"/>
        </w:rPr>
      </w:pPr>
      <w:r>
        <w:rPr>
          <w:color w:val="000000"/>
          <w:sz w:val="24"/>
          <w:szCs w:val="24"/>
        </w:rPr>
        <w:t>交银施罗德裕惠纯债债券型证券投资基金</w:t>
      </w:r>
    </w:p>
    <w:p>
      <w:pPr>
        <w:pStyle w:val="10"/>
        <w:snapToGrid w:val="0"/>
        <w:spacing w:before="29" w:line="288" w:lineRule="auto"/>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份额累计净值增长率与业绩比较基准收益率历史走势对比图</w:t>
      </w:r>
    </w:p>
    <w:p>
      <w:pPr>
        <w:pStyle w:val="10"/>
        <w:snapToGrid w:val="0"/>
        <w:spacing w:before="29" w:line="288" w:lineRule="auto"/>
        <w:ind w:firstLine="480"/>
        <w:jc w:val="center"/>
        <w:outlineLvl w:val="0"/>
        <w:rPr>
          <w:rFonts w:ascii="Times New Roman" w:hAnsi="Times New Roman" w:cs="Times New Roman"/>
          <w:sz w:val="24"/>
          <w:szCs w:val="24"/>
        </w:rPr>
      </w:pPr>
      <w:r>
        <w:rPr>
          <w:rFonts w:ascii="Times New Roman" w:hAnsi="Times New Roman" w:cs="Times New Roman"/>
          <w:color w:val="000000"/>
          <w:sz w:val="24"/>
          <w:szCs w:val="24"/>
        </w:rPr>
        <w:t>（</w:t>
      </w:r>
      <w:r>
        <w:rPr>
          <w:rFonts w:ascii="Times New Roman" w:hAnsi="Times New Roman" w:cs="Times New Roman"/>
          <w:sz w:val="24"/>
          <w:szCs w:val="24"/>
        </w:rPr>
        <w:t>2020年7月28日至2020年12月31日</w:t>
      </w:r>
      <w:r>
        <w:rPr>
          <w:rFonts w:ascii="Times New Roman" w:hAnsi="Times New Roman" w:cs="Times New Roman"/>
          <w:color w:val="000000"/>
          <w:sz w:val="24"/>
          <w:szCs w:val="24"/>
        </w:rPr>
        <w:t>）</w:t>
      </w:r>
    </w:p>
    <w:p>
      <w:pPr>
        <w:pStyle w:val="10"/>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drawing>
          <wp:inline distT="0" distB="0" distL="0" distR="0">
            <wp:extent cx="5731510" cy="3356610"/>
            <wp:effectExtent l="0" t="0" r="2540" b="1524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走势图1.jpg"/>
                    <pic:cNvPicPr>
                      <a:picLocks noChangeAspect="1"/>
                    </pic:cNvPicPr>
                  </pic:nvPicPr>
                  <pic:blipFill>
                    <a:blip r:embed="rId10" cstate="print"/>
                    <a:stretch>
                      <a:fillRect/>
                    </a:stretch>
                  </pic:blipFill>
                  <pic:spPr>
                    <a:xfrm>
                      <a:off x="0" y="0"/>
                      <a:ext cx="5731510" cy="3356610"/>
                    </a:xfrm>
                    <a:prstGeom prst="rect">
                      <a:avLst/>
                    </a:prstGeom>
                  </pic:spPr>
                </pic:pic>
              </a:graphicData>
            </a:graphic>
          </wp:inline>
        </w:drawing>
      </w:r>
      <w:bookmarkStart w:id="0" w:name="_GoBack"/>
      <w:bookmarkEnd w:id="0"/>
    </w:p>
    <w:p>
      <w:pPr>
        <w:autoSpaceDE w:val="0"/>
        <w:autoSpaceDN w:val="0"/>
        <w:adjustRightInd w:val="0"/>
        <w:spacing w:before="29" w:line="288" w:lineRule="auto"/>
        <w:jc w:val="left"/>
        <w:rPr>
          <w:color w:val="000000"/>
          <w:sz w:val="24"/>
          <w:szCs w:val="24"/>
        </w:rPr>
      </w:pPr>
      <w:r>
        <w:rPr>
          <w:color w:val="000000"/>
          <w:sz w:val="24"/>
          <w:szCs w:val="24"/>
        </w:rPr>
        <w:t>注：本基金由交银施罗德理财60天债券型证券投资基金转型而来。基金转型日为2020年7月28日。本基金基金合同生效日为2020年7月28日，基金合同生效日至报告期期末，本基金运作时间未满一年。本基金建仓期为自基金合同生效日起的6个月。截至2020年12月31日，本基金尚处于建仓期。</w:t>
      </w:r>
    </w:p>
    <w:p>
      <w:pPr>
        <w:tabs>
          <w:tab w:val="left" w:pos="1800"/>
        </w:tabs>
        <w:spacing w:before="29" w:line="288" w:lineRule="auto"/>
        <w:rPr>
          <w:color w:val="000000"/>
          <w:sz w:val="24"/>
          <w:szCs w:val="24"/>
        </w:rPr>
      </w:pPr>
    </w:p>
    <w:p>
      <w:pPr>
        <w:tabs>
          <w:tab w:val="left" w:pos="1800"/>
        </w:tabs>
        <w:spacing w:before="29" w:line="288" w:lineRule="auto"/>
        <w:rPr>
          <w:color w:val="000000"/>
          <w:sz w:val="24"/>
          <w:szCs w:val="24"/>
        </w:rPr>
      </w:pPr>
    </w:p>
    <w:p>
      <w:pPr>
        <w:pStyle w:val="2"/>
        <w:spacing w:before="312" w:beforeLines="100" w:after="312" w:afterLines="100" w:line="288" w:lineRule="auto"/>
        <w:jc w:val="center"/>
        <w:rPr>
          <w:color w:val="000000"/>
          <w:kern w:val="0"/>
          <w:sz w:val="24"/>
          <w:szCs w:val="24"/>
        </w:rPr>
      </w:pPr>
      <w:r>
        <w:rPr>
          <w:color w:val="000000"/>
          <w:kern w:val="0"/>
          <w:sz w:val="24"/>
          <w:szCs w:val="24"/>
        </w:rPr>
        <w:t>§4  管理人报告</w:t>
      </w: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4.1 基金经理</w:t>
      </w:r>
      <w:r>
        <w:rPr>
          <w:b/>
          <w:color w:val="000000"/>
          <w:kern w:val="0"/>
          <w:sz w:val="24"/>
        </w:rPr>
        <w:t>（</w:t>
      </w:r>
      <w:r>
        <w:rPr>
          <w:b/>
          <w:bCs/>
          <w:color w:val="000000"/>
          <w:kern w:val="0"/>
          <w:sz w:val="24"/>
          <w:szCs w:val="24"/>
        </w:rPr>
        <w:t>或基金经理小组</w:t>
      </w:r>
      <w:r>
        <w:rPr>
          <w:b/>
          <w:color w:val="000000"/>
          <w:kern w:val="0"/>
          <w:sz w:val="24"/>
        </w:rPr>
        <w:t>）</w:t>
      </w:r>
      <w:r>
        <w:rPr>
          <w:b/>
          <w:bCs/>
          <w:color w:val="000000"/>
          <w:kern w:val="0"/>
          <w:sz w:val="24"/>
          <w:szCs w:val="24"/>
        </w:rPr>
        <w:t>简介</w:t>
      </w:r>
    </w:p>
    <w:tbl>
      <w:tblPr>
        <w:tblStyle w:val="23"/>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45"/>
        <w:gridCol w:w="1549"/>
        <w:gridCol w:w="1548"/>
        <w:gridCol w:w="1407"/>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51" w:type="dxa"/>
            <w:vMerge w:val="restart"/>
            <w:vAlign w:val="center"/>
          </w:tcPr>
          <w:p>
            <w:pPr>
              <w:widowControl/>
              <w:spacing w:before="29" w:line="288" w:lineRule="auto"/>
              <w:ind w:left="17"/>
              <w:jc w:val="center"/>
              <w:rPr>
                <w:color w:val="000000"/>
                <w:kern w:val="0"/>
                <w:sz w:val="24"/>
                <w:szCs w:val="24"/>
              </w:rPr>
            </w:pPr>
            <w:r>
              <w:rPr>
                <w:color w:val="000000"/>
                <w:kern w:val="0"/>
                <w:sz w:val="24"/>
                <w:szCs w:val="24"/>
              </w:rPr>
              <w:t>姓名</w:t>
            </w:r>
          </w:p>
        </w:tc>
        <w:tc>
          <w:tcPr>
            <w:tcW w:w="850" w:type="dxa"/>
            <w:vMerge w:val="restart"/>
            <w:vAlign w:val="center"/>
          </w:tcPr>
          <w:p>
            <w:pPr>
              <w:widowControl/>
              <w:spacing w:before="29" w:line="288" w:lineRule="auto"/>
              <w:ind w:left="17"/>
              <w:jc w:val="center"/>
              <w:rPr>
                <w:color w:val="000000"/>
                <w:kern w:val="0"/>
                <w:sz w:val="24"/>
                <w:szCs w:val="24"/>
              </w:rPr>
            </w:pPr>
            <w:r>
              <w:rPr>
                <w:color w:val="000000"/>
                <w:kern w:val="0"/>
                <w:sz w:val="24"/>
                <w:szCs w:val="24"/>
              </w:rPr>
              <w:t>职务</w:t>
            </w:r>
          </w:p>
        </w:tc>
        <w:tc>
          <w:tcPr>
            <w:tcW w:w="3119" w:type="dxa"/>
            <w:gridSpan w:val="2"/>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任本基金的基金经理期限</w:t>
            </w:r>
          </w:p>
        </w:tc>
        <w:tc>
          <w:tcPr>
            <w:tcW w:w="1417" w:type="dxa"/>
            <w:vMerge w:val="restart"/>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证券从业年限</w:t>
            </w:r>
          </w:p>
        </w:tc>
        <w:tc>
          <w:tcPr>
            <w:tcW w:w="2694" w:type="dxa"/>
            <w:vMerge w:val="restart"/>
            <w:vAlign w:val="center"/>
          </w:tcPr>
          <w:p>
            <w:pPr>
              <w:widowControl/>
              <w:spacing w:before="29" w:line="288" w:lineRule="auto"/>
              <w:ind w:left="17"/>
              <w:jc w:val="center"/>
              <w:rPr>
                <w:color w:val="000000"/>
                <w:kern w:val="0"/>
                <w:sz w:val="24"/>
                <w:szCs w:val="24"/>
              </w:rPr>
            </w:pPr>
            <w:r>
              <w:rPr>
                <w:color w:val="000000"/>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Merge w:val="continue"/>
            <w:vAlign w:val="center"/>
          </w:tcPr>
          <w:p>
            <w:pPr>
              <w:widowControl/>
              <w:spacing w:before="29" w:line="288" w:lineRule="auto"/>
              <w:jc w:val="left"/>
              <w:rPr>
                <w:color w:val="000000"/>
                <w:kern w:val="0"/>
                <w:sz w:val="24"/>
                <w:szCs w:val="24"/>
              </w:rPr>
            </w:pPr>
          </w:p>
        </w:tc>
        <w:tc>
          <w:tcPr>
            <w:tcW w:w="850" w:type="dxa"/>
            <w:vMerge w:val="continue"/>
            <w:vAlign w:val="center"/>
          </w:tcPr>
          <w:p>
            <w:pPr>
              <w:widowControl/>
              <w:spacing w:before="29" w:line="288" w:lineRule="auto"/>
              <w:jc w:val="left"/>
              <w:rPr>
                <w:color w:val="000000"/>
                <w:kern w:val="0"/>
                <w:sz w:val="24"/>
                <w:szCs w:val="24"/>
              </w:rPr>
            </w:pPr>
          </w:p>
        </w:tc>
        <w:tc>
          <w:tcPr>
            <w:tcW w:w="1560"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任职日期</w:t>
            </w:r>
          </w:p>
        </w:tc>
        <w:tc>
          <w:tcPr>
            <w:tcW w:w="1559"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离任日期</w:t>
            </w:r>
          </w:p>
        </w:tc>
        <w:tc>
          <w:tcPr>
            <w:tcW w:w="1417" w:type="dxa"/>
            <w:vMerge w:val="continue"/>
            <w:vAlign w:val="center"/>
          </w:tcPr>
          <w:p>
            <w:pPr>
              <w:widowControl/>
              <w:spacing w:before="29" w:line="288" w:lineRule="auto"/>
              <w:jc w:val="left"/>
              <w:rPr>
                <w:color w:val="000000"/>
                <w:kern w:val="0"/>
                <w:sz w:val="24"/>
                <w:szCs w:val="24"/>
              </w:rPr>
            </w:pPr>
          </w:p>
        </w:tc>
        <w:tc>
          <w:tcPr>
            <w:tcW w:w="2694" w:type="dxa"/>
            <w:vMerge w:val="continue"/>
            <w:vAlign w:val="center"/>
          </w:tcPr>
          <w:p>
            <w:pPr>
              <w:widowControl/>
              <w:spacing w:before="29" w:line="288" w:lineRule="auto"/>
              <w:jc w:val="left"/>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vAlign w:val="center"/>
          </w:tcPr>
          <w:p>
            <w:pPr>
              <w:jc w:val="center"/>
            </w:pPr>
            <w:r>
              <w:rPr>
                <w:color w:val="000000"/>
                <w:sz w:val="24"/>
                <w:szCs w:val="24"/>
              </w:rPr>
              <w:t>连端清</w:t>
            </w:r>
          </w:p>
        </w:tc>
        <w:tc>
          <w:tcPr>
            <w:vAlign w:val="center"/>
          </w:tcPr>
          <w:p>
            <w:pPr>
              <w:jc w:val="center"/>
            </w:pPr>
            <w:r>
              <w:rPr>
                <w:color w:val="000000"/>
                <w:sz w:val="24"/>
                <w:szCs w:val="24"/>
              </w:rPr>
              <w:t>交银丰盈收益债券、交银活期通货币、交银裕盈纯债债券、交银裕利纯债债券、交银裕惠纯债债券的基金经理</w:t>
            </w:r>
          </w:p>
          <w:p>
            <w:pPr>
              <w:jc w:val="center"/>
            </w:pPr>
            <w:r>
              <w:rPr>
                <w:color w:val="000000"/>
                <w:sz w:val="24"/>
                <w:szCs w:val="24"/>
              </w:rPr>
              <w:tab/>
            </w:r>
            <w:r>
              <w:rPr>
                <w:color w:val="000000"/>
                <w:sz w:val="24"/>
                <w:szCs w:val="24"/>
              </w:rPr>
              <w:tab/>
            </w:r>
          </w:p>
        </w:tc>
        <w:tc>
          <w:tcPr>
            <w:vAlign w:val="center"/>
          </w:tcPr>
          <w:p>
            <w:pPr>
              <w:jc w:val="center"/>
            </w:pPr>
            <w:r>
              <w:rPr>
                <w:color w:val="000000"/>
                <w:sz w:val="24"/>
                <w:szCs w:val="24"/>
              </w:rPr>
              <w:t>2020-07-28</w:t>
            </w:r>
          </w:p>
        </w:tc>
        <w:tc>
          <w:tcPr>
            <w:vAlign w:val="center"/>
          </w:tcPr>
          <w:p>
            <w:pPr>
              <w:jc w:val="center"/>
            </w:pPr>
            <w:r>
              <w:rPr>
                <w:color w:val="000000"/>
                <w:sz w:val="24"/>
                <w:szCs w:val="24"/>
              </w:rPr>
              <w:t>-</w:t>
            </w:r>
          </w:p>
        </w:tc>
        <w:tc>
          <w:tcPr>
            <w:vAlign w:val="center"/>
          </w:tcPr>
          <w:p>
            <w:pPr>
              <w:jc w:val="center"/>
            </w:pPr>
            <w:r>
              <w:rPr>
                <w:color w:val="000000"/>
                <w:sz w:val="24"/>
                <w:szCs w:val="24"/>
              </w:rPr>
              <w:t>7年</w:t>
            </w:r>
          </w:p>
        </w:tc>
        <w:tc>
          <w:tcPr>
            <w:vAlign w:val="center"/>
          </w:tcPr>
          <w:p>
            <w:pPr>
              <w:jc w:val="both"/>
            </w:pPr>
            <w:r>
              <w:rPr>
                <w:color w:val="000000"/>
                <w:sz w:val="24"/>
                <w:szCs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2015年10月16日至2020年7月27日担任转型前的交银施罗德理财60天债券型证券投资基金的基金经理。2015年8月4日至2020年8月21日担任交银施罗德丰润收益债券型证券投资基金的基金经理。</w:t>
            </w:r>
          </w:p>
          <w:p>
            <w:pPr>
              <w:jc w:val="both"/>
            </w:pPr>
            <w:r>
              <w:rPr>
                <w:color w:val="000000"/>
                <w:sz w:val="24"/>
                <w:szCs w:val="24"/>
              </w:rPr>
              <w:tab/>
            </w:r>
            <w:r>
              <w:rPr>
                <w:color w:val="000000"/>
                <w:sz w:val="24"/>
                <w:szCs w:val="24"/>
              </w:rPr>
              <w:tab/>
            </w:r>
          </w:p>
        </w:tc>
      </w:tr>
    </w:tbl>
    <w:p>
      <w:pPr>
        <w:autoSpaceDE w:val="0"/>
        <w:autoSpaceDN w:val="0"/>
        <w:adjustRightInd w:val="0"/>
        <w:spacing w:before="29" w:line="288" w:lineRule="auto"/>
        <w:jc w:val="left"/>
        <w:rPr>
          <w:color w:val="000000"/>
          <w:sz w:val="24"/>
          <w:szCs w:val="24"/>
        </w:rPr>
      </w:pPr>
      <w:r>
        <w:rPr>
          <w:color w:val="000000"/>
          <w:sz w:val="24"/>
          <w:szCs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szCs w:val="24"/>
        </w:rPr>
      </w:pPr>
      <w:r>
        <w:rPr>
          <w:color w:val="000000"/>
          <w:sz w:val="24"/>
          <w:szCs w:val="24"/>
        </w:rPr>
        <w:t xml:space="preserve">2、本表所列基金经理（助理）证券从业年限中的“证券从业”的含义遵从中国证券业协会《证券业从业人员资格管理办法》的相关规定； </w:t>
      </w:r>
    </w:p>
    <w:p>
      <w:pPr>
        <w:autoSpaceDE w:val="0"/>
        <w:autoSpaceDN w:val="0"/>
        <w:adjustRightInd w:val="0"/>
        <w:spacing w:before="29" w:line="288" w:lineRule="auto"/>
        <w:jc w:val="left"/>
        <w:rPr>
          <w:color w:val="000000"/>
          <w:sz w:val="24"/>
          <w:szCs w:val="24"/>
        </w:rPr>
      </w:pPr>
      <w:r>
        <w:rPr>
          <w:color w:val="000000"/>
          <w:sz w:val="24"/>
          <w:szCs w:val="24"/>
        </w:rPr>
        <w:t>3、基金经理（或基金经理小组）期后变动（如有）敬请关注基金管理人发布的相关公告。</w:t>
      </w: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4.2 管理人对报告期内本基金运作遵规守信情况的说明</w:t>
      </w:r>
    </w:p>
    <w:p>
      <w:pPr>
        <w:spacing w:before="29" w:line="288" w:lineRule="auto"/>
        <w:ind w:firstLine="480" w:firstLineChars="20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4.3 公平交易专项说明</w:t>
      </w:r>
    </w:p>
    <w:p>
      <w:pPr>
        <w:spacing w:before="29" w:line="288" w:lineRule="auto"/>
        <w:outlineLvl w:val="1"/>
        <w:rPr>
          <w:color w:val="000000"/>
          <w:sz w:val="24"/>
          <w:szCs w:val="24"/>
        </w:rPr>
      </w:pPr>
      <w:r>
        <w:rPr>
          <w:color w:val="000000"/>
          <w:sz w:val="24"/>
          <w:szCs w:val="24"/>
        </w:rPr>
        <w:t>4.3.1 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spacing w:before="29" w:line="288" w:lineRule="auto"/>
        <w:ind w:firstLine="480" w:firstLineChars="200"/>
        <w:rPr>
          <w:color w:val="000000"/>
          <w:sz w:val="24"/>
          <w:szCs w:val="24"/>
        </w:rPr>
      </w:pPr>
      <w:r>
        <w:rPr>
          <w:color w:val="000000"/>
          <w:sz w:val="24"/>
          <w:szCs w:val="24"/>
        </w:rPr>
        <w:t>报告期内本公司严格执行公平交易制度，公平对待旗下各投资组合，未发现任何违反公平交易的行为。</w:t>
      </w:r>
    </w:p>
    <w:p>
      <w:pPr>
        <w:spacing w:before="29" w:line="288" w:lineRule="auto"/>
        <w:outlineLvl w:val="1"/>
        <w:rPr>
          <w:color w:val="000000"/>
          <w:sz w:val="24"/>
          <w:szCs w:val="24"/>
        </w:rPr>
      </w:pPr>
      <w:r>
        <w:rPr>
          <w:color w:val="000000"/>
          <w:sz w:val="24"/>
          <w:szCs w:val="24"/>
        </w:rPr>
        <w:t>4.3.2 异常交易行为的专项说明</w:t>
      </w:r>
    </w:p>
    <w:p>
      <w:pPr>
        <w:spacing w:before="29" w:line="288" w:lineRule="auto"/>
        <w:ind w:firstLine="480" w:firstLineChars="20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pPr>
        <w:spacing w:before="29" w:line="288" w:lineRule="auto"/>
        <w:ind w:firstLine="480" w:firstLineChars="200"/>
        <w:rPr>
          <w:color w:val="000000"/>
          <w:sz w:val="24"/>
          <w:szCs w:val="24"/>
        </w:rPr>
      </w:pPr>
    </w:p>
    <w:p>
      <w:pPr>
        <w:spacing w:before="29" w:line="288" w:lineRule="auto"/>
        <w:outlineLvl w:val="0"/>
        <w:rPr>
          <w:sz w:val="24"/>
          <w:szCs w:val="24"/>
        </w:rPr>
      </w:pPr>
      <w:r>
        <w:rPr>
          <w:b/>
          <w:color w:val="000000"/>
          <w:kern w:val="0"/>
          <w:sz w:val="24"/>
        </w:rPr>
        <w:t xml:space="preserve">4.4 </w:t>
      </w:r>
      <w:r>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四季度，主要受出口、房地产投资与制造业投资以及消费等驱动，我国经济继续在修复且内生增长动能提升。十月、十一月我国出口高速增长，房地产投资维持较高增速，制造业投资增速有所提升。同时，制造业景气度维持扩张势头。社会消费进一步改善，十月、十一月社会零售消费总额同比增速继续提升。经济政策继续支持经济修复，银行信贷结构继续改善，中央经济工作会议定调明年宏观经济政策“不急转弯”。</w:t>
      </w:r>
    </w:p>
    <w:p>
      <w:pPr>
        <w:spacing w:before="29" w:line="288" w:lineRule="auto"/>
        <w:ind w:firstLine="480" w:firstLineChars="200"/>
        <w:rPr>
          <w:color w:val="000000"/>
          <w:sz w:val="24"/>
          <w:szCs w:val="24"/>
        </w:rPr>
      </w:pPr>
      <w:r>
        <w:rPr>
          <w:color w:val="000000"/>
          <w:sz w:val="24"/>
          <w:szCs w:val="24"/>
        </w:rPr>
        <w:t>货币政策方面，四季度央行公开市场操作边际转向偏宽松，货币市场迎来流动性拐点。四季度央行公开市场净投放较大，尤其是十一月底开始超预期投放MLF，以及在十二月通过逆回购与MLF向银行体系投放跨年流动性与较长期限资金。资金面上，十月至十一月下旬，由于资金面趋紧，货币市场利率中枢曾不断上移。但在十一月下旬至十二月下旬，央行投放流动性之后，资金面趋于宽松，货币市场利率中枢逐渐回落。债市方面，四季度整体呈震荡走势。十月至十一月初曾迎来一波小幅上涨，但是随后经济数据继续亮丽，十一月初债市再次下跌。随后叠加部分信用债事件冲击，债市继续下跌且收益率创下本轮回调至今的高点。十一月下旬随着金融监管层召开会议，要求打击逃废债行为，维护市场秩序，央行在公开市场持续投放流动性，债市终于止跌回暖，从十一月下旬至年底债市走出了一波反弹回暖行情。</w:t>
      </w:r>
    </w:p>
    <w:p>
      <w:pPr>
        <w:spacing w:before="29" w:line="288" w:lineRule="auto"/>
        <w:ind w:firstLine="480" w:firstLineChars="200"/>
        <w:rPr>
          <w:color w:val="000000"/>
          <w:sz w:val="24"/>
          <w:szCs w:val="24"/>
        </w:rPr>
      </w:pPr>
      <w:r>
        <w:rPr>
          <w:color w:val="000000"/>
          <w:sz w:val="24"/>
          <w:szCs w:val="24"/>
        </w:rPr>
        <w:t>基金操作方面，四季度本基金调整组合久期、杠杆以及持仓品种结构，重点加仓中等期限利率债，在市场回调中努力控制风险，分享了十二月债市反弹回暖带来的机会。</w:t>
      </w:r>
    </w:p>
    <w:p>
      <w:pPr>
        <w:spacing w:before="29" w:line="288" w:lineRule="auto"/>
        <w:ind w:firstLine="480" w:firstLineChars="200"/>
        <w:rPr>
          <w:color w:val="000000"/>
          <w:sz w:val="24"/>
          <w:szCs w:val="24"/>
        </w:rPr>
      </w:pPr>
      <w:r>
        <w:rPr>
          <w:color w:val="000000"/>
          <w:sz w:val="24"/>
          <w:szCs w:val="24"/>
        </w:rPr>
        <w:t>展望2021年一季度，国内经济整体上继续修复的概率较大。疫苗接种与疫情的防控可能需要较长时间。海外严重的疫情对海外经济体的冲击，甚至国内局部疫情防控对国内经济的抑制，至少在明年一季度依然存在。因此国内经济复苏的基础是否足够扎实尚待观察。支撑今年国内经济超预期的房地产投资与出口等变量也值得重点关注。预计2021年一季度央行可能保持中性货币政策为主。我们将密切关注央行货币政策操作边际上的变化以及疫情防控与疫苗接种进展。组合管理方面，本基金将跟踪研判宏观经济走势与央行货币政策操作，保持较好的流动性，力求把握市场波动机会，控制风险，力争为投资者创造稳健的回报。</w:t>
      </w:r>
    </w:p>
    <w:p>
      <w:pPr>
        <w:spacing w:before="29" w:line="288" w:lineRule="auto"/>
        <w:ind w:firstLine="480" w:firstLineChars="200"/>
        <w:rPr>
          <w:color w:val="000000"/>
          <w:sz w:val="24"/>
          <w:szCs w:val="24"/>
        </w:rPr>
      </w:pPr>
    </w:p>
    <w:p>
      <w:pPr>
        <w:spacing w:before="29" w:line="288" w:lineRule="auto"/>
        <w:ind w:firstLine="480" w:firstLineChars="200"/>
        <w:rPr>
          <w:color w:val="000000"/>
          <w:sz w:val="24"/>
          <w:szCs w:val="24"/>
        </w:rPr>
      </w:pPr>
      <w:r>
        <w:rPr>
          <w:color w:val="000000"/>
          <w:sz w:val="24"/>
          <w:szCs w:val="24"/>
        </w:rPr>
        <w:tab/>
      </w:r>
    </w:p>
    <w:p>
      <w:pPr>
        <w:spacing w:before="29" w:line="288" w:lineRule="auto"/>
        <w:ind w:firstLine="480" w:firstLineChars="200"/>
        <w:rPr>
          <w:color w:val="000000"/>
          <w:sz w:val="24"/>
          <w:szCs w:val="24"/>
        </w:rPr>
      </w:pPr>
    </w:p>
    <w:p>
      <w:pPr>
        <w:spacing w:before="29" w:line="288" w:lineRule="auto"/>
        <w:outlineLvl w:val="0"/>
        <w:rPr>
          <w:sz w:val="24"/>
          <w:szCs w:val="24"/>
        </w:rPr>
      </w:pPr>
      <w:r>
        <w:rPr>
          <w:b/>
          <w:color w:val="000000"/>
          <w:kern w:val="0"/>
          <w:sz w:val="24"/>
        </w:rPr>
        <w:t>4.5报告期内基金的业绩表现</w:t>
      </w:r>
    </w:p>
    <w:p>
      <w:pPr>
        <w:spacing w:before="29" w:line="288" w:lineRule="auto"/>
        <w:ind w:firstLine="480" w:firstLineChars="200"/>
        <w:rPr>
          <w:color w:val="000000"/>
          <w:sz w:val="24"/>
          <w:szCs w:val="24"/>
        </w:rPr>
      </w:pPr>
      <w:r>
        <w:rPr>
          <w:color w:val="000000"/>
          <w:sz w:val="24"/>
          <w:szCs w:val="24"/>
        </w:rPr>
        <w:t>本基金（各类）份额净值及业绩表现请见“3.1主要财务指标” 及“3.2.1 本报告期基金份额净值增长率及其与同期业绩比较基准收益率的比较”部分披露。</w:t>
      </w:r>
    </w:p>
    <w:p>
      <w:pPr>
        <w:spacing w:before="29" w:line="288" w:lineRule="auto"/>
        <w:ind w:firstLine="480" w:firstLineChars="200"/>
        <w:rPr>
          <w:color w:val="000000"/>
          <w:sz w:val="24"/>
          <w:szCs w:val="24"/>
        </w:rPr>
      </w:pPr>
    </w:p>
    <w:p>
      <w:pPr>
        <w:autoSpaceDE w:val="0"/>
        <w:autoSpaceDN w:val="0"/>
        <w:adjustRightInd w:val="0"/>
        <w:spacing w:before="29" w:line="288" w:lineRule="auto"/>
        <w:jc w:val="left"/>
        <w:outlineLvl w:val="0"/>
        <w:rPr>
          <w:b/>
          <w:color w:val="000000"/>
          <w:kern w:val="0"/>
          <w:sz w:val="24"/>
        </w:rPr>
      </w:pPr>
      <w:r>
        <w:rPr>
          <w:b/>
          <w:color w:val="000000"/>
          <w:kern w:val="0"/>
          <w:sz w:val="24"/>
        </w:rPr>
        <w:t>4</w:t>
      </w:r>
      <w:r>
        <w:rPr>
          <w:rFonts w:hint="eastAsia"/>
          <w:b/>
          <w:color w:val="000000"/>
          <w:kern w:val="0"/>
          <w:sz w:val="24"/>
        </w:rPr>
        <w:t>.6报告期内基金持有人数或基金资产净值预警说明</w:t>
      </w:r>
    </w:p>
    <w:p>
      <w:pPr>
        <w:spacing w:before="29" w:line="288" w:lineRule="auto"/>
        <w:ind w:firstLine="480" w:firstLineChars="200"/>
        <w:rPr>
          <w:color w:val="000000"/>
          <w:sz w:val="24"/>
        </w:rPr>
      </w:pPr>
      <w:r>
        <w:rPr>
          <w:color w:val="000000"/>
          <w:sz w:val="24"/>
        </w:rPr>
        <w:t>本基金本报告期内无需预警说明。</w:t>
      </w:r>
    </w:p>
    <w:p>
      <w:pPr>
        <w:pStyle w:val="2"/>
        <w:spacing w:before="312" w:beforeLines="100" w:after="312" w:afterLines="100" w:line="288" w:lineRule="auto"/>
        <w:jc w:val="center"/>
        <w:rPr>
          <w:color w:val="000000"/>
          <w:kern w:val="0"/>
          <w:sz w:val="24"/>
          <w:szCs w:val="24"/>
        </w:rPr>
      </w:pPr>
      <w:r>
        <w:rPr>
          <w:color w:val="000000"/>
          <w:kern w:val="0"/>
          <w:sz w:val="24"/>
          <w:szCs w:val="24"/>
        </w:rPr>
        <w:t>§5  投资组合报告</w:t>
      </w:r>
    </w:p>
    <w:p>
      <w:pPr>
        <w:autoSpaceDE w:val="0"/>
        <w:autoSpaceDN w:val="0"/>
        <w:adjustRightInd w:val="0"/>
        <w:spacing w:line="360" w:lineRule="auto"/>
        <w:jc w:val="left"/>
        <w:outlineLvl w:val="0"/>
        <w:rPr>
          <w:rFonts w:eastAsiaTheme="minorEastAsia"/>
          <w:b/>
          <w:color w:val="000000" w:themeColor="text1"/>
          <w:kern w:val="0"/>
          <w:sz w:val="24"/>
          <w:szCs w:val="24"/>
        </w:rPr>
      </w:pPr>
      <w:r>
        <w:rPr>
          <w:rFonts w:eastAsiaTheme="minorEastAsia"/>
          <w:b/>
          <w:color w:val="000000" w:themeColor="text1"/>
          <w:kern w:val="0"/>
          <w:sz w:val="24"/>
          <w:szCs w:val="24"/>
        </w:rPr>
        <w:t>5.1 报告期末基金资产组合情况</w:t>
      </w:r>
    </w:p>
    <w:p>
      <w:pPr>
        <w:autoSpaceDE w:val="0"/>
        <w:autoSpaceDN w:val="0"/>
        <w:adjustRightInd w:val="0"/>
        <w:spacing w:line="360" w:lineRule="auto"/>
        <w:jc w:val="right"/>
        <w:rPr>
          <w:rFonts w:eastAsiaTheme="minorEastAsia"/>
          <w:b/>
          <w:color w:val="000000" w:themeColor="text1"/>
          <w:kern w:val="0"/>
          <w:sz w:val="24"/>
          <w:szCs w:val="24"/>
        </w:rPr>
      </w:pPr>
      <w:r>
        <w:rPr>
          <w:rFonts w:hint="eastAsia"/>
          <w:color w:val="000000"/>
          <w:kern w:val="0"/>
        </w:rPr>
        <w:t>金额单位：人民币元</w:t>
      </w:r>
    </w:p>
    <w:tbl>
      <w:tblPr>
        <w:tblStyle w:val="24"/>
        <w:tblW w:w="88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682"/>
        <w:gridCol w:w="2552"/>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before="29" w:line="360" w:lineRule="auto"/>
              <w:ind w:left="17"/>
              <w:jc w:val="center"/>
              <w:rPr>
                <w:rFonts w:eastAsiaTheme="minorEastAsia"/>
                <w:color w:val="000000" w:themeColor="text1"/>
                <w:kern w:val="0"/>
                <w:sz w:val="24"/>
                <w:szCs w:val="24"/>
              </w:rPr>
            </w:pPr>
            <w:r>
              <w:rPr>
                <w:rFonts w:eastAsiaTheme="minorEastAsia"/>
                <w:color w:val="000000" w:themeColor="text1"/>
                <w:kern w:val="0"/>
                <w:sz w:val="24"/>
                <w:szCs w:val="24"/>
              </w:rPr>
              <w:t>序号</w:t>
            </w:r>
          </w:p>
        </w:tc>
        <w:tc>
          <w:tcPr>
            <w:tcW w:w="2682" w:type="dxa"/>
            <w:vAlign w:val="center"/>
          </w:tcPr>
          <w:p>
            <w:pPr>
              <w:spacing w:before="29" w:line="360" w:lineRule="auto"/>
              <w:ind w:left="17"/>
              <w:jc w:val="center"/>
              <w:rPr>
                <w:rFonts w:eastAsiaTheme="minorEastAsia"/>
                <w:color w:val="000000" w:themeColor="text1"/>
                <w:kern w:val="0"/>
                <w:sz w:val="24"/>
                <w:szCs w:val="24"/>
              </w:rPr>
            </w:pPr>
            <w:r>
              <w:rPr>
                <w:rFonts w:eastAsiaTheme="minorEastAsia"/>
                <w:color w:val="000000" w:themeColor="text1"/>
                <w:kern w:val="0"/>
                <w:sz w:val="24"/>
                <w:szCs w:val="24"/>
              </w:rPr>
              <w:t>项目</w:t>
            </w:r>
          </w:p>
        </w:tc>
        <w:tc>
          <w:tcPr>
            <w:tcW w:w="2552" w:type="dxa"/>
            <w:vAlign w:val="center"/>
          </w:tcPr>
          <w:p>
            <w:pPr>
              <w:spacing w:before="29" w:line="360" w:lineRule="auto"/>
              <w:ind w:left="17"/>
              <w:jc w:val="center"/>
              <w:rPr>
                <w:rFonts w:eastAsiaTheme="minorEastAsia"/>
                <w:color w:val="000000" w:themeColor="text1"/>
                <w:kern w:val="0"/>
                <w:sz w:val="24"/>
                <w:szCs w:val="24"/>
              </w:rPr>
            </w:pPr>
            <w:r>
              <w:rPr>
                <w:rFonts w:eastAsiaTheme="minorEastAsia"/>
                <w:color w:val="000000" w:themeColor="text1"/>
                <w:kern w:val="0"/>
                <w:sz w:val="24"/>
                <w:szCs w:val="24"/>
              </w:rPr>
              <w:t>金额</w:t>
            </w:r>
          </w:p>
        </w:tc>
        <w:tc>
          <w:tcPr>
            <w:tcW w:w="2943" w:type="dxa"/>
            <w:vAlign w:val="center"/>
          </w:tcPr>
          <w:p>
            <w:pPr>
              <w:spacing w:before="29" w:line="360" w:lineRule="auto"/>
              <w:ind w:left="17"/>
              <w:jc w:val="center"/>
              <w:rPr>
                <w:rFonts w:eastAsiaTheme="minorEastAsia"/>
                <w:color w:val="000000" w:themeColor="text1"/>
                <w:kern w:val="0"/>
                <w:sz w:val="24"/>
                <w:szCs w:val="24"/>
              </w:rPr>
            </w:pPr>
            <w:r>
              <w:rPr>
                <w:rFonts w:eastAsiaTheme="minorEastAsia"/>
                <w:color w:val="000000" w:themeColor="text1"/>
                <w:kern w:val="0"/>
                <w:sz w:val="24"/>
                <w:szCs w:val="24"/>
              </w:rPr>
              <w:t>占基金总资产的比例</w:t>
            </w:r>
            <w:r>
              <w:rPr>
                <w:rFonts w:hint="eastAsia" w:eastAsiaTheme="minorEastAsia"/>
                <w:color w:val="000000" w:themeColor="text1"/>
                <w:kern w:val="0"/>
                <w:sz w:val="24"/>
                <w:szCs w:val="24"/>
              </w:rPr>
              <w:t>(</w:t>
            </w:r>
            <w:r>
              <w:rPr>
                <w:rFonts w:eastAsiaTheme="minorEastAsia"/>
                <w:color w:val="000000" w:themeColor="text1"/>
                <w:kern w:val="0"/>
                <w:sz w:val="24"/>
                <w:szCs w:val="24"/>
              </w:rPr>
              <w:t>%</w:t>
            </w:r>
            <w:r>
              <w:rPr>
                <w:rFonts w:hint="eastAsia" w:eastAsiaTheme="minorEastAsia"/>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before="29" w:line="360" w:lineRule="auto"/>
              <w:ind w:left="17"/>
              <w:jc w:val="center"/>
              <w:rPr>
                <w:rFonts w:eastAsiaTheme="minorEastAsia"/>
                <w:color w:val="000000" w:themeColor="text1"/>
                <w:kern w:val="0"/>
                <w:sz w:val="24"/>
                <w:szCs w:val="24"/>
              </w:rPr>
            </w:pPr>
            <w:r>
              <w:rPr>
                <w:rFonts w:eastAsiaTheme="minorEastAsia"/>
                <w:color w:val="000000" w:themeColor="text1"/>
                <w:kern w:val="0"/>
                <w:sz w:val="24"/>
                <w:szCs w:val="24"/>
              </w:rPr>
              <w:t>1</w:t>
            </w:r>
          </w:p>
        </w:tc>
        <w:tc>
          <w:tcPr>
            <w:tcW w:w="2682" w:type="dxa"/>
            <w:vAlign w:val="center"/>
          </w:tcPr>
          <w:p>
            <w:pPr>
              <w:spacing w:before="29" w:line="360" w:lineRule="auto"/>
              <w:ind w:left="17"/>
              <w:jc w:val="left"/>
              <w:rPr>
                <w:rFonts w:eastAsiaTheme="minorEastAsia"/>
                <w:color w:val="000000" w:themeColor="text1"/>
                <w:kern w:val="0"/>
                <w:sz w:val="24"/>
                <w:szCs w:val="24"/>
              </w:rPr>
            </w:pPr>
            <w:r>
              <w:rPr>
                <w:rFonts w:eastAsiaTheme="minorEastAsia"/>
                <w:color w:val="000000" w:themeColor="text1"/>
                <w:kern w:val="0"/>
                <w:sz w:val="24"/>
                <w:szCs w:val="24"/>
              </w:rPr>
              <w:t>权益投资</w:t>
            </w:r>
          </w:p>
        </w:tc>
        <w:tc>
          <w:tcPr>
            <w:tcW w:w="2552"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w:t>
            </w:r>
          </w:p>
        </w:tc>
        <w:tc>
          <w:tcPr>
            <w:tcW w:w="2943"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before="29" w:line="360" w:lineRule="auto"/>
              <w:ind w:left="17"/>
              <w:jc w:val="center"/>
              <w:rPr>
                <w:rFonts w:eastAsiaTheme="minorEastAsia"/>
                <w:color w:val="000000" w:themeColor="text1"/>
                <w:kern w:val="0"/>
                <w:sz w:val="24"/>
                <w:szCs w:val="24"/>
              </w:rPr>
            </w:pPr>
          </w:p>
        </w:tc>
        <w:tc>
          <w:tcPr>
            <w:tcW w:w="2682" w:type="dxa"/>
            <w:vAlign w:val="center"/>
          </w:tcPr>
          <w:p>
            <w:pPr>
              <w:spacing w:before="29" w:line="360" w:lineRule="auto"/>
              <w:ind w:left="17"/>
              <w:jc w:val="left"/>
              <w:rPr>
                <w:rFonts w:eastAsiaTheme="minorEastAsia"/>
                <w:color w:val="000000" w:themeColor="text1"/>
                <w:kern w:val="0"/>
                <w:sz w:val="24"/>
                <w:szCs w:val="24"/>
              </w:rPr>
            </w:pPr>
            <w:r>
              <w:rPr>
                <w:rFonts w:eastAsiaTheme="minorEastAsia"/>
                <w:color w:val="000000" w:themeColor="text1"/>
                <w:kern w:val="0"/>
                <w:sz w:val="24"/>
                <w:szCs w:val="24"/>
              </w:rPr>
              <w:t>其中：股票</w:t>
            </w:r>
          </w:p>
        </w:tc>
        <w:tc>
          <w:tcPr>
            <w:tcW w:w="2552"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w:t>
            </w:r>
          </w:p>
        </w:tc>
        <w:tc>
          <w:tcPr>
            <w:tcW w:w="2943"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before="29" w:line="360" w:lineRule="auto"/>
              <w:ind w:left="17"/>
              <w:jc w:val="center"/>
              <w:rPr>
                <w:rFonts w:eastAsiaTheme="minorEastAsia"/>
                <w:color w:val="000000" w:themeColor="text1"/>
                <w:kern w:val="0"/>
                <w:sz w:val="24"/>
                <w:szCs w:val="24"/>
              </w:rPr>
            </w:pPr>
            <w:r>
              <w:rPr>
                <w:rFonts w:hint="eastAsia" w:eastAsiaTheme="minorEastAsia"/>
                <w:color w:val="000000" w:themeColor="text1"/>
                <w:kern w:val="0"/>
                <w:sz w:val="24"/>
                <w:szCs w:val="24"/>
              </w:rPr>
              <w:t>2</w:t>
            </w:r>
          </w:p>
        </w:tc>
        <w:tc>
          <w:tcPr>
            <w:tcW w:w="2682" w:type="dxa"/>
            <w:vAlign w:val="center"/>
          </w:tcPr>
          <w:p>
            <w:pPr>
              <w:spacing w:before="29" w:line="360" w:lineRule="auto"/>
              <w:ind w:left="17"/>
              <w:jc w:val="left"/>
              <w:rPr>
                <w:rFonts w:eastAsiaTheme="minorEastAsia"/>
                <w:color w:val="000000" w:themeColor="text1"/>
                <w:kern w:val="0"/>
                <w:sz w:val="24"/>
                <w:szCs w:val="24"/>
              </w:rPr>
            </w:pPr>
            <w:r>
              <w:rPr>
                <w:rFonts w:hint="eastAsia" w:ascii="宋体" w:hAnsi="宋体"/>
                <w:kern w:val="0"/>
                <w:sz w:val="24"/>
                <w:szCs w:val="24"/>
              </w:rPr>
              <w:t>基金投资</w:t>
            </w:r>
          </w:p>
        </w:tc>
        <w:tc>
          <w:tcPr>
            <w:tcW w:w="2552" w:type="dxa"/>
            <w:vAlign w:val="center"/>
          </w:tcPr>
          <w:p>
            <w:pPr>
              <w:spacing w:before="29" w:line="360" w:lineRule="auto"/>
              <w:ind w:left="17"/>
              <w:jc w:val="right"/>
              <w:rPr>
                <w:rFonts w:eastAsiaTheme="minorEastAsia"/>
                <w:color w:val="000000" w:themeColor="text1"/>
                <w:kern w:val="0"/>
                <w:sz w:val="24"/>
                <w:szCs w:val="24"/>
              </w:rPr>
            </w:pPr>
            <w:r>
              <w:rPr>
                <w:rFonts w:hint="eastAsia" w:eastAsiaTheme="minorEastAsia"/>
                <w:color w:val="000000" w:themeColor="text1"/>
                <w:kern w:val="0"/>
                <w:sz w:val="24"/>
                <w:szCs w:val="24"/>
              </w:rPr>
              <w:t>-</w:t>
            </w:r>
          </w:p>
        </w:tc>
        <w:tc>
          <w:tcPr>
            <w:tcW w:w="2943" w:type="dxa"/>
            <w:vAlign w:val="center"/>
          </w:tcPr>
          <w:p>
            <w:pPr>
              <w:spacing w:before="29" w:line="360" w:lineRule="auto"/>
              <w:ind w:left="17"/>
              <w:jc w:val="right"/>
              <w:rPr>
                <w:rFonts w:eastAsiaTheme="minorEastAsia"/>
                <w:color w:val="000000" w:themeColor="text1"/>
                <w:kern w:val="0"/>
                <w:sz w:val="24"/>
                <w:szCs w:val="24"/>
              </w:rPr>
            </w:pPr>
            <w:r>
              <w:rPr>
                <w:rFonts w:hint="eastAsia" w:eastAsiaTheme="minorEastAsia"/>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before="29" w:line="360" w:lineRule="auto"/>
              <w:ind w:left="17"/>
              <w:jc w:val="center"/>
              <w:rPr>
                <w:rFonts w:eastAsiaTheme="minorEastAsia"/>
                <w:color w:val="000000" w:themeColor="text1"/>
                <w:kern w:val="0"/>
                <w:sz w:val="24"/>
                <w:szCs w:val="24"/>
              </w:rPr>
            </w:pPr>
            <w:r>
              <w:rPr>
                <w:rFonts w:hint="eastAsia" w:eastAsiaTheme="minorEastAsia"/>
                <w:color w:val="000000" w:themeColor="text1"/>
                <w:kern w:val="0"/>
                <w:sz w:val="24"/>
                <w:szCs w:val="24"/>
              </w:rPr>
              <w:t>3</w:t>
            </w:r>
          </w:p>
        </w:tc>
        <w:tc>
          <w:tcPr>
            <w:tcW w:w="2682" w:type="dxa"/>
            <w:vAlign w:val="center"/>
          </w:tcPr>
          <w:p>
            <w:pPr>
              <w:spacing w:before="29" w:line="360" w:lineRule="auto"/>
              <w:ind w:left="17"/>
              <w:jc w:val="left"/>
              <w:rPr>
                <w:rFonts w:eastAsiaTheme="minorEastAsia"/>
                <w:color w:val="000000" w:themeColor="text1"/>
                <w:kern w:val="0"/>
                <w:sz w:val="24"/>
                <w:szCs w:val="24"/>
              </w:rPr>
            </w:pPr>
            <w:r>
              <w:rPr>
                <w:rFonts w:eastAsiaTheme="minorEastAsia"/>
                <w:color w:val="000000" w:themeColor="text1"/>
                <w:kern w:val="0"/>
                <w:sz w:val="24"/>
                <w:szCs w:val="24"/>
              </w:rPr>
              <w:t>固定收益投资</w:t>
            </w:r>
          </w:p>
        </w:tc>
        <w:tc>
          <w:tcPr>
            <w:tcW w:w="2552"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743,009,000.00</w:t>
            </w:r>
          </w:p>
        </w:tc>
        <w:tc>
          <w:tcPr>
            <w:tcW w:w="2943"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95.39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before="29" w:line="360" w:lineRule="auto"/>
              <w:ind w:left="17"/>
              <w:jc w:val="center"/>
              <w:rPr>
                <w:rFonts w:eastAsiaTheme="minorEastAsia"/>
                <w:color w:val="000000" w:themeColor="text1"/>
                <w:kern w:val="0"/>
                <w:sz w:val="24"/>
                <w:szCs w:val="24"/>
              </w:rPr>
            </w:pPr>
          </w:p>
        </w:tc>
        <w:tc>
          <w:tcPr>
            <w:tcW w:w="2682" w:type="dxa"/>
            <w:vAlign w:val="center"/>
          </w:tcPr>
          <w:p>
            <w:pPr>
              <w:spacing w:before="29" w:line="360" w:lineRule="auto"/>
              <w:ind w:left="17"/>
              <w:jc w:val="left"/>
              <w:rPr>
                <w:rFonts w:eastAsiaTheme="minorEastAsia"/>
                <w:color w:val="000000" w:themeColor="text1"/>
                <w:kern w:val="0"/>
                <w:sz w:val="24"/>
                <w:szCs w:val="24"/>
              </w:rPr>
            </w:pPr>
            <w:r>
              <w:rPr>
                <w:rFonts w:eastAsiaTheme="minorEastAsia"/>
                <w:color w:val="000000" w:themeColor="text1"/>
                <w:kern w:val="0"/>
                <w:sz w:val="24"/>
                <w:szCs w:val="24"/>
              </w:rPr>
              <w:t>其中：债券</w:t>
            </w:r>
          </w:p>
        </w:tc>
        <w:tc>
          <w:tcPr>
            <w:tcW w:w="2552"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743,009,000.00</w:t>
            </w:r>
          </w:p>
        </w:tc>
        <w:tc>
          <w:tcPr>
            <w:tcW w:w="2943"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95.39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before="29" w:line="360" w:lineRule="auto"/>
              <w:ind w:left="17"/>
              <w:jc w:val="center"/>
              <w:rPr>
                <w:rFonts w:eastAsiaTheme="minorEastAsia"/>
                <w:color w:val="000000" w:themeColor="text1"/>
                <w:kern w:val="0"/>
                <w:sz w:val="24"/>
                <w:szCs w:val="24"/>
              </w:rPr>
            </w:pPr>
          </w:p>
        </w:tc>
        <w:tc>
          <w:tcPr>
            <w:tcW w:w="2682" w:type="dxa"/>
            <w:vAlign w:val="center"/>
          </w:tcPr>
          <w:p>
            <w:pPr>
              <w:autoSpaceDE w:val="0"/>
              <w:autoSpaceDN w:val="0"/>
              <w:adjustRightInd w:val="0"/>
              <w:spacing w:before="29" w:line="360" w:lineRule="auto"/>
              <w:ind w:left="17" w:firstLine="720" w:firstLineChars="300"/>
              <w:jc w:val="left"/>
              <w:rPr>
                <w:rFonts w:eastAsiaTheme="minorEastAsia"/>
                <w:color w:val="000000" w:themeColor="text1"/>
                <w:kern w:val="0"/>
                <w:sz w:val="24"/>
                <w:szCs w:val="24"/>
              </w:rPr>
            </w:pPr>
            <w:r>
              <w:rPr>
                <w:rFonts w:eastAsiaTheme="minorEastAsia"/>
                <w:color w:val="000000" w:themeColor="text1"/>
                <w:kern w:val="0"/>
                <w:sz w:val="24"/>
                <w:szCs w:val="24"/>
              </w:rPr>
              <w:t>资产支持证券</w:t>
            </w:r>
          </w:p>
        </w:tc>
        <w:tc>
          <w:tcPr>
            <w:tcW w:w="2552"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w:t>
            </w:r>
          </w:p>
        </w:tc>
        <w:tc>
          <w:tcPr>
            <w:tcW w:w="2943"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before="29" w:line="360" w:lineRule="auto"/>
              <w:ind w:left="17"/>
              <w:jc w:val="center"/>
              <w:rPr>
                <w:rFonts w:eastAsiaTheme="minorEastAsia"/>
                <w:color w:val="000000" w:themeColor="text1"/>
                <w:kern w:val="0"/>
                <w:sz w:val="24"/>
                <w:szCs w:val="24"/>
              </w:rPr>
            </w:pPr>
            <w:r>
              <w:rPr>
                <w:rFonts w:hint="eastAsia" w:eastAsiaTheme="minorEastAsia"/>
                <w:color w:val="000000" w:themeColor="text1"/>
                <w:kern w:val="0"/>
                <w:sz w:val="24"/>
                <w:szCs w:val="24"/>
              </w:rPr>
              <w:t>4</w:t>
            </w:r>
          </w:p>
        </w:tc>
        <w:tc>
          <w:tcPr>
            <w:tcW w:w="2682" w:type="dxa"/>
            <w:vAlign w:val="center"/>
          </w:tcPr>
          <w:p>
            <w:pPr>
              <w:spacing w:before="29" w:line="360" w:lineRule="auto"/>
              <w:ind w:left="105" w:leftChars="50"/>
              <w:rPr>
                <w:rFonts w:eastAsiaTheme="minorEastAsia"/>
                <w:color w:val="000000" w:themeColor="text1"/>
                <w:kern w:val="0"/>
                <w:sz w:val="24"/>
                <w:szCs w:val="24"/>
              </w:rPr>
            </w:pPr>
            <w:r>
              <w:rPr>
                <w:rFonts w:eastAsiaTheme="minorEastAsia"/>
                <w:color w:val="000000" w:themeColor="text1"/>
                <w:kern w:val="0"/>
                <w:sz w:val="24"/>
                <w:szCs w:val="24"/>
              </w:rPr>
              <w:t>贵金属投资</w:t>
            </w:r>
          </w:p>
        </w:tc>
        <w:tc>
          <w:tcPr>
            <w:tcW w:w="2552"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w:t>
            </w:r>
          </w:p>
        </w:tc>
        <w:tc>
          <w:tcPr>
            <w:tcW w:w="2943"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before="29" w:line="360" w:lineRule="auto"/>
              <w:ind w:left="17"/>
              <w:jc w:val="center"/>
              <w:rPr>
                <w:rFonts w:eastAsiaTheme="minorEastAsia"/>
                <w:color w:val="000000" w:themeColor="text1"/>
                <w:kern w:val="0"/>
                <w:sz w:val="24"/>
                <w:szCs w:val="24"/>
              </w:rPr>
            </w:pPr>
            <w:r>
              <w:rPr>
                <w:rFonts w:hint="eastAsia" w:eastAsiaTheme="minorEastAsia"/>
                <w:color w:val="000000" w:themeColor="text1"/>
                <w:kern w:val="0"/>
                <w:sz w:val="24"/>
                <w:szCs w:val="24"/>
              </w:rPr>
              <w:t>5</w:t>
            </w:r>
          </w:p>
        </w:tc>
        <w:tc>
          <w:tcPr>
            <w:tcW w:w="2682" w:type="dxa"/>
            <w:vAlign w:val="center"/>
          </w:tcPr>
          <w:p>
            <w:pPr>
              <w:spacing w:before="29" w:line="360" w:lineRule="auto"/>
              <w:ind w:left="17"/>
              <w:jc w:val="left"/>
              <w:rPr>
                <w:rFonts w:eastAsiaTheme="minorEastAsia"/>
                <w:color w:val="000000" w:themeColor="text1"/>
                <w:kern w:val="0"/>
                <w:sz w:val="24"/>
                <w:szCs w:val="24"/>
              </w:rPr>
            </w:pPr>
            <w:r>
              <w:rPr>
                <w:rFonts w:eastAsiaTheme="minorEastAsia"/>
                <w:color w:val="000000" w:themeColor="text1"/>
                <w:kern w:val="0"/>
                <w:sz w:val="24"/>
                <w:szCs w:val="24"/>
              </w:rPr>
              <w:t>金融衍生品投资</w:t>
            </w:r>
          </w:p>
        </w:tc>
        <w:tc>
          <w:tcPr>
            <w:tcW w:w="2552"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w:t>
            </w:r>
          </w:p>
        </w:tc>
        <w:tc>
          <w:tcPr>
            <w:tcW w:w="2943"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before="29" w:line="360" w:lineRule="auto"/>
              <w:ind w:left="17"/>
              <w:jc w:val="center"/>
              <w:rPr>
                <w:rFonts w:eastAsiaTheme="minorEastAsia"/>
                <w:color w:val="000000" w:themeColor="text1"/>
                <w:kern w:val="0"/>
                <w:sz w:val="24"/>
                <w:szCs w:val="24"/>
              </w:rPr>
            </w:pPr>
            <w:r>
              <w:rPr>
                <w:rFonts w:hint="eastAsia" w:eastAsiaTheme="minorEastAsia"/>
                <w:color w:val="000000" w:themeColor="text1"/>
                <w:kern w:val="0"/>
                <w:sz w:val="24"/>
                <w:szCs w:val="24"/>
              </w:rPr>
              <w:t>6</w:t>
            </w:r>
          </w:p>
        </w:tc>
        <w:tc>
          <w:tcPr>
            <w:tcW w:w="2682" w:type="dxa"/>
            <w:vAlign w:val="center"/>
          </w:tcPr>
          <w:p>
            <w:pPr>
              <w:spacing w:before="29" w:line="360" w:lineRule="auto"/>
              <w:ind w:left="17"/>
              <w:jc w:val="left"/>
              <w:rPr>
                <w:rFonts w:eastAsiaTheme="minorEastAsia"/>
                <w:color w:val="000000" w:themeColor="text1"/>
                <w:kern w:val="0"/>
                <w:sz w:val="24"/>
                <w:szCs w:val="24"/>
              </w:rPr>
            </w:pPr>
            <w:r>
              <w:rPr>
                <w:rFonts w:eastAsiaTheme="minorEastAsia"/>
                <w:color w:val="000000" w:themeColor="text1"/>
                <w:kern w:val="0"/>
                <w:sz w:val="24"/>
                <w:szCs w:val="24"/>
              </w:rPr>
              <w:t>买入返售金融资产</w:t>
            </w:r>
          </w:p>
        </w:tc>
        <w:tc>
          <w:tcPr>
            <w:tcW w:w="2552"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25,000,157.50</w:t>
            </w:r>
          </w:p>
        </w:tc>
        <w:tc>
          <w:tcPr>
            <w:tcW w:w="2943"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before="29" w:line="360" w:lineRule="auto"/>
              <w:ind w:left="17"/>
              <w:jc w:val="center"/>
              <w:rPr>
                <w:rFonts w:eastAsiaTheme="minorEastAsia"/>
                <w:color w:val="000000" w:themeColor="text1"/>
                <w:kern w:val="0"/>
                <w:sz w:val="24"/>
                <w:szCs w:val="24"/>
              </w:rPr>
            </w:pPr>
          </w:p>
        </w:tc>
        <w:tc>
          <w:tcPr>
            <w:tcW w:w="2682" w:type="dxa"/>
            <w:vAlign w:val="center"/>
          </w:tcPr>
          <w:p>
            <w:pPr>
              <w:spacing w:before="29" w:line="360" w:lineRule="auto"/>
              <w:ind w:left="17"/>
              <w:jc w:val="left"/>
              <w:rPr>
                <w:rFonts w:eastAsiaTheme="minorEastAsia"/>
                <w:color w:val="000000" w:themeColor="text1"/>
                <w:kern w:val="0"/>
                <w:sz w:val="24"/>
                <w:szCs w:val="24"/>
              </w:rPr>
            </w:pPr>
            <w:r>
              <w:rPr>
                <w:rFonts w:eastAsiaTheme="minorEastAsia"/>
                <w:color w:val="000000" w:themeColor="text1"/>
                <w:kern w:val="0"/>
                <w:sz w:val="24"/>
                <w:szCs w:val="24"/>
              </w:rPr>
              <w:t>其中：买断式回购的买入返售金融资产</w:t>
            </w:r>
          </w:p>
        </w:tc>
        <w:tc>
          <w:tcPr>
            <w:tcW w:w="2552"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w:t>
            </w:r>
          </w:p>
        </w:tc>
        <w:tc>
          <w:tcPr>
            <w:tcW w:w="2943"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before="29" w:line="360" w:lineRule="auto"/>
              <w:ind w:left="17"/>
              <w:jc w:val="center"/>
              <w:rPr>
                <w:rFonts w:eastAsiaTheme="minorEastAsia"/>
                <w:color w:val="000000" w:themeColor="text1"/>
                <w:kern w:val="0"/>
                <w:sz w:val="24"/>
                <w:szCs w:val="24"/>
              </w:rPr>
            </w:pPr>
            <w:r>
              <w:rPr>
                <w:rFonts w:hint="eastAsia" w:eastAsiaTheme="minorEastAsia"/>
                <w:color w:val="000000" w:themeColor="text1"/>
                <w:kern w:val="0"/>
                <w:sz w:val="24"/>
                <w:szCs w:val="24"/>
              </w:rPr>
              <w:t>7</w:t>
            </w:r>
          </w:p>
        </w:tc>
        <w:tc>
          <w:tcPr>
            <w:tcW w:w="2682" w:type="dxa"/>
            <w:vAlign w:val="center"/>
          </w:tcPr>
          <w:p>
            <w:pPr>
              <w:spacing w:before="29" w:line="360" w:lineRule="auto"/>
              <w:ind w:left="17"/>
              <w:jc w:val="left"/>
              <w:rPr>
                <w:rFonts w:eastAsiaTheme="minorEastAsia"/>
                <w:color w:val="000000" w:themeColor="text1"/>
                <w:kern w:val="0"/>
                <w:sz w:val="24"/>
                <w:szCs w:val="24"/>
              </w:rPr>
            </w:pPr>
            <w:r>
              <w:rPr>
                <w:rFonts w:eastAsiaTheme="minorEastAsia"/>
                <w:color w:val="000000" w:themeColor="text1"/>
                <w:kern w:val="0"/>
                <w:sz w:val="24"/>
                <w:szCs w:val="24"/>
              </w:rPr>
              <w:t>银行存款和结算备付金合计</w:t>
            </w:r>
          </w:p>
        </w:tc>
        <w:tc>
          <w:tcPr>
            <w:tcW w:w="2552"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1,252,444.69</w:t>
            </w:r>
          </w:p>
        </w:tc>
        <w:tc>
          <w:tcPr>
            <w:tcW w:w="2943" w:type="dxa"/>
            <w:vAlign w:val="center"/>
          </w:tcPr>
          <w:p>
            <w:pPr>
              <w:spacing w:before="29" w:line="360" w:lineRule="auto"/>
              <w:ind w:left="17"/>
              <w:jc w:val="right"/>
              <w:rPr>
                <w:rFonts w:eastAsiaTheme="minorEastAsia"/>
                <w:color w:val="000000" w:themeColor="text1"/>
                <w:kern w:val="0"/>
                <w:sz w:val="24"/>
                <w:szCs w:val="24"/>
              </w:rPr>
            </w:pPr>
            <w:r>
              <w:rPr>
                <w:rFonts w:eastAsiaTheme="minorEastAsia"/>
                <w:color w:val="000000" w:themeColor="text1"/>
                <w:kern w:val="0"/>
                <w:sz w:val="24"/>
                <w:szCs w:val="24"/>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before="29" w:line="360" w:lineRule="auto"/>
              <w:ind w:left="17"/>
              <w:jc w:val="center"/>
              <w:rPr>
                <w:rFonts w:eastAsiaTheme="minorEastAsia"/>
                <w:color w:val="000000" w:themeColor="text1"/>
                <w:kern w:val="0"/>
                <w:sz w:val="24"/>
                <w:szCs w:val="24"/>
              </w:rPr>
            </w:pPr>
            <w:r>
              <w:rPr>
                <w:rFonts w:eastAsiaTheme="minorEastAsia"/>
                <w:color w:val="000000" w:themeColor="text1"/>
                <w:kern w:val="0"/>
                <w:sz w:val="24"/>
                <w:szCs w:val="24"/>
              </w:rPr>
              <w:t>8</w:t>
            </w:r>
          </w:p>
        </w:tc>
        <w:tc>
          <w:tcPr>
            <w:tcW w:w="2682" w:type="dxa"/>
            <w:vAlign w:val="center"/>
          </w:tcPr>
          <w:p>
            <w:pPr>
              <w:spacing w:line="360" w:lineRule="auto"/>
              <w:rPr>
                <w:rFonts w:eastAsiaTheme="minorEastAsia"/>
                <w:color w:val="000000" w:themeColor="text1"/>
                <w:kern w:val="0"/>
                <w:sz w:val="24"/>
                <w:szCs w:val="24"/>
              </w:rPr>
            </w:pPr>
            <w:r>
              <w:rPr>
                <w:rFonts w:eastAsiaTheme="minorEastAsia"/>
                <w:color w:val="000000" w:themeColor="text1"/>
                <w:kern w:val="0"/>
                <w:sz w:val="24"/>
                <w:szCs w:val="24"/>
              </w:rPr>
              <w:t>其他各项资产</w:t>
            </w:r>
          </w:p>
        </w:tc>
        <w:tc>
          <w:tcPr>
            <w:tcW w:w="2552" w:type="dxa"/>
            <w:vAlign w:val="center"/>
          </w:tcPr>
          <w:p>
            <w:pPr>
              <w:spacing w:line="360" w:lineRule="auto"/>
              <w:jc w:val="right"/>
              <w:rPr>
                <w:rFonts w:eastAsiaTheme="minorEastAsia"/>
                <w:color w:val="000000" w:themeColor="text1"/>
                <w:kern w:val="0"/>
                <w:sz w:val="24"/>
                <w:szCs w:val="24"/>
              </w:rPr>
            </w:pPr>
            <w:r>
              <w:rPr>
                <w:rFonts w:eastAsiaTheme="minorEastAsia"/>
                <w:color w:val="000000" w:themeColor="text1"/>
                <w:kern w:val="0"/>
                <w:sz w:val="24"/>
                <w:szCs w:val="24"/>
              </w:rPr>
              <w:t>9,632,107.01</w:t>
            </w:r>
          </w:p>
        </w:tc>
        <w:tc>
          <w:tcPr>
            <w:tcW w:w="2943" w:type="dxa"/>
            <w:vAlign w:val="center"/>
          </w:tcPr>
          <w:p>
            <w:pPr>
              <w:spacing w:line="360" w:lineRule="auto"/>
              <w:jc w:val="right"/>
              <w:rPr>
                <w:rFonts w:eastAsiaTheme="minorEastAsia"/>
                <w:color w:val="000000" w:themeColor="text1"/>
                <w:kern w:val="0"/>
                <w:sz w:val="24"/>
                <w:szCs w:val="24"/>
              </w:rPr>
            </w:pPr>
            <w:r>
              <w:rPr>
                <w:rFonts w:eastAsiaTheme="minorEastAsia"/>
                <w:color w:val="000000" w:themeColor="text1"/>
                <w:kern w:val="0"/>
                <w:sz w:val="24"/>
                <w:szCs w:val="24"/>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before="29" w:line="360" w:lineRule="auto"/>
              <w:ind w:left="17"/>
              <w:jc w:val="center"/>
              <w:rPr>
                <w:rFonts w:eastAsiaTheme="minorEastAsia"/>
                <w:color w:val="000000" w:themeColor="text1"/>
                <w:kern w:val="0"/>
                <w:sz w:val="24"/>
                <w:szCs w:val="24"/>
              </w:rPr>
            </w:pPr>
            <w:r>
              <w:rPr>
                <w:rFonts w:eastAsiaTheme="minorEastAsia"/>
                <w:color w:val="000000" w:themeColor="text1"/>
                <w:kern w:val="0"/>
                <w:sz w:val="24"/>
                <w:szCs w:val="24"/>
              </w:rPr>
              <w:t>9</w:t>
            </w:r>
          </w:p>
        </w:tc>
        <w:tc>
          <w:tcPr>
            <w:tcW w:w="2682" w:type="dxa"/>
            <w:vAlign w:val="center"/>
          </w:tcPr>
          <w:p>
            <w:pPr>
              <w:spacing w:line="360" w:lineRule="auto"/>
              <w:rPr>
                <w:rFonts w:eastAsiaTheme="minorEastAsia"/>
                <w:color w:val="000000" w:themeColor="text1"/>
                <w:kern w:val="0"/>
                <w:sz w:val="24"/>
                <w:szCs w:val="24"/>
              </w:rPr>
            </w:pPr>
            <w:r>
              <w:rPr>
                <w:rFonts w:eastAsiaTheme="minorEastAsia"/>
                <w:color w:val="000000" w:themeColor="text1"/>
                <w:kern w:val="0"/>
                <w:sz w:val="24"/>
                <w:szCs w:val="24"/>
              </w:rPr>
              <w:t>合计</w:t>
            </w:r>
          </w:p>
        </w:tc>
        <w:tc>
          <w:tcPr>
            <w:tcW w:w="2552" w:type="dxa"/>
            <w:vAlign w:val="center"/>
          </w:tcPr>
          <w:p>
            <w:pPr>
              <w:spacing w:line="360" w:lineRule="auto"/>
              <w:jc w:val="right"/>
              <w:rPr>
                <w:rFonts w:eastAsiaTheme="minorEastAsia"/>
                <w:color w:val="000000" w:themeColor="text1"/>
                <w:kern w:val="0"/>
                <w:sz w:val="24"/>
                <w:szCs w:val="24"/>
              </w:rPr>
            </w:pPr>
            <w:r>
              <w:rPr>
                <w:rFonts w:eastAsiaTheme="minorEastAsia"/>
                <w:color w:val="000000" w:themeColor="text1"/>
                <w:kern w:val="0"/>
                <w:sz w:val="24"/>
                <w:szCs w:val="24"/>
              </w:rPr>
              <w:t>778,893,709.20</w:t>
            </w:r>
          </w:p>
        </w:tc>
        <w:tc>
          <w:tcPr>
            <w:tcW w:w="2943" w:type="dxa"/>
            <w:vAlign w:val="center"/>
          </w:tcPr>
          <w:p>
            <w:pPr>
              <w:spacing w:line="360" w:lineRule="auto"/>
              <w:jc w:val="right"/>
              <w:rPr>
                <w:rFonts w:eastAsiaTheme="minorEastAsia"/>
                <w:color w:val="000000" w:themeColor="text1"/>
                <w:kern w:val="0"/>
                <w:sz w:val="24"/>
                <w:szCs w:val="24"/>
              </w:rPr>
            </w:pPr>
            <w:r>
              <w:rPr>
                <w:rFonts w:eastAsiaTheme="minorEastAsia"/>
                <w:color w:val="000000" w:themeColor="text1"/>
                <w:kern w:val="0"/>
                <w:sz w:val="24"/>
                <w:szCs w:val="24"/>
              </w:rPr>
              <w:t>100.00</w:t>
            </w:r>
          </w:p>
        </w:tc>
      </w:tr>
    </w:tbl>
    <w:p>
      <w:pPr>
        <w:autoSpaceDE w:val="0"/>
        <w:autoSpaceDN w:val="0"/>
        <w:adjustRightInd w:val="0"/>
        <w:spacing w:before="29" w:line="288" w:lineRule="auto"/>
        <w:jc w:val="left"/>
        <w:rPr>
          <w:color w:val="000000"/>
          <w:sz w:val="24"/>
          <w:szCs w:val="24"/>
        </w:rPr>
      </w:pP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5.2 报告期末按行业分类的股票投资组合</w:t>
      </w:r>
    </w:p>
    <w:p>
      <w:pPr>
        <w:outlineLvl w:val="1"/>
        <w:rPr>
          <w:rFonts w:eastAsiaTheme="minorEastAsia"/>
          <w:b/>
          <w:color w:val="000000" w:themeColor="text1"/>
          <w:kern w:val="0"/>
          <w:sz w:val="24"/>
        </w:rPr>
      </w:pPr>
      <w:r>
        <w:rPr>
          <w:rFonts w:hint="eastAsia" w:eastAsiaTheme="minorEastAsia"/>
          <w:b/>
          <w:color w:val="000000" w:themeColor="text1"/>
          <w:kern w:val="0"/>
          <w:sz w:val="24"/>
        </w:rPr>
        <w:t>5.2.1报告期末按行业分类的境内股票投资组合</w:t>
      </w:r>
    </w:p>
    <w:p>
      <w:pPr>
        <w:autoSpaceDE w:val="0"/>
        <w:autoSpaceDN w:val="0"/>
        <w:adjustRightInd w:val="0"/>
        <w:spacing w:before="29" w:line="288" w:lineRule="auto"/>
        <w:jc w:val="left"/>
        <w:rPr>
          <w:color w:val="000000"/>
          <w:sz w:val="24"/>
          <w:szCs w:val="24"/>
        </w:rPr>
      </w:pPr>
      <w:r>
        <w:rPr>
          <w:color w:val="000000"/>
          <w:sz w:val="24"/>
          <w:szCs w:val="24"/>
        </w:rPr>
        <w:t>本基金本报告期末未持有股票。</w:t>
      </w:r>
    </w:p>
    <w:p>
      <w:pPr>
        <w:jc w:val="left"/>
        <w:outlineLvl w:val="1"/>
        <w:rPr>
          <w:rFonts w:asciiTheme="minorEastAsia" w:hAnsiTheme="minorEastAsia" w:eastAsiaTheme="minorEastAsia"/>
          <w:b/>
          <w:bCs/>
          <w:color w:val="000000" w:themeColor="text1"/>
          <w:kern w:val="0"/>
          <w:sz w:val="24"/>
        </w:rPr>
      </w:pPr>
      <w:r>
        <w:rPr>
          <w:rFonts w:hint="eastAsia" w:asciiTheme="minorEastAsia" w:hAnsiTheme="minorEastAsia" w:eastAsiaTheme="minorEastAsia"/>
          <w:b/>
          <w:bCs/>
          <w:color w:val="000000" w:themeColor="text1"/>
          <w:kern w:val="0"/>
          <w:sz w:val="24"/>
        </w:rPr>
        <w:t>5.2.2报告期末按行业分类的港股通投资股票投资组合</w:t>
      </w:r>
    </w:p>
    <w:p>
      <w:pPr>
        <w:spacing w:before="29" w:line="360" w:lineRule="auto"/>
        <w:ind w:left="17"/>
        <w:rPr>
          <w:color w:val="000000"/>
          <w:sz w:val="24"/>
        </w:rPr>
      </w:pPr>
      <w:r>
        <w:rPr>
          <w:color w:val="000000"/>
          <w:sz w:val="24"/>
        </w:rPr>
        <w:t>本基金本报告期末未持有通过港股通投资的股票。</w:t>
      </w: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5.3 报告期末按公允价值占基金资产净值比例大小排序的前十名股票投资明细</w:t>
      </w:r>
    </w:p>
    <w:p>
      <w:pPr>
        <w:autoSpaceDE w:val="0"/>
        <w:autoSpaceDN w:val="0"/>
        <w:adjustRightInd w:val="0"/>
        <w:spacing w:before="29" w:line="288" w:lineRule="auto"/>
        <w:jc w:val="left"/>
        <w:rPr>
          <w:color w:val="000000"/>
          <w:sz w:val="24"/>
          <w:szCs w:val="24"/>
        </w:rPr>
      </w:pPr>
      <w:r>
        <w:rPr>
          <w:color w:val="000000"/>
          <w:sz w:val="24"/>
          <w:szCs w:val="24"/>
        </w:rPr>
        <w:t>本基金本报告期末未持有股票。</w:t>
      </w:r>
    </w:p>
    <w:p>
      <w:pPr>
        <w:autoSpaceDE w:val="0"/>
        <w:autoSpaceDN w:val="0"/>
        <w:adjustRightInd w:val="0"/>
        <w:spacing w:before="29" w:line="288" w:lineRule="auto"/>
        <w:jc w:val="left"/>
        <w:rPr>
          <w:b/>
          <w:bCs/>
          <w:color w:val="000000"/>
          <w:kern w:val="0"/>
          <w:sz w:val="24"/>
          <w:szCs w:val="24"/>
        </w:rPr>
      </w:pP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5.4 报告期末按债券品种分类的债券投资组合</w:t>
      </w:r>
    </w:p>
    <w:p>
      <w:pPr>
        <w:autoSpaceDE w:val="0"/>
        <w:autoSpaceDN w:val="0"/>
        <w:adjustRightInd w:val="0"/>
        <w:spacing w:before="29" w:line="288" w:lineRule="auto"/>
        <w:jc w:val="right"/>
        <w:rPr>
          <w:bCs/>
          <w:color w:val="000000"/>
          <w:kern w:val="0"/>
          <w:sz w:val="24"/>
          <w:szCs w:val="24"/>
        </w:rPr>
      </w:pPr>
      <w:r>
        <w:rPr>
          <w:rFonts w:hint="eastAsia"/>
          <w:bCs/>
          <w:color w:val="000000"/>
          <w:kern w:val="0"/>
          <w:sz w:val="24"/>
          <w:szCs w:val="24"/>
        </w:rPr>
        <w:t>金额单位：人民币元</w:t>
      </w:r>
    </w:p>
    <w:tbl>
      <w:tblPr>
        <w:tblStyle w:val="24"/>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302"/>
        <w:gridCol w:w="2987"/>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序号</w:t>
            </w:r>
          </w:p>
        </w:tc>
        <w:tc>
          <w:tcPr>
            <w:tcW w:w="3302" w:type="dxa"/>
            <w:vAlign w:val="center"/>
          </w:tcPr>
          <w:p>
            <w:pPr>
              <w:spacing w:before="29" w:line="288" w:lineRule="auto"/>
              <w:ind w:left="17"/>
              <w:jc w:val="center"/>
              <w:rPr>
                <w:color w:val="000000"/>
                <w:kern w:val="0"/>
                <w:sz w:val="24"/>
                <w:szCs w:val="24"/>
              </w:rPr>
            </w:pPr>
            <w:r>
              <w:rPr>
                <w:color w:val="000000"/>
                <w:kern w:val="0"/>
                <w:sz w:val="24"/>
                <w:szCs w:val="24"/>
              </w:rPr>
              <w:t>债券品种</w:t>
            </w:r>
          </w:p>
        </w:tc>
        <w:tc>
          <w:tcPr>
            <w:tcW w:w="2987" w:type="dxa"/>
            <w:vAlign w:val="center"/>
          </w:tcPr>
          <w:p>
            <w:pPr>
              <w:spacing w:before="29" w:line="288" w:lineRule="auto"/>
              <w:ind w:left="17"/>
              <w:jc w:val="center"/>
              <w:rPr>
                <w:color w:val="000000"/>
                <w:kern w:val="0"/>
                <w:sz w:val="24"/>
                <w:szCs w:val="24"/>
              </w:rPr>
            </w:pPr>
            <w:r>
              <w:rPr>
                <w:color w:val="000000"/>
                <w:kern w:val="0"/>
                <w:sz w:val="24"/>
                <w:szCs w:val="24"/>
              </w:rPr>
              <w:t>公允价值</w:t>
            </w:r>
          </w:p>
        </w:tc>
        <w:tc>
          <w:tcPr>
            <w:tcW w:w="1751" w:type="dxa"/>
            <w:vAlign w:val="center"/>
          </w:tcPr>
          <w:p>
            <w:pPr>
              <w:spacing w:before="29" w:line="288" w:lineRule="auto"/>
              <w:ind w:left="17"/>
              <w:jc w:val="center"/>
              <w:rPr>
                <w:color w:val="000000"/>
                <w:kern w:val="0"/>
                <w:sz w:val="24"/>
                <w:szCs w:val="24"/>
              </w:rPr>
            </w:pPr>
            <w:r>
              <w:rPr>
                <w:color w:val="000000"/>
                <w:kern w:val="0"/>
                <w:sz w:val="24"/>
                <w:szCs w:val="24"/>
              </w:rPr>
              <w:t>占基金资产净值比例</w:t>
            </w:r>
            <w:r>
              <w:rPr>
                <w:rFonts w:hint="eastAsia"/>
                <w:color w:val="000000"/>
                <w:kern w:val="0"/>
                <w:sz w:val="24"/>
              </w:rPr>
              <w:t>(</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1</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国家债券</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2</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央行票据</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3</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金融债券</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743,009,000.00</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95.45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p>
        </w:tc>
        <w:tc>
          <w:tcPr>
            <w:tcW w:w="3302" w:type="dxa"/>
            <w:vAlign w:val="center"/>
          </w:tcPr>
          <w:p>
            <w:pPr>
              <w:spacing w:before="29" w:line="288" w:lineRule="auto"/>
              <w:ind w:left="17"/>
              <w:jc w:val="left"/>
              <w:rPr>
                <w:color w:val="000000"/>
                <w:kern w:val="0"/>
                <w:sz w:val="24"/>
                <w:szCs w:val="24"/>
              </w:rPr>
            </w:pPr>
            <w:r>
              <w:rPr>
                <w:color w:val="000000"/>
                <w:kern w:val="0"/>
                <w:sz w:val="24"/>
                <w:szCs w:val="24"/>
              </w:rPr>
              <w:t>其中：政策性金融债</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330,021,000.00</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42.40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4</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企业债券</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5</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企业短期融资券</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6</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中期票据</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7</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可转债</w:t>
            </w:r>
            <w:r>
              <w:rPr>
                <w:rFonts w:hint="eastAsia"/>
                <w:kern w:val="0"/>
                <w:sz w:val="24"/>
              </w:rPr>
              <w:t>（可交换债）</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rFonts w:hint="eastAsia"/>
                <w:color w:val="000000"/>
                <w:kern w:val="0"/>
                <w:sz w:val="24"/>
                <w:szCs w:val="24"/>
              </w:rPr>
              <w:t>8</w:t>
            </w:r>
          </w:p>
        </w:tc>
        <w:tc>
          <w:tcPr>
            <w:tcW w:w="3302" w:type="dxa"/>
            <w:vAlign w:val="center"/>
          </w:tcPr>
          <w:p>
            <w:pPr>
              <w:spacing w:before="29" w:line="288" w:lineRule="auto"/>
              <w:ind w:left="17"/>
              <w:jc w:val="left"/>
              <w:rPr>
                <w:color w:val="000000"/>
                <w:kern w:val="0"/>
                <w:sz w:val="24"/>
                <w:szCs w:val="24"/>
              </w:rPr>
            </w:pPr>
            <w:r>
              <w:rPr>
                <w:rFonts w:hint="eastAsia"/>
                <w:color w:val="000000"/>
                <w:kern w:val="0"/>
                <w:sz w:val="24"/>
                <w:szCs w:val="24"/>
              </w:rPr>
              <w:t>同业存单</w:t>
            </w:r>
          </w:p>
        </w:tc>
        <w:tc>
          <w:tcPr>
            <w:tcW w:w="2987" w:type="dxa"/>
            <w:vAlign w:val="center"/>
          </w:tcPr>
          <w:p>
            <w:pPr>
              <w:spacing w:before="29" w:line="288" w:lineRule="auto"/>
              <w:ind w:left="17"/>
              <w:jc w:val="right"/>
              <w:rPr>
                <w:color w:val="000000"/>
                <w:kern w:val="0"/>
                <w:sz w:val="24"/>
                <w:szCs w:val="24"/>
              </w:rPr>
            </w:pPr>
            <w:r>
              <w:rPr>
                <w:rFonts w:hint="eastAsia"/>
                <w:color w:val="000000"/>
                <w:kern w:val="0"/>
                <w:sz w:val="24"/>
                <w:szCs w:val="24"/>
              </w:rPr>
              <w:t>-</w:t>
            </w:r>
          </w:p>
        </w:tc>
        <w:tc>
          <w:tcPr>
            <w:tcW w:w="1751" w:type="dxa"/>
            <w:vAlign w:val="center"/>
          </w:tcPr>
          <w:p>
            <w:pPr>
              <w:spacing w:before="29" w:line="288" w:lineRule="auto"/>
              <w:ind w:left="17"/>
              <w:jc w:val="right"/>
              <w:rPr>
                <w:color w:val="000000"/>
                <w:kern w:val="0"/>
                <w:sz w:val="24"/>
                <w:szCs w:val="24"/>
              </w:rPr>
            </w:pPr>
            <w:r>
              <w:rPr>
                <w:rFonts w:hint="eastAsia"/>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9</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其他</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before="29" w:line="288" w:lineRule="auto"/>
              <w:ind w:left="17"/>
              <w:jc w:val="center"/>
              <w:rPr>
                <w:color w:val="000000"/>
                <w:kern w:val="0"/>
                <w:sz w:val="24"/>
                <w:szCs w:val="24"/>
              </w:rPr>
            </w:pPr>
            <w:r>
              <w:rPr>
                <w:color w:val="000000"/>
                <w:kern w:val="0"/>
                <w:sz w:val="24"/>
                <w:szCs w:val="24"/>
              </w:rPr>
              <w:t>10</w:t>
            </w:r>
          </w:p>
        </w:tc>
        <w:tc>
          <w:tcPr>
            <w:tcW w:w="3302" w:type="dxa"/>
            <w:vAlign w:val="center"/>
          </w:tcPr>
          <w:p>
            <w:pPr>
              <w:spacing w:before="29" w:line="288" w:lineRule="auto"/>
              <w:ind w:left="17"/>
              <w:jc w:val="left"/>
              <w:rPr>
                <w:color w:val="000000"/>
                <w:kern w:val="0"/>
                <w:sz w:val="24"/>
                <w:szCs w:val="24"/>
              </w:rPr>
            </w:pPr>
            <w:r>
              <w:rPr>
                <w:color w:val="000000"/>
                <w:kern w:val="0"/>
                <w:sz w:val="24"/>
                <w:szCs w:val="24"/>
              </w:rPr>
              <w:t>合计</w:t>
            </w:r>
          </w:p>
        </w:tc>
        <w:tc>
          <w:tcPr>
            <w:tcW w:w="2987" w:type="dxa"/>
            <w:vAlign w:val="center"/>
          </w:tcPr>
          <w:p>
            <w:pPr>
              <w:spacing w:before="29" w:line="288" w:lineRule="auto"/>
              <w:ind w:left="17"/>
              <w:jc w:val="right"/>
              <w:rPr>
                <w:color w:val="000000"/>
                <w:kern w:val="0"/>
                <w:sz w:val="24"/>
                <w:szCs w:val="24"/>
              </w:rPr>
            </w:pPr>
            <w:r>
              <w:rPr>
                <w:color w:val="000000"/>
                <w:kern w:val="0"/>
                <w:sz w:val="24"/>
                <w:szCs w:val="24"/>
              </w:rPr>
              <w:t>743,009,000.00</w:t>
            </w:r>
          </w:p>
        </w:tc>
        <w:tc>
          <w:tcPr>
            <w:tcW w:w="1751" w:type="dxa"/>
            <w:vAlign w:val="center"/>
          </w:tcPr>
          <w:p>
            <w:pPr>
              <w:spacing w:before="29" w:line="288" w:lineRule="auto"/>
              <w:ind w:left="17"/>
              <w:jc w:val="right"/>
              <w:rPr>
                <w:color w:val="000000"/>
                <w:kern w:val="0"/>
                <w:sz w:val="24"/>
                <w:szCs w:val="24"/>
              </w:rPr>
            </w:pPr>
            <w:r>
              <w:rPr>
                <w:color w:val="000000"/>
                <w:kern w:val="0"/>
                <w:sz w:val="24"/>
                <w:szCs w:val="24"/>
              </w:rPr>
              <w:t>95.45</w:t>
            </w:r>
          </w:p>
        </w:tc>
      </w:tr>
    </w:tbl>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5.5 报告期末按公允价值占基金资产净值比例大小排序的前五名债券投资明细</w:t>
      </w:r>
    </w:p>
    <w:p>
      <w:pPr>
        <w:autoSpaceDE w:val="0"/>
        <w:autoSpaceDN w:val="0"/>
        <w:adjustRightInd w:val="0"/>
        <w:spacing w:before="29" w:line="288" w:lineRule="auto"/>
        <w:jc w:val="right"/>
        <w:rPr>
          <w:bCs/>
          <w:color w:val="000000"/>
          <w:kern w:val="0"/>
          <w:sz w:val="24"/>
          <w:szCs w:val="24"/>
        </w:rPr>
      </w:pPr>
      <w:r>
        <w:rPr>
          <w:rFonts w:hint="eastAsia"/>
          <w:bCs/>
          <w:color w:val="000000"/>
          <w:kern w:val="0"/>
          <w:sz w:val="24"/>
          <w:szCs w:val="24"/>
        </w:rPr>
        <w:t>金额单位：人民币元</w:t>
      </w:r>
    </w:p>
    <w:tbl>
      <w:tblPr>
        <w:tblStyle w:val="24"/>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50"/>
        <w:gridCol w:w="1475"/>
        <w:gridCol w:w="1769"/>
        <w:gridCol w:w="1387"/>
        <w:gridCol w:w="215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tcW w:w="817" w:type="dxa"/>
            <w:vAlign w:val="center"/>
          </w:tcPr>
          <w:p>
            <w:pPr>
              <w:spacing w:before="29" w:line="288" w:lineRule="auto"/>
              <w:ind w:left="17"/>
              <w:jc w:val="center"/>
              <w:rPr>
                <w:color w:val="000000"/>
                <w:kern w:val="0"/>
                <w:sz w:val="24"/>
                <w:szCs w:val="24"/>
              </w:rPr>
            </w:pPr>
            <w:r>
              <w:rPr>
                <w:color w:val="000000"/>
                <w:kern w:val="0"/>
                <w:sz w:val="24"/>
                <w:szCs w:val="24"/>
              </w:rPr>
              <w:t>序号</w:t>
            </w:r>
          </w:p>
        </w:tc>
        <w:tc>
          <w:tcPr>
            <w:tcW w:w="1418" w:type="dxa"/>
            <w:vAlign w:val="center"/>
          </w:tcPr>
          <w:p>
            <w:pPr>
              <w:spacing w:before="29" w:line="288" w:lineRule="auto"/>
              <w:ind w:left="17"/>
              <w:jc w:val="center"/>
              <w:rPr>
                <w:color w:val="000000"/>
                <w:kern w:val="0"/>
                <w:sz w:val="24"/>
                <w:szCs w:val="24"/>
              </w:rPr>
            </w:pPr>
            <w:r>
              <w:rPr>
                <w:color w:val="000000"/>
                <w:kern w:val="0"/>
                <w:sz w:val="24"/>
                <w:szCs w:val="24"/>
              </w:rPr>
              <w:t>债券代码</w:t>
            </w:r>
          </w:p>
        </w:tc>
        <w:tc>
          <w:tcPr>
            <w:tcW w:w="1701" w:type="dxa"/>
            <w:vAlign w:val="center"/>
          </w:tcPr>
          <w:p>
            <w:pPr>
              <w:spacing w:before="29" w:line="288" w:lineRule="auto"/>
              <w:ind w:left="17"/>
              <w:jc w:val="center"/>
              <w:rPr>
                <w:color w:val="000000"/>
                <w:kern w:val="0"/>
                <w:sz w:val="24"/>
                <w:szCs w:val="24"/>
              </w:rPr>
            </w:pPr>
            <w:r>
              <w:rPr>
                <w:color w:val="000000"/>
                <w:kern w:val="0"/>
                <w:sz w:val="24"/>
                <w:szCs w:val="24"/>
              </w:rPr>
              <w:t>债券名称</w:t>
            </w:r>
          </w:p>
        </w:tc>
        <w:tc>
          <w:tcPr>
            <w:tcW w:w="1334" w:type="dxa"/>
            <w:vAlign w:val="center"/>
          </w:tcPr>
          <w:p>
            <w:pPr>
              <w:spacing w:before="29" w:line="288" w:lineRule="auto"/>
              <w:ind w:left="17"/>
              <w:jc w:val="center"/>
              <w:rPr>
                <w:color w:val="000000"/>
                <w:kern w:val="0"/>
                <w:sz w:val="24"/>
                <w:szCs w:val="24"/>
              </w:rPr>
            </w:pPr>
            <w:r>
              <w:rPr>
                <w:color w:val="000000"/>
                <w:kern w:val="0"/>
                <w:sz w:val="24"/>
                <w:szCs w:val="24"/>
              </w:rPr>
              <w:t>数量</w:t>
            </w:r>
            <w:r>
              <w:rPr>
                <w:rFonts w:hint="eastAsia"/>
                <w:color w:val="000000"/>
                <w:kern w:val="0"/>
                <w:sz w:val="24"/>
              </w:rPr>
              <w:t>(张</w:t>
            </w:r>
            <w:r>
              <w:rPr>
                <w:color w:val="000000"/>
                <w:kern w:val="0"/>
                <w:sz w:val="24"/>
              </w:rPr>
              <w:t>)</w:t>
            </w:r>
          </w:p>
        </w:tc>
        <w:tc>
          <w:tcPr>
            <w:tcW w:w="2068" w:type="dxa"/>
            <w:vAlign w:val="center"/>
          </w:tcPr>
          <w:p>
            <w:pPr>
              <w:spacing w:before="29" w:line="288" w:lineRule="auto"/>
              <w:ind w:left="17"/>
              <w:jc w:val="center"/>
              <w:rPr>
                <w:color w:val="000000"/>
                <w:kern w:val="0"/>
                <w:sz w:val="24"/>
                <w:szCs w:val="24"/>
              </w:rPr>
            </w:pPr>
            <w:r>
              <w:rPr>
                <w:color w:val="000000"/>
                <w:kern w:val="0"/>
                <w:sz w:val="24"/>
                <w:szCs w:val="24"/>
              </w:rPr>
              <w:t>公允价值</w:t>
            </w:r>
          </w:p>
        </w:tc>
        <w:tc>
          <w:tcPr>
            <w:tcW w:w="1190" w:type="dxa"/>
            <w:vAlign w:val="center"/>
          </w:tcPr>
          <w:p>
            <w:pPr>
              <w:spacing w:before="29" w:line="288" w:lineRule="auto"/>
              <w:ind w:left="17"/>
              <w:jc w:val="center"/>
              <w:rPr>
                <w:color w:val="000000"/>
                <w:kern w:val="0"/>
                <w:sz w:val="24"/>
                <w:szCs w:val="24"/>
              </w:rPr>
            </w:pPr>
            <w:r>
              <w:rPr>
                <w:color w:val="000000"/>
                <w:kern w:val="0"/>
                <w:sz w:val="24"/>
                <w:szCs w:val="24"/>
              </w:rPr>
              <w:t>占基金资产净值比例</w:t>
            </w:r>
            <w:r>
              <w:rPr>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vAlign w:val="center"/>
          </w:tcPr>
          <w:p>
            <w:pPr>
              <w:jc w:val="center"/>
              <w:rPr>
                <w:kern w:val="0"/>
                <w:sz w:val="20"/>
              </w:rPr>
            </w:pPr>
            <w:r>
              <w:rPr>
                <w:color w:val="000000"/>
                <w:kern w:val="0"/>
                <w:sz w:val="24"/>
                <w:szCs w:val="24"/>
              </w:rPr>
              <w:t>1</w:t>
            </w:r>
          </w:p>
        </w:tc>
        <w:tc>
          <w:tcPr>
            <w:vAlign w:val="center"/>
          </w:tcPr>
          <w:p>
            <w:pPr>
              <w:jc w:val="center"/>
              <w:rPr>
                <w:kern w:val="0"/>
                <w:sz w:val="20"/>
              </w:rPr>
            </w:pPr>
            <w:r>
              <w:rPr>
                <w:color w:val="000000"/>
                <w:kern w:val="0"/>
                <w:sz w:val="24"/>
                <w:szCs w:val="24"/>
              </w:rPr>
              <w:t>200207</w:t>
            </w:r>
          </w:p>
        </w:tc>
        <w:tc>
          <w:tcPr>
            <w:vAlign w:val="center"/>
          </w:tcPr>
          <w:p>
            <w:pPr>
              <w:jc w:val="center"/>
              <w:rPr>
                <w:kern w:val="0"/>
                <w:sz w:val="20"/>
              </w:rPr>
            </w:pPr>
            <w:r>
              <w:rPr>
                <w:color w:val="000000"/>
                <w:kern w:val="0"/>
                <w:sz w:val="24"/>
                <w:szCs w:val="24"/>
              </w:rPr>
              <w:t>20国开07</w:t>
            </w:r>
          </w:p>
        </w:tc>
        <w:tc>
          <w:tcPr>
            <w:vAlign w:val="center"/>
          </w:tcPr>
          <w:p>
            <w:pPr>
              <w:jc w:val="right"/>
              <w:rPr>
                <w:kern w:val="0"/>
                <w:sz w:val="20"/>
              </w:rPr>
            </w:pPr>
            <w:r>
              <w:rPr>
                <w:color w:val="000000"/>
                <w:kern w:val="0"/>
                <w:sz w:val="24"/>
                <w:szCs w:val="24"/>
              </w:rPr>
              <w:t>800,000</w:t>
            </w:r>
          </w:p>
        </w:tc>
        <w:tc>
          <w:tcPr>
            <w:vAlign w:val="center"/>
          </w:tcPr>
          <w:p>
            <w:pPr>
              <w:jc w:val="right"/>
              <w:rPr>
                <w:kern w:val="0"/>
                <w:sz w:val="20"/>
              </w:rPr>
            </w:pPr>
            <w:r>
              <w:rPr>
                <w:color w:val="000000"/>
                <w:kern w:val="0"/>
                <w:sz w:val="24"/>
                <w:szCs w:val="24"/>
              </w:rPr>
              <w:t>80,088,000.00</w:t>
            </w:r>
          </w:p>
        </w:tc>
        <w:tc>
          <w:tcPr>
            <w:vAlign w:val="center"/>
          </w:tcPr>
          <w:p>
            <w:pPr>
              <w:jc w:val="right"/>
              <w:rPr>
                <w:kern w:val="0"/>
                <w:sz w:val="20"/>
              </w:rPr>
            </w:pPr>
            <w:r>
              <w:rPr>
                <w:color w:val="000000"/>
                <w:kern w:val="0"/>
                <w:sz w:val="24"/>
                <w:szCs w:val="24"/>
              </w:rPr>
              <w:t>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vAlign w:val="center"/>
          </w:tcPr>
          <w:p>
            <w:pPr>
              <w:jc w:val="center"/>
              <w:rPr>
                <w:kern w:val="0"/>
                <w:sz w:val="20"/>
              </w:rPr>
            </w:pPr>
            <w:r>
              <w:rPr>
                <w:color w:val="000000"/>
                <w:kern w:val="0"/>
                <w:sz w:val="24"/>
                <w:szCs w:val="24"/>
              </w:rPr>
              <w:t>2</w:t>
            </w:r>
          </w:p>
        </w:tc>
        <w:tc>
          <w:tcPr>
            <w:vAlign w:val="center"/>
          </w:tcPr>
          <w:p>
            <w:pPr>
              <w:jc w:val="center"/>
              <w:rPr>
                <w:kern w:val="0"/>
                <w:sz w:val="20"/>
              </w:rPr>
            </w:pPr>
            <w:r>
              <w:rPr>
                <w:color w:val="000000"/>
                <w:kern w:val="0"/>
                <w:sz w:val="24"/>
                <w:szCs w:val="24"/>
              </w:rPr>
              <w:t>180203</w:t>
            </w:r>
          </w:p>
        </w:tc>
        <w:tc>
          <w:tcPr>
            <w:vAlign w:val="center"/>
          </w:tcPr>
          <w:p>
            <w:pPr>
              <w:jc w:val="center"/>
              <w:rPr>
                <w:kern w:val="0"/>
                <w:sz w:val="20"/>
              </w:rPr>
            </w:pPr>
            <w:r>
              <w:rPr>
                <w:color w:val="000000"/>
                <w:kern w:val="0"/>
                <w:sz w:val="24"/>
                <w:szCs w:val="24"/>
              </w:rPr>
              <w:t>18国开03</w:t>
            </w:r>
          </w:p>
        </w:tc>
        <w:tc>
          <w:tcPr>
            <w:vAlign w:val="center"/>
          </w:tcPr>
          <w:p>
            <w:pPr>
              <w:jc w:val="right"/>
              <w:rPr>
                <w:kern w:val="0"/>
                <w:sz w:val="20"/>
              </w:rPr>
            </w:pPr>
            <w:r>
              <w:rPr>
                <w:color w:val="000000"/>
                <w:kern w:val="0"/>
                <w:sz w:val="24"/>
                <w:szCs w:val="24"/>
              </w:rPr>
              <w:t>600,000</w:t>
            </w:r>
          </w:p>
        </w:tc>
        <w:tc>
          <w:tcPr>
            <w:vAlign w:val="center"/>
          </w:tcPr>
          <w:p>
            <w:pPr>
              <w:jc w:val="right"/>
              <w:rPr>
                <w:kern w:val="0"/>
                <w:sz w:val="20"/>
              </w:rPr>
            </w:pPr>
            <w:r>
              <w:rPr>
                <w:color w:val="000000"/>
                <w:kern w:val="0"/>
                <w:sz w:val="24"/>
                <w:szCs w:val="24"/>
              </w:rPr>
              <w:t>60,252,000.00</w:t>
            </w:r>
          </w:p>
        </w:tc>
        <w:tc>
          <w:tcPr>
            <w:vAlign w:val="center"/>
          </w:tcPr>
          <w:p>
            <w:pPr>
              <w:jc w:val="right"/>
              <w:rPr>
                <w:kern w:val="0"/>
                <w:sz w:val="20"/>
              </w:rPr>
            </w:pPr>
            <w:r>
              <w:rPr>
                <w:color w:val="000000"/>
                <w:kern w:val="0"/>
                <w:sz w:val="24"/>
                <w:szCs w:val="24"/>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vAlign w:val="center"/>
          </w:tcPr>
          <w:p>
            <w:pPr>
              <w:jc w:val="center"/>
              <w:rPr>
                <w:kern w:val="0"/>
                <w:sz w:val="20"/>
              </w:rPr>
            </w:pPr>
            <w:r>
              <w:rPr>
                <w:color w:val="000000"/>
                <w:kern w:val="0"/>
                <w:sz w:val="24"/>
                <w:szCs w:val="24"/>
              </w:rPr>
              <w:t>3</w:t>
            </w:r>
          </w:p>
        </w:tc>
        <w:tc>
          <w:tcPr>
            <w:vAlign w:val="center"/>
          </w:tcPr>
          <w:p>
            <w:pPr>
              <w:jc w:val="center"/>
              <w:rPr>
                <w:kern w:val="0"/>
                <w:sz w:val="20"/>
              </w:rPr>
            </w:pPr>
            <w:r>
              <w:rPr>
                <w:color w:val="000000"/>
                <w:kern w:val="0"/>
                <w:sz w:val="24"/>
                <w:szCs w:val="24"/>
              </w:rPr>
              <w:t>1620039</w:t>
            </w:r>
          </w:p>
        </w:tc>
        <w:tc>
          <w:tcPr>
            <w:vAlign w:val="center"/>
          </w:tcPr>
          <w:p>
            <w:pPr>
              <w:jc w:val="center"/>
              <w:rPr>
                <w:kern w:val="0"/>
                <w:sz w:val="20"/>
              </w:rPr>
            </w:pPr>
            <w:r>
              <w:rPr>
                <w:color w:val="000000"/>
                <w:kern w:val="0"/>
                <w:sz w:val="24"/>
                <w:szCs w:val="24"/>
              </w:rPr>
              <w:t>16徽商银行02</w:t>
            </w:r>
          </w:p>
        </w:tc>
        <w:tc>
          <w:tcPr>
            <w:vAlign w:val="center"/>
          </w:tcPr>
          <w:p>
            <w:pPr>
              <w:jc w:val="right"/>
              <w:rPr>
                <w:kern w:val="0"/>
                <w:sz w:val="20"/>
              </w:rPr>
            </w:pPr>
            <w:r>
              <w:rPr>
                <w:color w:val="000000"/>
                <w:kern w:val="0"/>
                <w:sz w:val="24"/>
                <w:szCs w:val="24"/>
              </w:rPr>
              <w:t>600,000</w:t>
            </w:r>
          </w:p>
        </w:tc>
        <w:tc>
          <w:tcPr>
            <w:vAlign w:val="center"/>
          </w:tcPr>
          <w:p>
            <w:pPr>
              <w:jc w:val="right"/>
              <w:rPr>
                <w:kern w:val="0"/>
                <w:sz w:val="20"/>
              </w:rPr>
            </w:pPr>
            <w:r>
              <w:rPr>
                <w:color w:val="000000"/>
                <w:kern w:val="0"/>
                <w:sz w:val="24"/>
                <w:szCs w:val="24"/>
              </w:rPr>
              <w:t>60,192,000.00</w:t>
            </w:r>
          </w:p>
        </w:tc>
        <w:tc>
          <w:tcPr>
            <w:vAlign w:val="center"/>
          </w:tcPr>
          <w:p>
            <w:pPr>
              <w:jc w:val="right"/>
              <w:rPr>
                <w:kern w:val="0"/>
                <w:sz w:val="20"/>
              </w:rPr>
            </w:pPr>
            <w:r>
              <w:rPr>
                <w:color w:val="000000"/>
                <w:kern w:val="0"/>
                <w:sz w:val="24"/>
                <w:szCs w:val="24"/>
              </w:rPr>
              <w:t>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vAlign w:val="center"/>
          </w:tcPr>
          <w:p>
            <w:pPr>
              <w:jc w:val="center"/>
              <w:rPr>
                <w:kern w:val="0"/>
                <w:sz w:val="20"/>
              </w:rPr>
            </w:pPr>
            <w:r>
              <w:rPr>
                <w:color w:val="000000"/>
                <w:kern w:val="0"/>
                <w:sz w:val="24"/>
                <w:szCs w:val="24"/>
              </w:rPr>
              <w:t>4</w:t>
            </w:r>
          </w:p>
        </w:tc>
        <w:tc>
          <w:tcPr>
            <w:vAlign w:val="center"/>
          </w:tcPr>
          <w:p>
            <w:pPr>
              <w:jc w:val="center"/>
              <w:rPr>
                <w:kern w:val="0"/>
                <w:sz w:val="20"/>
              </w:rPr>
            </w:pPr>
            <w:r>
              <w:rPr>
                <w:color w:val="000000"/>
                <w:kern w:val="0"/>
                <w:sz w:val="24"/>
                <w:szCs w:val="24"/>
              </w:rPr>
              <w:t>1820037</w:t>
            </w:r>
          </w:p>
        </w:tc>
        <w:tc>
          <w:tcPr>
            <w:vAlign w:val="center"/>
          </w:tcPr>
          <w:p>
            <w:pPr>
              <w:jc w:val="center"/>
              <w:rPr>
                <w:kern w:val="0"/>
                <w:sz w:val="20"/>
              </w:rPr>
            </w:pPr>
            <w:r>
              <w:rPr>
                <w:color w:val="000000"/>
                <w:kern w:val="0"/>
                <w:sz w:val="24"/>
                <w:szCs w:val="24"/>
              </w:rPr>
              <w:t>18宁波银行03</w:t>
            </w:r>
          </w:p>
        </w:tc>
        <w:tc>
          <w:tcPr>
            <w:vAlign w:val="center"/>
          </w:tcPr>
          <w:p>
            <w:pPr>
              <w:jc w:val="right"/>
              <w:rPr>
                <w:kern w:val="0"/>
                <w:sz w:val="20"/>
              </w:rPr>
            </w:pPr>
            <w:r>
              <w:rPr>
                <w:color w:val="000000"/>
                <w:kern w:val="0"/>
                <w:sz w:val="24"/>
                <w:szCs w:val="24"/>
              </w:rPr>
              <w:t>500,000</w:t>
            </w:r>
          </w:p>
        </w:tc>
        <w:tc>
          <w:tcPr>
            <w:vAlign w:val="center"/>
          </w:tcPr>
          <w:p>
            <w:pPr>
              <w:jc w:val="right"/>
              <w:rPr>
                <w:kern w:val="0"/>
                <w:sz w:val="20"/>
              </w:rPr>
            </w:pPr>
            <w:r>
              <w:rPr>
                <w:color w:val="000000"/>
                <w:kern w:val="0"/>
                <w:sz w:val="24"/>
                <w:szCs w:val="24"/>
              </w:rPr>
              <w:t>50,570,000.00</w:t>
            </w:r>
          </w:p>
        </w:tc>
        <w:tc>
          <w:tcPr>
            <w:vAlign w:val="center"/>
          </w:tcPr>
          <w:p>
            <w:pPr>
              <w:jc w:val="right"/>
              <w:rPr>
                <w:kern w:val="0"/>
                <w:sz w:val="20"/>
              </w:rPr>
            </w:pPr>
            <w:r>
              <w:rPr>
                <w:color w:val="000000"/>
                <w:kern w:val="0"/>
                <w:sz w:val="24"/>
                <w:szCs w:val="24"/>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jc w:val="center"/>
        </w:trPr>
        <w:tc>
          <w:tcPr>
            <w:vAlign w:val="center"/>
          </w:tcPr>
          <w:p>
            <w:pPr>
              <w:jc w:val="center"/>
              <w:rPr>
                <w:kern w:val="0"/>
                <w:sz w:val="20"/>
              </w:rPr>
            </w:pPr>
            <w:r>
              <w:rPr>
                <w:color w:val="000000"/>
                <w:kern w:val="0"/>
                <w:sz w:val="24"/>
                <w:szCs w:val="24"/>
              </w:rPr>
              <w:t>5</w:t>
            </w:r>
          </w:p>
        </w:tc>
        <w:tc>
          <w:tcPr>
            <w:vAlign w:val="center"/>
          </w:tcPr>
          <w:p>
            <w:pPr>
              <w:jc w:val="center"/>
              <w:rPr>
                <w:kern w:val="0"/>
                <w:sz w:val="20"/>
              </w:rPr>
            </w:pPr>
            <w:r>
              <w:rPr>
                <w:color w:val="000000"/>
                <w:kern w:val="0"/>
                <w:sz w:val="24"/>
                <w:szCs w:val="24"/>
              </w:rPr>
              <w:t>1828017</w:t>
            </w:r>
          </w:p>
        </w:tc>
        <w:tc>
          <w:tcPr>
            <w:vAlign w:val="center"/>
          </w:tcPr>
          <w:p>
            <w:pPr>
              <w:jc w:val="center"/>
              <w:rPr>
                <w:kern w:val="0"/>
                <w:sz w:val="20"/>
              </w:rPr>
            </w:pPr>
            <w:r>
              <w:rPr>
                <w:color w:val="000000"/>
                <w:kern w:val="0"/>
                <w:sz w:val="24"/>
                <w:szCs w:val="24"/>
              </w:rPr>
              <w:t>18兴业绿色金融02</w:t>
            </w:r>
          </w:p>
        </w:tc>
        <w:tc>
          <w:tcPr>
            <w:vAlign w:val="center"/>
          </w:tcPr>
          <w:p>
            <w:pPr>
              <w:jc w:val="right"/>
              <w:rPr>
                <w:kern w:val="0"/>
                <w:sz w:val="20"/>
              </w:rPr>
            </w:pPr>
            <w:r>
              <w:rPr>
                <w:color w:val="000000"/>
                <w:kern w:val="0"/>
                <w:sz w:val="24"/>
                <w:szCs w:val="24"/>
              </w:rPr>
              <w:t>500,000</w:t>
            </w:r>
          </w:p>
        </w:tc>
        <w:tc>
          <w:tcPr>
            <w:vAlign w:val="center"/>
          </w:tcPr>
          <w:p>
            <w:pPr>
              <w:jc w:val="right"/>
              <w:rPr>
                <w:kern w:val="0"/>
                <w:sz w:val="20"/>
              </w:rPr>
            </w:pPr>
            <w:r>
              <w:rPr>
                <w:color w:val="000000"/>
                <w:kern w:val="0"/>
                <w:sz w:val="24"/>
                <w:szCs w:val="24"/>
              </w:rPr>
              <w:t>50,430,000.00</w:t>
            </w:r>
          </w:p>
        </w:tc>
        <w:tc>
          <w:tcPr>
            <w:vAlign w:val="center"/>
          </w:tcPr>
          <w:p>
            <w:pPr>
              <w:jc w:val="right"/>
              <w:rPr>
                <w:kern w:val="0"/>
                <w:sz w:val="20"/>
              </w:rPr>
            </w:pPr>
            <w:r>
              <w:rPr>
                <w:color w:val="000000"/>
                <w:kern w:val="0"/>
                <w:sz w:val="24"/>
                <w:szCs w:val="24"/>
              </w:rPr>
              <w:t>6.48</w:t>
            </w:r>
          </w:p>
        </w:tc>
      </w:tr>
    </w:tbl>
    <w:p>
      <w:pPr>
        <w:autoSpaceDE w:val="0"/>
        <w:autoSpaceDN w:val="0"/>
        <w:adjustRightInd w:val="0"/>
        <w:spacing w:before="29" w:line="288" w:lineRule="auto"/>
        <w:jc w:val="left"/>
        <w:rPr>
          <w:b/>
          <w:bCs/>
          <w:color w:val="000000"/>
          <w:kern w:val="0"/>
          <w:sz w:val="24"/>
          <w:szCs w:val="24"/>
        </w:rPr>
      </w:pP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5.6 报告期末按公允价值占基金资产净值比例大小排序的前十名资产支持证券投资明细</w:t>
      </w:r>
    </w:p>
    <w:p>
      <w:pPr>
        <w:autoSpaceDE w:val="0"/>
        <w:autoSpaceDN w:val="0"/>
        <w:adjustRightInd w:val="0"/>
        <w:spacing w:before="29" w:line="288" w:lineRule="auto"/>
        <w:jc w:val="left"/>
        <w:rPr>
          <w:color w:val="000000"/>
          <w:sz w:val="24"/>
          <w:szCs w:val="24"/>
        </w:rPr>
      </w:pPr>
      <w:r>
        <w:rPr>
          <w:color w:val="000000"/>
          <w:sz w:val="24"/>
          <w:szCs w:val="24"/>
        </w:rPr>
        <w:t>本基金本报告期末未持有资产支持证券。</w:t>
      </w:r>
    </w:p>
    <w:p>
      <w:pPr>
        <w:autoSpaceDE w:val="0"/>
        <w:autoSpaceDN w:val="0"/>
        <w:adjustRightInd w:val="0"/>
        <w:spacing w:before="29" w:line="288" w:lineRule="auto"/>
        <w:jc w:val="left"/>
        <w:outlineLvl w:val="0"/>
        <w:rPr>
          <w:color w:val="000000"/>
          <w:kern w:val="0"/>
          <w:sz w:val="24"/>
          <w:szCs w:val="24"/>
        </w:rPr>
      </w:pPr>
      <w:r>
        <w:rPr>
          <w:b/>
          <w:bCs/>
          <w:color w:val="000000"/>
          <w:kern w:val="0"/>
          <w:sz w:val="24"/>
          <w:szCs w:val="24"/>
        </w:rPr>
        <w:t>5.7</w:t>
      </w:r>
      <w:r>
        <w:rPr>
          <w:rFonts w:hAnsi="宋体"/>
          <w:b/>
          <w:bCs/>
          <w:color w:val="000000"/>
          <w:kern w:val="0"/>
          <w:sz w:val="24"/>
          <w:szCs w:val="24"/>
        </w:rPr>
        <w:t>报告期末按公允价值占基金资产净值比例大小排序的前五名贵金属投资明细</w:t>
      </w:r>
    </w:p>
    <w:p>
      <w:pPr>
        <w:widowControl/>
        <w:spacing w:line="288" w:lineRule="auto"/>
        <w:jc w:val="left"/>
        <w:rPr>
          <w:sz w:val="24"/>
          <w:szCs w:val="24"/>
        </w:rPr>
      </w:pPr>
      <w:r>
        <w:rPr>
          <w:sz w:val="24"/>
          <w:szCs w:val="24"/>
        </w:rPr>
        <w:t>本基金本报告期末未持有贵金属。</w:t>
      </w: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5.8报告期末按公允价值占基金资产净值比例大小排序的前五名权证投资明细</w:t>
      </w:r>
    </w:p>
    <w:p>
      <w:pPr>
        <w:autoSpaceDE w:val="0"/>
        <w:autoSpaceDN w:val="0"/>
        <w:adjustRightInd w:val="0"/>
        <w:spacing w:before="29" w:line="288" w:lineRule="auto"/>
        <w:jc w:val="left"/>
        <w:rPr>
          <w:color w:val="000000"/>
          <w:sz w:val="24"/>
          <w:szCs w:val="24"/>
        </w:rPr>
      </w:pPr>
      <w:r>
        <w:rPr>
          <w:color w:val="000000"/>
          <w:sz w:val="24"/>
          <w:szCs w:val="24"/>
        </w:rPr>
        <w:t>本基金本报告期末未持有权证。</w:t>
      </w:r>
    </w:p>
    <w:p>
      <w:pPr>
        <w:autoSpaceDE w:val="0"/>
        <w:autoSpaceDN w:val="0"/>
        <w:adjustRightInd w:val="0"/>
        <w:spacing w:before="29" w:line="288" w:lineRule="auto"/>
        <w:jc w:val="left"/>
        <w:rPr>
          <w:color w:val="000000"/>
          <w:kern w:val="0"/>
          <w:sz w:val="24"/>
          <w:szCs w:val="24"/>
        </w:rPr>
      </w:pP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5.9报告期末本基金投资的股指期货交易情况说明</w:t>
      </w:r>
    </w:p>
    <w:p>
      <w:pPr>
        <w:autoSpaceDE w:val="0"/>
        <w:autoSpaceDN w:val="0"/>
        <w:adjustRightInd w:val="0"/>
        <w:spacing w:before="29" w:line="288" w:lineRule="auto"/>
        <w:jc w:val="left"/>
        <w:rPr>
          <w:color w:val="000000"/>
          <w:sz w:val="24"/>
          <w:szCs w:val="24"/>
        </w:rPr>
      </w:pPr>
      <w:r>
        <w:rPr>
          <w:color w:val="000000"/>
          <w:sz w:val="24"/>
          <w:szCs w:val="24"/>
        </w:rPr>
        <w:t>本基金本报告期末未持有股指期货。</w:t>
      </w:r>
    </w:p>
    <w:p>
      <w:pPr>
        <w:adjustRightInd w:val="0"/>
        <w:snapToGrid w:val="0"/>
        <w:spacing w:before="29" w:line="288" w:lineRule="auto"/>
        <w:rPr>
          <w:sz w:val="24"/>
          <w:szCs w:val="24"/>
        </w:rPr>
      </w:pP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5.10报告期末本基金投资的国债期货交易情况说明</w:t>
      </w:r>
    </w:p>
    <w:p>
      <w:pPr>
        <w:autoSpaceDE w:val="0"/>
        <w:autoSpaceDN w:val="0"/>
        <w:adjustRightInd w:val="0"/>
        <w:spacing w:before="29" w:line="288" w:lineRule="auto"/>
        <w:jc w:val="left"/>
        <w:rPr>
          <w:color w:val="000000"/>
          <w:sz w:val="24"/>
          <w:szCs w:val="24"/>
        </w:rPr>
      </w:pPr>
      <w:r>
        <w:rPr>
          <w:color w:val="000000"/>
          <w:sz w:val="24"/>
          <w:szCs w:val="24"/>
        </w:rPr>
        <w:t>本基金本报告期末未持有国债期货。</w:t>
      </w:r>
    </w:p>
    <w:p>
      <w:pPr>
        <w:autoSpaceDE w:val="0"/>
        <w:autoSpaceDN w:val="0"/>
        <w:adjustRightInd w:val="0"/>
        <w:spacing w:before="29" w:line="288" w:lineRule="auto"/>
        <w:jc w:val="left"/>
        <w:rPr>
          <w:color w:val="000000"/>
          <w:sz w:val="24"/>
          <w:szCs w:val="24"/>
        </w:rPr>
      </w:pP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5.11投资组合报告附注</w:t>
      </w: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5.11.1</w:t>
      </w:r>
      <w:r>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pPr>
        <w:autoSpaceDE w:val="0"/>
        <w:autoSpaceDN w:val="0"/>
        <w:adjustRightInd w:val="0"/>
        <w:spacing w:before="29" w:line="288" w:lineRule="auto"/>
        <w:jc w:val="left"/>
        <w:rPr>
          <w:bCs/>
          <w:color w:val="000000"/>
          <w:kern w:val="0"/>
          <w:sz w:val="24"/>
          <w:szCs w:val="24"/>
        </w:rPr>
      </w:pPr>
      <w:r>
        <w:rPr>
          <w:b/>
          <w:bCs/>
          <w:color w:val="000000"/>
          <w:kern w:val="0"/>
          <w:sz w:val="24"/>
          <w:szCs w:val="24"/>
        </w:rPr>
        <w:t>5.11.2</w:t>
      </w:r>
      <w:r>
        <w:rPr>
          <w:bCs/>
          <w:color w:val="000000"/>
          <w:kern w:val="0"/>
          <w:sz w:val="24"/>
          <w:szCs w:val="24"/>
        </w:rPr>
        <w:t>本基金投资的前十名股票中，没有超出基金合同规定的备选股票库之外的股票。</w:t>
      </w: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5.11.3其他资产构成</w:t>
      </w:r>
    </w:p>
    <w:p>
      <w:pPr>
        <w:autoSpaceDE w:val="0"/>
        <w:autoSpaceDN w:val="0"/>
        <w:adjustRightInd w:val="0"/>
        <w:spacing w:before="29" w:line="288" w:lineRule="auto"/>
        <w:jc w:val="right"/>
        <w:rPr>
          <w:bCs/>
          <w:color w:val="000000"/>
          <w:kern w:val="0"/>
          <w:sz w:val="24"/>
          <w:szCs w:val="24"/>
        </w:rPr>
      </w:pPr>
      <w:r>
        <w:rPr>
          <w:rFonts w:hint="eastAsia"/>
          <w:bCs/>
          <w:color w:val="000000"/>
          <w:kern w:val="0"/>
          <w:sz w:val="24"/>
          <w:szCs w:val="24"/>
        </w:rPr>
        <w:t>金额单位：人民币元</w:t>
      </w:r>
    </w:p>
    <w:tbl>
      <w:tblPr>
        <w:tblStyle w:val="24"/>
        <w:tblpPr w:leftFromText="180" w:rightFromText="180" w:vertAnchor="text" w:horzAnchor="margin" w:tblpXSpec="center" w:tblpY="265"/>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 w:type="dxa"/>
          <w:left w:w="108" w:type="dxa"/>
          <w:bottom w:w="-1" w:type="dxa"/>
          <w:right w:w="108" w:type="dxa"/>
        </w:tblCellMar>
      </w:tblPr>
      <w:tblGrid>
        <w:gridCol w:w="1287"/>
        <w:gridCol w:w="2573"/>
        <w:gridCol w:w="5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 w:type="dxa"/>
            <w:left w:w="108" w:type="dxa"/>
            <w:bottom w:w="-1" w:type="dxa"/>
            <w:right w:w="108" w:type="dxa"/>
          </w:tblCellMar>
        </w:tblPrEx>
        <w:trPr>
          <w:jc w:val="center"/>
        </w:trPr>
        <w:tc>
          <w:tcPr>
            <w:tcW w:w="1235"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序号</w:t>
            </w:r>
          </w:p>
        </w:tc>
        <w:tc>
          <w:tcPr>
            <w:tcW w:w="2470"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名称</w:t>
            </w:r>
          </w:p>
        </w:tc>
        <w:tc>
          <w:tcPr>
            <w:tcW w:w="4808" w:type="dxa"/>
            <w:vAlign w:val="center"/>
          </w:tcPr>
          <w:p>
            <w:pPr>
              <w:autoSpaceDE w:val="0"/>
              <w:autoSpaceDN w:val="0"/>
              <w:adjustRightInd w:val="0"/>
              <w:spacing w:before="29" w:line="288" w:lineRule="auto"/>
              <w:ind w:left="17"/>
              <w:jc w:val="center"/>
              <w:rPr>
                <w:color w:val="000000"/>
                <w:kern w:val="0"/>
                <w:sz w:val="24"/>
                <w:szCs w:val="24"/>
              </w:rPr>
            </w:pPr>
            <w:r>
              <w:rPr>
                <w:color w:val="000000"/>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 w:type="dxa"/>
            <w:left w:w="108" w:type="dxa"/>
            <w:bottom w:w="-1" w:type="dxa"/>
            <w:right w:w="108" w:type="dxa"/>
          </w:tblCellMar>
        </w:tblPrEx>
        <w:trPr>
          <w:jc w:val="center"/>
        </w:trPr>
        <w:tc>
          <w:tcPr>
            <w:tcW w:w="1235"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1</w:t>
            </w:r>
          </w:p>
        </w:tc>
        <w:tc>
          <w:tcPr>
            <w:tcW w:w="2470"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存出保证金</w:t>
            </w:r>
          </w:p>
        </w:tc>
        <w:tc>
          <w:tcPr>
            <w:tcW w:w="48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 w:type="dxa"/>
            <w:left w:w="108" w:type="dxa"/>
            <w:bottom w:w="-1" w:type="dxa"/>
            <w:right w:w="108" w:type="dxa"/>
          </w:tblCellMar>
        </w:tblPrEx>
        <w:trPr>
          <w:jc w:val="center"/>
        </w:trPr>
        <w:tc>
          <w:tcPr>
            <w:tcW w:w="1235"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2</w:t>
            </w:r>
          </w:p>
        </w:tc>
        <w:tc>
          <w:tcPr>
            <w:tcW w:w="2470"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应收证券清算款</w:t>
            </w:r>
          </w:p>
        </w:tc>
        <w:tc>
          <w:tcPr>
            <w:tcW w:w="48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 w:type="dxa"/>
            <w:left w:w="108" w:type="dxa"/>
            <w:bottom w:w="-1" w:type="dxa"/>
            <w:right w:w="108" w:type="dxa"/>
          </w:tblCellMar>
        </w:tblPrEx>
        <w:trPr>
          <w:jc w:val="center"/>
        </w:trPr>
        <w:tc>
          <w:tcPr>
            <w:tcW w:w="1235"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3</w:t>
            </w:r>
          </w:p>
        </w:tc>
        <w:tc>
          <w:tcPr>
            <w:tcW w:w="2470"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应收股利</w:t>
            </w:r>
          </w:p>
        </w:tc>
        <w:tc>
          <w:tcPr>
            <w:tcW w:w="48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 w:type="dxa"/>
            <w:left w:w="108" w:type="dxa"/>
            <w:bottom w:w="-1" w:type="dxa"/>
            <w:right w:w="108" w:type="dxa"/>
          </w:tblCellMar>
        </w:tblPrEx>
        <w:trPr>
          <w:jc w:val="center"/>
        </w:trPr>
        <w:tc>
          <w:tcPr>
            <w:tcW w:w="1235"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4</w:t>
            </w:r>
          </w:p>
        </w:tc>
        <w:tc>
          <w:tcPr>
            <w:tcW w:w="2470"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应收利息</w:t>
            </w:r>
          </w:p>
        </w:tc>
        <w:tc>
          <w:tcPr>
            <w:tcW w:w="48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9,631,110.00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 w:type="dxa"/>
            <w:left w:w="108" w:type="dxa"/>
            <w:bottom w:w="-1" w:type="dxa"/>
            <w:right w:w="108" w:type="dxa"/>
          </w:tblCellMar>
        </w:tblPrEx>
        <w:trPr>
          <w:jc w:val="center"/>
        </w:trPr>
        <w:tc>
          <w:tcPr>
            <w:tcW w:w="1235"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5</w:t>
            </w:r>
          </w:p>
        </w:tc>
        <w:tc>
          <w:tcPr>
            <w:tcW w:w="2470"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应收申购款</w:t>
            </w:r>
          </w:p>
        </w:tc>
        <w:tc>
          <w:tcPr>
            <w:tcW w:w="48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997.01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 w:type="dxa"/>
            <w:left w:w="108" w:type="dxa"/>
            <w:bottom w:w="-1" w:type="dxa"/>
            <w:right w:w="108" w:type="dxa"/>
          </w:tblCellMar>
        </w:tblPrEx>
        <w:trPr>
          <w:jc w:val="center"/>
        </w:trPr>
        <w:tc>
          <w:tcPr>
            <w:tcW w:w="1235"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6</w:t>
            </w:r>
          </w:p>
        </w:tc>
        <w:tc>
          <w:tcPr>
            <w:tcW w:w="2470"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其他应收款</w:t>
            </w:r>
          </w:p>
        </w:tc>
        <w:tc>
          <w:tcPr>
            <w:tcW w:w="48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 w:type="dxa"/>
            <w:left w:w="108" w:type="dxa"/>
            <w:bottom w:w="-1" w:type="dxa"/>
            <w:right w:w="108" w:type="dxa"/>
          </w:tblCellMar>
        </w:tblPrEx>
        <w:trPr>
          <w:jc w:val="center"/>
        </w:trPr>
        <w:tc>
          <w:tcPr>
            <w:tcW w:w="1235"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7</w:t>
            </w:r>
          </w:p>
        </w:tc>
        <w:tc>
          <w:tcPr>
            <w:tcW w:w="2470"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待摊费用</w:t>
            </w:r>
          </w:p>
        </w:tc>
        <w:tc>
          <w:tcPr>
            <w:tcW w:w="48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 w:type="dxa"/>
            <w:left w:w="108" w:type="dxa"/>
            <w:bottom w:w="-1" w:type="dxa"/>
            <w:right w:w="108" w:type="dxa"/>
          </w:tblCellMar>
        </w:tblPrEx>
        <w:trPr>
          <w:jc w:val="center"/>
        </w:trPr>
        <w:tc>
          <w:tcPr>
            <w:tcW w:w="1235"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8</w:t>
            </w:r>
          </w:p>
        </w:tc>
        <w:tc>
          <w:tcPr>
            <w:tcW w:w="2470"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其他</w:t>
            </w:r>
          </w:p>
        </w:tc>
        <w:tc>
          <w:tcPr>
            <w:tcW w:w="48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 w:type="dxa"/>
            <w:left w:w="108" w:type="dxa"/>
            <w:bottom w:w="-1" w:type="dxa"/>
            <w:right w:w="108" w:type="dxa"/>
          </w:tblCellMar>
        </w:tblPrEx>
        <w:trPr>
          <w:jc w:val="center"/>
        </w:trPr>
        <w:tc>
          <w:tcPr>
            <w:tcW w:w="1235" w:type="dxa"/>
            <w:vAlign w:val="center"/>
          </w:tcPr>
          <w:p>
            <w:pPr>
              <w:autoSpaceDE w:val="0"/>
              <w:autoSpaceDN w:val="0"/>
              <w:adjustRightInd w:val="0"/>
              <w:spacing w:before="29" w:line="288" w:lineRule="auto"/>
              <w:ind w:left="15"/>
              <w:jc w:val="center"/>
              <w:rPr>
                <w:color w:val="000000"/>
                <w:kern w:val="0"/>
                <w:sz w:val="24"/>
                <w:szCs w:val="24"/>
              </w:rPr>
            </w:pPr>
            <w:r>
              <w:rPr>
                <w:color w:val="000000"/>
                <w:kern w:val="0"/>
                <w:sz w:val="24"/>
                <w:szCs w:val="24"/>
              </w:rPr>
              <w:t>9</w:t>
            </w:r>
          </w:p>
        </w:tc>
        <w:tc>
          <w:tcPr>
            <w:tcW w:w="2470" w:type="dxa"/>
            <w:vAlign w:val="center"/>
          </w:tcPr>
          <w:p>
            <w:pPr>
              <w:autoSpaceDE w:val="0"/>
              <w:autoSpaceDN w:val="0"/>
              <w:adjustRightInd w:val="0"/>
              <w:spacing w:before="29" w:line="288" w:lineRule="auto"/>
              <w:ind w:left="15"/>
              <w:jc w:val="left"/>
              <w:rPr>
                <w:color w:val="000000"/>
                <w:kern w:val="0"/>
                <w:sz w:val="24"/>
                <w:szCs w:val="24"/>
              </w:rPr>
            </w:pPr>
            <w:r>
              <w:rPr>
                <w:color w:val="000000"/>
                <w:kern w:val="0"/>
                <w:sz w:val="24"/>
                <w:szCs w:val="24"/>
              </w:rPr>
              <w:t>合计</w:t>
            </w:r>
          </w:p>
        </w:tc>
        <w:tc>
          <w:tcPr>
            <w:tcW w:w="4808" w:type="dxa"/>
            <w:vAlign w:val="center"/>
          </w:tcPr>
          <w:p>
            <w:pPr>
              <w:autoSpaceDE w:val="0"/>
              <w:autoSpaceDN w:val="0"/>
              <w:adjustRightInd w:val="0"/>
              <w:spacing w:before="29" w:line="288" w:lineRule="auto"/>
              <w:ind w:left="15"/>
              <w:jc w:val="right"/>
              <w:rPr>
                <w:color w:val="000000"/>
                <w:kern w:val="0"/>
                <w:sz w:val="24"/>
                <w:szCs w:val="24"/>
              </w:rPr>
            </w:pPr>
            <w:r>
              <w:rPr>
                <w:color w:val="000000"/>
                <w:kern w:val="0"/>
                <w:sz w:val="24"/>
                <w:szCs w:val="24"/>
              </w:rPr>
              <w:t>9,632,107.01</w:t>
            </w:r>
          </w:p>
        </w:tc>
      </w:tr>
    </w:tbl>
    <w:p>
      <w:pPr>
        <w:autoSpaceDE w:val="0"/>
        <w:autoSpaceDN w:val="0"/>
        <w:adjustRightInd w:val="0"/>
        <w:spacing w:before="29" w:line="288" w:lineRule="auto"/>
        <w:rPr>
          <w:color w:val="000000"/>
          <w:sz w:val="24"/>
          <w:szCs w:val="24"/>
        </w:rPr>
      </w:pP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5.11.4报告期末持有的处于转股期的可转换债券明细</w:t>
      </w:r>
    </w:p>
    <w:p>
      <w:pPr>
        <w:autoSpaceDE w:val="0"/>
        <w:autoSpaceDN w:val="0"/>
        <w:adjustRightInd w:val="0"/>
        <w:spacing w:before="29" w:line="288" w:lineRule="auto"/>
        <w:jc w:val="left"/>
        <w:rPr>
          <w:color w:val="000000"/>
          <w:sz w:val="24"/>
          <w:szCs w:val="24"/>
        </w:rPr>
      </w:pPr>
      <w:r>
        <w:rPr>
          <w:color w:val="000000"/>
          <w:sz w:val="24"/>
          <w:szCs w:val="24"/>
        </w:rPr>
        <w:t>本基金本报告期末未持有处于转股期的可转换债券。</w:t>
      </w: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5.11.5报告期末前十名股票中存在流通受限情况的说明</w:t>
      </w:r>
    </w:p>
    <w:p>
      <w:pPr>
        <w:autoSpaceDE w:val="0"/>
        <w:autoSpaceDN w:val="0"/>
        <w:adjustRightInd w:val="0"/>
        <w:spacing w:before="29" w:line="288" w:lineRule="auto"/>
        <w:jc w:val="left"/>
        <w:rPr>
          <w:color w:val="000000"/>
          <w:sz w:val="24"/>
          <w:szCs w:val="24"/>
        </w:rPr>
      </w:pPr>
      <w:r>
        <w:rPr>
          <w:color w:val="000000"/>
          <w:sz w:val="24"/>
          <w:szCs w:val="24"/>
        </w:rPr>
        <w:t>本基金本报告期末未持有股票。</w:t>
      </w:r>
    </w:p>
    <w:p>
      <w:pPr>
        <w:autoSpaceDE w:val="0"/>
        <w:autoSpaceDN w:val="0"/>
        <w:adjustRightInd w:val="0"/>
        <w:spacing w:before="29" w:line="288" w:lineRule="auto"/>
        <w:jc w:val="left"/>
        <w:rPr>
          <w:b/>
          <w:bCs/>
          <w:color w:val="000000"/>
          <w:kern w:val="0"/>
          <w:sz w:val="24"/>
          <w:szCs w:val="24"/>
        </w:rPr>
      </w:pPr>
      <w:r>
        <w:rPr>
          <w:b/>
          <w:bCs/>
          <w:color w:val="000000"/>
          <w:kern w:val="0"/>
          <w:sz w:val="24"/>
          <w:szCs w:val="24"/>
        </w:rPr>
        <w:t>5.11.6投资组合报告附注的其他文字描述部分</w:t>
      </w:r>
    </w:p>
    <w:p>
      <w:pPr>
        <w:spacing w:before="29" w:line="288" w:lineRule="auto"/>
        <w:rPr>
          <w:color w:val="000000"/>
          <w:sz w:val="24"/>
          <w:szCs w:val="24"/>
        </w:rPr>
      </w:pPr>
      <w:r>
        <w:rPr>
          <w:color w:val="000000"/>
          <w:sz w:val="24"/>
          <w:szCs w:val="24"/>
        </w:rPr>
        <w:t>由于四舍五入的原因，分项之和与合计项之间可能存在尾差。</w:t>
      </w:r>
    </w:p>
    <w:p>
      <w:pPr>
        <w:spacing w:before="29" w:line="288" w:lineRule="auto"/>
        <w:ind w:firstLine="480" w:firstLineChars="200"/>
        <w:rPr>
          <w:color w:val="000000"/>
          <w:sz w:val="24"/>
          <w:szCs w:val="24"/>
        </w:rPr>
      </w:pPr>
    </w:p>
    <w:p>
      <w:pPr>
        <w:spacing w:before="29" w:line="288" w:lineRule="auto"/>
        <w:ind w:firstLine="480" w:firstLineChars="200"/>
        <w:rPr>
          <w:color w:val="000000"/>
          <w:sz w:val="24"/>
          <w:szCs w:val="24"/>
        </w:rPr>
      </w:pPr>
    </w:p>
    <w:p>
      <w:pPr>
        <w:spacing w:before="29" w:line="288" w:lineRule="auto"/>
        <w:ind w:firstLine="480" w:firstLineChars="200"/>
        <w:rPr>
          <w:color w:val="000000"/>
          <w:sz w:val="24"/>
          <w:szCs w:val="24"/>
        </w:rPr>
      </w:pPr>
    </w:p>
    <w:p>
      <w:pPr>
        <w:pStyle w:val="2"/>
        <w:spacing w:before="312" w:beforeLines="100" w:after="312" w:afterLines="100" w:line="360" w:lineRule="auto"/>
        <w:jc w:val="center"/>
        <w:rPr>
          <w:rFonts w:eastAsiaTheme="minorEastAsia"/>
          <w:color w:val="000000" w:themeColor="text1"/>
          <w:kern w:val="0"/>
          <w:sz w:val="24"/>
          <w:szCs w:val="24"/>
        </w:rPr>
      </w:pPr>
      <w:r>
        <w:rPr>
          <w:rFonts w:eastAsiaTheme="minorEastAsia"/>
          <w:color w:val="000000" w:themeColor="text1"/>
          <w:kern w:val="0"/>
          <w:sz w:val="24"/>
          <w:szCs w:val="24"/>
        </w:rPr>
        <w:t>§6  开放式基金份额变动</w:t>
      </w:r>
    </w:p>
    <w:p>
      <w:pPr>
        <w:autoSpaceDE w:val="0"/>
        <w:autoSpaceDN w:val="0"/>
        <w:adjustRightInd w:val="0"/>
        <w:spacing w:before="29" w:line="288" w:lineRule="auto"/>
        <w:ind w:left="15"/>
        <w:jc w:val="right"/>
        <w:rPr>
          <w:color w:val="000000"/>
          <w:kern w:val="0"/>
          <w:sz w:val="24"/>
          <w:szCs w:val="24"/>
        </w:rPr>
      </w:pPr>
      <w:r>
        <w:rPr>
          <w:color w:val="000000"/>
          <w:kern w:val="0"/>
          <w:sz w:val="24"/>
          <w:szCs w:val="24"/>
        </w:rPr>
        <w:t>单位：份</w:t>
      </w:r>
    </w:p>
    <w:tbl>
      <w:tblPr>
        <w:tblStyle w:val="23"/>
        <w:tblW w:w="8868" w:type="dxa"/>
        <w:jc w:val="center"/>
        <w:tblLayout w:type="fixed"/>
        <w:tblCellMar>
          <w:top w:w="-1" w:type="dxa"/>
          <w:left w:w="108" w:type="dxa"/>
          <w:bottom w:w="-1" w:type="dxa"/>
          <w:right w:w="108" w:type="dxa"/>
        </w:tblCellMar>
      </w:tblPr>
      <w:tblGrid>
        <w:gridCol w:w="4734"/>
        <w:gridCol w:w="4134"/>
      </w:tblGrid>
      <w:tr>
        <w:tblPrEx>
          <w:tblCellMar>
            <w:top w:w="-1" w:type="dxa"/>
            <w:left w:w="108" w:type="dxa"/>
            <w:bottom w:w="-1" w:type="dxa"/>
            <w:right w:w="108" w:type="dxa"/>
          </w:tblCellMar>
        </w:tblPrEx>
        <w:trPr>
          <w:jc w:val="center"/>
        </w:trPr>
        <w:tc>
          <w:tcPr>
            <w:tcW w:w="460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left"/>
              <w:rPr>
                <w:color w:val="000000"/>
                <w:kern w:val="0"/>
                <w:sz w:val="24"/>
                <w:szCs w:val="24"/>
              </w:rPr>
            </w:pPr>
            <w:r>
              <w:rPr>
                <w:color w:val="000000"/>
                <w:kern w:val="0"/>
                <w:sz w:val="24"/>
                <w:szCs w:val="24"/>
              </w:rPr>
              <w:t>报告期期初基金份额总额</w:t>
            </w:r>
          </w:p>
        </w:tc>
        <w:tc>
          <w:tcPr>
            <w:tcW w:w="40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right"/>
              <w:rPr>
                <w:color w:val="000000"/>
                <w:sz w:val="24"/>
                <w:szCs w:val="24"/>
              </w:rPr>
            </w:pPr>
            <w:r>
              <w:rPr>
                <w:color w:val="000000"/>
                <w:sz w:val="24"/>
                <w:szCs w:val="24"/>
              </w:rPr>
              <w:t>769,969,757.27</w:t>
            </w:r>
          </w:p>
        </w:tc>
      </w:tr>
      <w:tr>
        <w:tblPrEx>
          <w:tblCellMar>
            <w:top w:w="-1" w:type="dxa"/>
            <w:left w:w="108" w:type="dxa"/>
            <w:bottom w:w="-1" w:type="dxa"/>
            <w:right w:w="108" w:type="dxa"/>
          </w:tblCellMar>
        </w:tblPrEx>
        <w:trPr>
          <w:jc w:val="center"/>
        </w:trPr>
        <w:tc>
          <w:tcPr>
            <w:tcW w:w="460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left"/>
              <w:rPr>
                <w:color w:val="000000"/>
                <w:kern w:val="0"/>
                <w:sz w:val="24"/>
                <w:szCs w:val="24"/>
              </w:rPr>
            </w:pPr>
            <w:r>
              <w:rPr>
                <w:color w:val="000000"/>
                <w:kern w:val="0"/>
                <w:sz w:val="24"/>
                <w:szCs w:val="24"/>
              </w:rPr>
              <w:t>本报告期</w:t>
            </w:r>
            <w:r>
              <w:rPr>
                <w:rFonts w:hint="eastAsia"/>
                <w:color w:val="000000"/>
                <w:kern w:val="0"/>
                <w:sz w:val="24"/>
                <w:szCs w:val="24"/>
              </w:rPr>
              <w:t>期间</w:t>
            </w:r>
            <w:r>
              <w:rPr>
                <w:color w:val="000000"/>
                <w:kern w:val="0"/>
                <w:sz w:val="24"/>
                <w:szCs w:val="24"/>
              </w:rPr>
              <w:t>基金总申购份额</w:t>
            </w:r>
          </w:p>
        </w:tc>
        <w:tc>
          <w:tcPr>
            <w:tcW w:w="40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right"/>
              <w:rPr>
                <w:color w:val="000000"/>
                <w:sz w:val="24"/>
                <w:szCs w:val="24"/>
              </w:rPr>
            </w:pPr>
            <w:r>
              <w:rPr>
                <w:color w:val="000000"/>
                <w:sz w:val="24"/>
                <w:szCs w:val="24"/>
              </w:rPr>
              <w:t>379,858.35</w:t>
            </w:r>
          </w:p>
        </w:tc>
      </w:tr>
      <w:tr>
        <w:tblPrEx>
          <w:tblCellMar>
            <w:top w:w="-1" w:type="dxa"/>
            <w:left w:w="108" w:type="dxa"/>
            <w:bottom w:w="-1" w:type="dxa"/>
            <w:right w:w="108" w:type="dxa"/>
          </w:tblCellMar>
        </w:tblPrEx>
        <w:trPr>
          <w:jc w:val="center"/>
        </w:trPr>
        <w:tc>
          <w:tcPr>
            <w:tcW w:w="460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left"/>
              <w:rPr>
                <w:color w:val="000000"/>
                <w:kern w:val="0"/>
                <w:sz w:val="24"/>
                <w:szCs w:val="24"/>
              </w:rPr>
            </w:pPr>
            <w:r>
              <w:rPr>
                <w:color w:val="000000"/>
                <w:kern w:val="0"/>
                <w:sz w:val="24"/>
                <w:szCs w:val="24"/>
              </w:rPr>
              <w:t>减：本报告期</w:t>
            </w:r>
            <w:r>
              <w:rPr>
                <w:rFonts w:hint="eastAsia"/>
                <w:color w:val="000000"/>
                <w:kern w:val="0"/>
                <w:sz w:val="24"/>
                <w:szCs w:val="24"/>
              </w:rPr>
              <w:t>期间</w:t>
            </w:r>
            <w:r>
              <w:rPr>
                <w:color w:val="000000"/>
                <w:kern w:val="0"/>
                <w:sz w:val="24"/>
                <w:szCs w:val="24"/>
              </w:rPr>
              <w:t>基金总赎回份额</w:t>
            </w:r>
          </w:p>
        </w:tc>
        <w:tc>
          <w:tcPr>
            <w:tcW w:w="40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right"/>
              <w:rPr>
                <w:color w:val="000000"/>
                <w:sz w:val="24"/>
                <w:szCs w:val="24"/>
              </w:rPr>
            </w:pPr>
            <w:r>
              <w:rPr>
                <w:color w:val="000000"/>
                <w:sz w:val="24"/>
                <w:szCs w:val="24"/>
              </w:rPr>
              <w:t>836,741.85</w:t>
            </w:r>
          </w:p>
        </w:tc>
      </w:tr>
      <w:tr>
        <w:tblPrEx>
          <w:tblCellMar>
            <w:top w:w="-1" w:type="dxa"/>
            <w:left w:w="108" w:type="dxa"/>
            <w:bottom w:w="-1" w:type="dxa"/>
            <w:right w:w="108" w:type="dxa"/>
          </w:tblCellMar>
        </w:tblPrEx>
        <w:trPr>
          <w:jc w:val="center"/>
        </w:trPr>
        <w:tc>
          <w:tcPr>
            <w:tcW w:w="460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left"/>
              <w:rPr>
                <w:color w:val="000000"/>
                <w:kern w:val="0"/>
                <w:sz w:val="24"/>
                <w:szCs w:val="24"/>
              </w:rPr>
            </w:pPr>
            <w:r>
              <w:rPr>
                <w:color w:val="000000"/>
                <w:kern w:val="0"/>
                <w:sz w:val="24"/>
                <w:szCs w:val="24"/>
              </w:rPr>
              <w:t>本报告期</w:t>
            </w:r>
            <w:r>
              <w:rPr>
                <w:rFonts w:hint="eastAsia"/>
                <w:color w:val="000000"/>
                <w:kern w:val="0"/>
                <w:sz w:val="24"/>
                <w:szCs w:val="24"/>
              </w:rPr>
              <w:t>期间</w:t>
            </w:r>
            <w:r>
              <w:rPr>
                <w:color w:val="000000"/>
                <w:kern w:val="0"/>
                <w:sz w:val="24"/>
                <w:szCs w:val="24"/>
              </w:rPr>
              <w:t>基金拆分变动份额</w:t>
            </w:r>
            <w:r>
              <w:rPr>
                <w:rFonts w:hint="eastAsia"/>
                <w:color w:val="000000"/>
                <w:kern w:val="0"/>
                <w:sz w:val="24"/>
              </w:rPr>
              <w:t>（份额减少以</w:t>
            </w:r>
            <w:r>
              <w:rPr>
                <w:color w:val="000000"/>
              </w:rPr>
              <w:t>“-”</w:t>
            </w:r>
            <w:r>
              <w:rPr>
                <w:rFonts w:hint="eastAsia"/>
                <w:color w:val="000000"/>
                <w:kern w:val="0"/>
                <w:sz w:val="24"/>
              </w:rPr>
              <w:t>填列）</w:t>
            </w:r>
          </w:p>
        </w:tc>
        <w:tc>
          <w:tcPr>
            <w:tcW w:w="40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right"/>
              <w:rPr>
                <w:color w:val="000000"/>
                <w:sz w:val="24"/>
                <w:szCs w:val="24"/>
              </w:rPr>
            </w:pPr>
            <w:r>
              <w:rPr>
                <w:color w:val="000000"/>
                <w:sz w:val="24"/>
                <w:szCs w:val="24"/>
              </w:rPr>
              <w:t>-</w:t>
            </w:r>
          </w:p>
        </w:tc>
      </w:tr>
      <w:tr>
        <w:tblPrEx>
          <w:tblCellMar>
            <w:top w:w="-1" w:type="dxa"/>
            <w:left w:w="108" w:type="dxa"/>
            <w:bottom w:w="-1" w:type="dxa"/>
            <w:right w:w="108" w:type="dxa"/>
          </w:tblCellMar>
        </w:tblPrEx>
        <w:trPr>
          <w:jc w:val="center"/>
        </w:trPr>
        <w:tc>
          <w:tcPr>
            <w:tcW w:w="4609"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left"/>
              <w:rPr>
                <w:color w:val="000000"/>
                <w:kern w:val="0"/>
                <w:sz w:val="24"/>
                <w:szCs w:val="24"/>
              </w:rPr>
            </w:pPr>
            <w:r>
              <w:rPr>
                <w:color w:val="000000"/>
                <w:kern w:val="0"/>
                <w:sz w:val="24"/>
                <w:szCs w:val="24"/>
              </w:rPr>
              <w:t>报告期期末基金份额总额</w:t>
            </w:r>
          </w:p>
        </w:tc>
        <w:tc>
          <w:tcPr>
            <w:tcW w:w="402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spacing w:before="29" w:line="288" w:lineRule="auto"/>
              <w:ind w:left="17"/>
              <w:jc w:val="right"/>
              <w:rPr>
                <w:color w:val="000000"/>
                <w:sz w:val="24"/>
                <w:szCs w:val="24"/>
              </w:rPr>
            </w:pPr>
            <w:r>
              <w:rPr>
                <w:color w:val="000000"/>
                <w:sz w:val="24"/>
                <w:szCs w:val="24"/>
              </w:rPr>
              <w:t>769,512,873.77</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pPr>
        <w:autoSpaceDE w:val="0"/>
        <w:autoSpaceDN w:val="0"/>
        <w:adjustRightInd w:val="0"/>
        <w:spacing w:before="29" w:line="288" w:lineRule="auto"/>
        <w:jc w:val="left"/>
        <w:rPr>
          <w:color w:val="000000"/>
          <w:sz w:val="24"/>
          <w:szCs w:val="24"/>
        </w:rPr>
      </w:pPr>
      <w:r>
        <w:rPr>
          <w:color w:val="000000"/>
          <w:sz w:val="24"/>
          <w:szCs w:val="24"/>
        </w:rPr>
        <w:t>2、如果本报告期间发生转换出业务，则总赎回份额中包含该业务。</w:t>
      </w:r>
    </w:p>
    <w:p>
      <w:pPr>
        <w:autoSpaceDE w:val="0"/>
        <w:autoSpaceDN w:val="0"/>
        <w:adjustRightInd w:val="0"/>
        <w:spacing w:before="29" w:line="288" w:lineRule="auto"/>
        <w:jc w:val="left"/>
        <w:rPr>
          <w:color w:val="000000"/>
          <w:sz w:val="24"/>
          <w:szCs w:val="24"/>
        </w:rPr>
      </w:pPr>
    </w:p>
    <w:p>
      <w:pPr>
        <w:pStyle w:val="2"/>
        <w:tabs>
          <w:tab w:val="center" w:pos="4156"/>
          <w:tab w:val="right" w:pos="8312"/>
        </w:tabs>
        <w:spacing w:before="312" w:beforeLines="100" w:after="312" w:afterLines="100" w:line="288" w:lineRule="auto"/>
        <w:jc w:val="center"/>
        <w:rPr>
          <w:sz w:val="24"/>
          <w:szCs w:val="24"/>
        </w:rPr>
      </w:pPr>
      <w:r>
        <w:rPr>
          <w:color w:val="000000"/>
          <w:kern w:val="0"/>
          <w:sz w:val="24"/>
          <w:szCs w:val="24"/>
        </w:rPr>
        <w:t>§</w:t>
      </w:r>
      <w:r>
        <w:rPr>
          <w:rFonts w:eastAsiaTheme="minorEastAsia"/>
          <w:color w:val="000000"/>
          <w:kern w:val="0"/>
          <w:sz w:val="24"/>
          <w:szCs w:val="24"/>
        </w:rPr>
        <w:t xml:space="preserve">7  </w:t>
      </w:r>
      <w:r>
        <w:rPr>
          <w:sz w:val="24"/>
          <w:szCs w:val="24"/>
        </w:rPr>
        <w:t>基金管理人运用固有资金投资本基金情况</w:t>
      </w:r>
    </w:p>
    <w:p>
      <w:pPr>
        <w:spacing w:line="288" w:lineRule="auto"/>
        <w:jc w:val="left"/>
        <w:outlineLvl w:val="0"/>
        <w:rPr>
          <w:sz w:val="24"/>
          <w:szCs w:val="24"/>
        </w:rPr>
      </w:pPr>
      <w:r>
        <w:rPr>
          <w:b/>
          <w:sz w:val="24"/>
        </w:rPr>
        <w:t>7.1 基金管理人持有本基金份额变动情况</w:t>
      </w:r>
    </w:p>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本报告期内未发生基金管理人运用固有资金投资本基金的情况。</w:t>
      </w:r>
    </w:p>
    <w:p>
      <w:pPr>
        <w:autoSpaceDE w:val="0"/>
        <w:autoSpaceDN w:val="0"/>
        <w:adjustRightInd w:val="0"/>
        <w:spacing w:before="29" w:line="288" w:lineRule="auto"/>
        <w:jc w:val="left"/>
        <w:rPr>
          <w:rFonts w:eastAsiaTheme="minorEastAsia"/>
          <w:color w:val="000000"/>
          <w:sz w:val="24"/>
        </w:rPr>
      </w:pPr>
    </w:p>
    <w:p>
      <w:pPr>
        <w:spacing w:line="288" w:lineRule="auto"/>
        <w:jc w:val="left"/>
        <w:outlineLvl w:val="0"/>
        <w:rPr>
          <w:b/>
          <w:sz w:val="24"/>
        </w:rPr>
      </w:pPr>
      <w:r>
        <w:rPr>
          <w:b/>
          <w:sz w:val="24"/>
        </w:rPr>
        <w:t>7.2</w:t>
      </w:r>
      <w:r>
        <w:rPr>
          <w:rFonts w:hint="eastAsia"/>
          <w:b/>
          <w:sz w:val="24"/>
        </w:rPr>
        <w:t>基金管理人运用固有资金投资本基金交易明细</w:t>
      </w:r>
    </w:p>
    <w:p>
      <w:pPr>
        <w:autoSpaceDE w:val="0"/>
        <w:autoSpaceDN w:val="0"/>
        <w:adjustRightInd w:val="0"/>
        <w:spacing w:before="29" w:line="288" w:lineRule="auto"/>
        <w:jc w:val="left"/>
        <w:rPr>
          <w:color w:val="000000"/>
          <w:sz w:val="24"/>
        </w:rPr>
      </w:pPr>
      <w:r>
        <w:rPr>
          <w:color w:val="000000"/>
          <w:sz w:val="24"/>
        </w:rPr>
        <w:t>本基金管理人本报告期内未进行本基金的申购、赎回、红利再投等。</w:t>
      </w:r>
    </w:p>
    <w:p>
      <w:pPr>
        <w:autoSpaceDE w:val="0"/>
        <w:autoSpaceDN w:val="0"/>
        <w:adjustRightInd w:val="0"/>
        <w:spacing w:before="29" w:line="288" w:lineRule="auto"/>
        <w:jc w:val="left"/>
        <w:rPr>
          <w:color w:val="000000"/>
          <w:sz w:val="24"/>
        </w:rPr>
      </w:pPr>
    </w:p>
    <w:p>
      <w:pPr>
        <w:pStyle w:val="2"/>
        <w:spacing w:before="312" w:beforeLines="100" w:after="312" w:afterLines="100" w:line="360" w:lineRule="auto"/>
        <w:jc w:val="center"/>
        <w:rPr>
          <w:rFonts w:asciiTheme="minorEastAsia" w:hAnsiTheme="minorEastAsia" w:eastAsiaTheme="minorEastAsia"/>
          <w:color w:val="000000" w:themeColor="text1"/>
          <w:kern w:val="0"/>
          <w:sz w:val="24"/>
          <w:szCs w:val="24"/>
        </w:rPr>
      </w:pPr>
      <w:r>
        <w:rPr>
          <w:rFonts w:hint="eastAsia" w:asciiTheme="minorEastAsia" w:hAnsiTheme="minorEastAsia" w:eastAsiaTheme="minorEastAsia"/>
          <w:color w:val="000000" w:themeColor="text1"/>
          <w:kern w:val="0"/>
          <w:sz w:val="24"/>
          <w:szCs w:val="24"/>
        </w:rPr>
        <w:t>§8</w:t>
      </w:r>
      <w:r>
        <w:rPr>
          <w:rFonts w:asciiTheme="minorEastAsia" w:hAnsiTheme="minorEastAsia" w:eastAsiaTheme="minorEastAsia"/>
          <w:color w:val="000000" w:themeColor="text1"/>
          <w:kern w:val="0"/>
          <w:sz w:val="24"/>
          <w:szCs w:val="24"/>
        </w:rPr>
        <w:t xml:space="preserve">  </w:t>
      </w:r>
      <w:r>
        <w:rPr>
          <w:rFonts w:hint="eastAsia" w:asciiTheme="minorEastAsia" w:hAnsiTheme="minorEastAsia" w:eastAsiaTheme="minorEastAsia"/>
          <w:color w:val="000000" w:themeColor="text1"/>
          <w:kern w:val="0"/>
          <w:sz w:val="24"/>
          <w:szCs w:val="24"/>
        </w:rPr>
        <w:t>影响投资者决策的其他重要信息</w:t>
      </w:r>
    </w:p>
    <w:p>
      <w:pPr>
        <w:autoSpaceDE w:val="0"/>
        <w:autoSpaceDN w:val="0"/>
        <w:adjustRightInd w:val="0"/>
        <w:spacing w:line="360" w:lineRule="auto"/>
        <w:jc w:val="left"/>
        <w:outlineLvl w:val="0"/>
        <w:rPr>
          <w:rFonts w:ascii="宋体" w:hAnsi="宋体"/>
          <w:b/>
          <w:bCs/>
          <w:color w:val="000000"/>
          <w:kern w:val="0"/>
          <w:sz w:val="24"/>
          <w:szCs w:val="24"/>
        </w:rPr>
      </w:pPr>
      <w:r>
        <w:rPr>
          <w:rFonts w:ascii="宋体" w:hAnsi="宋体"/>
          <w:b/>
          <w:bCs/>
          <w:color w:val="000000"/>
          <w:kern w:val="0"/>
          <w:sz w:val="24"/>
          <w:szCs w:val="24"/>
        </w:rPr>
        <w:t>8.</w:t>
      </w:r>
      <w:r>
        <w:rPr>
          <w:rFonts w:hint="eastAsia" w:ascii="宋体" w:hAnsi="宋体"/>
          <w:b/>
          <w:bCs/>
          <w:color w:val="000000"/>
          <w:kern w:val="0"/>
          <w:sz w:val="24"/>
          <w:szCs w:val="24"/>
        </w:rPr>
        <w:t>1 报告期内单一投资者持有基金份额比例达到或超过20%的情况</w:t>
      </w:r>
    </w:p>
    <w:tbl>
      <w:tblPr>
        <w:tblStyle w:val="23"/>
        <w:tblW w:w="921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1843"/>
        <w:gridCol w:w="851"/>
        <w:gridCol w:w="850"/>
        <w:gridCol w:w="1134"/>
        <w:gridCol w:w="141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vAlign w:val="center"/>
          </w:tcPr>
          <w:p>
            <w:pPr>
              <w:autoSpaceDE w:val="0"/>
              <w:autoSpaceDN w:val="0"/>
              <w:adjustRightInd w:val="0"/>
              <w:jc w:val="center"/>
              <w:rPr>
                <w:rFonts w:ascii="宋体" w:hAnsi="宋体"/>
                <w:b/>
                <w:bCs/>
                <w:color w:val="000000"/>
                <w:kern w:val="0"/>
              </w:rPr>
            </w:pPr>
            <w:r>
              <w:rPr>
                <w:rFonts w:hint="eastAsia" w:ascii="宋体" w:hAnsi="宋体"/>
                <w:color w:val="000000"/>
                <w:kern w:val="0"/>
              </w:rPr>
              <w:t>投资者类别</w:t>
            </w:r>
            <w:r>
              <w:rPr>
                <w:rFonts w:ascii="宋体" w:hAnsi="宋体"/>
                <w:color w:val="000000"/>
                <w:kern w:val="0"/>
              </w:rPr>
              <w:t xml:space="preserve">  </w:t>
            </w:r>
          </w:p>
        </w:tc>
        <w:tc>
          <w:tcPr>
            <w:tcW w:w="5670" w:type="dxa"/>
            <w:gridSpan w:val="5"/>
            <w:vAlign w:val="center"/>
          </w:tcPr>
          <w:p>
            <w:pPr>
              <w:autoSpaceDE w:val="0"/>
              <w:autoSpaceDN w:val="0"/>
              <w:adjustRightInd w:val="0"/>
              <w:jc w:val="center"/>
              <w:rPr>
                <w:rFonts w:ascii="宋体" w:hAnsi="宋体"/>
                <w:b/>
                <w:bCs/>
                <w:color w:val="000000"/>
                <w:kern w:val="0"/>
              </w:rPr>
            </w:pPr>
            <w:r>
              <w:rPr>
                <w:rFonts w:hint="eastAsia" w:ascii="宋体" w:hAnsi="宋体"/>
                <w:color w:val="000000"/>
                <w:kern w:val="0"/>
              </w:rPr>
              <w:t>报告期内持有基金份额变化情况</w:t>
            </w:r>
          </w:p>
        </w:tc>
        <w:tc>
          <w:tcPr>
            <w:tcW w:w="2549" w:type="dxa"/>
            <w:gridSpan w:val="2"/>
            <w:vAlign w:val="center"/>
          </w:tcPr>
          <w:p>
            <w:pPr>
              <w:autoSpaceDE w:val="0"/>
              <w:autoSpaceDN w:val="0"/>
              <w:adjustRightInd w:val="0"/>
              <w:jc w:val="center"/>
              <w:rPr>
                <w:rFonts w:ascii="宋体" w:hAnsi="宋体"/>
                <w:b/>
                <w:bCs/>
                <w:color w:val="000000"/>
                <w:kern w:val="0"/>
              </w:rPr>
            </w:pPr>
            <w:r>
              <w:rPr>
                <w:rFonts w:hint="eastAsia" w:ascii="宋体" w:hAnsi="宋体"/>
                <w:color w:val="000000"/>
                <w:kern w:val="0"/>
              </w:rPr>
              <w:t>报告期末持有基金情况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vAlign w:val="center"/>
          </w:tcPr>
          <w:p>
            <w:pPr>
              <w:autoSpaceDE w:val="0"/>
              <w:autoSpaceDN w:val="0"/>
              <w:adjustRightInd w:val="0"/>
              <w:jc w:val="center"/>
              <w:rPr>
                <w:rFonts w:ascii="宋体" w:hAnsi="宋体"/>
                <w:b/>
                <w:bCs/>
                <w:color w:val="000000"/>
                <w:kern w:val="0"/>
              </w:rPr>
            </w:pPr>
          </w:p>
        </w:tc>
        <w:tc>
          <w:tcPr>
            <w:tcW w:w="992" w:type="dxa"/>
            <w:vAlign w:val="center"/>
          </w:tcPr>
          <w:p>
            <w:pPr>
              <w:autoSpaceDE w:val="0"/>
              <w:autoSpaceDN w:val="0"/>
              <w:adjustRightInd w:val="0"/>
              <w:jc w:val="center"/>
              <w:rPr>
                <w:rFonts w:ascii="宋体" w:hAnsi="宋体"/>
                <w:b/>
                <w:bCs/>
                <w:color w:val="000000"/>
                <w:kern w:val="0"/>
              </w:rPr>
            </w:pPr>
            <w:r>
              <w:rPr>
                <w:rFonts w:hint="eastAsia" w:ascii="宋体" w:hAnsi="宋体"/>
                <w:color w:val="000000"/>
                <w:kern w:val="0"/>
              </w:rPr>
              <w:t>序号</w:t>
            </w:r>
          </w:p>
        </w:tc>
        <w:tc>
          <w:tcPr>
            <w:tcW w:w="1843" w:type="dxa"/>
            <w:vAlign w:val="center"/>
          </w:tcPr>
          <w:p>
            <w:pPr>
              <w:autoSpaceDE w:val="0"/>
              <w:autoSpaceDN w:val="0"/>
              <w:adjustRightInd w:val="0"/>
              <w:jc w:val="center"/>
              <w:rPr>
                <w:rFonts w:ascii="宋体" w:hAnsi="宋体"/>
                <w:b/>
                <w:bCs/>
                <w:color w:val="000000"/>
                <w:kern w:val="0"/>
              </w:rPr>
            </w:pPr>
            <w:r>
              <w:rPr>
                <w:rFonts w:hint="eastAsia" w:ascii="宋体" w:hAnsi="宋体"/>
                <w:color w:val="000000"/>
                <w:kern w:val="0"/>
              </w:rPr>
              <w:t>持有基金份额比例达到或者超过20%的时间区间</w:t>
            </w:r>
          </w:p>
        </w:tc>
        <w:tc>
          <w:tcPr>
            <w:tcW w:w="851" w:type="dxa"/>
            <w:vAlign w:val="center"/>
          </w:tcPr>
          <w:p>
            <w:pPr>
              <w:widowControl/>
              <w:jc w:val="center"/>
              <w:rPr>
                <w:rFonts w:ascii="宋体" w:hAnsi="宋体"/>
                <w:b/>
                <w:bCs/>
                <w:color w:val="000000"/>
                <w:kern w:val="0"/>
              </w:rPr>
            </w:pPr>
            <w:r>
              <w:rPr>
                <w:rFonts w:hint="eastAsia" w:ascii="宋体" w:hAnsi="宋体"/>
                <w:color w:val="000000"/>
                <w:kern w:val="0"/>
              </w:rPr>
              <w:t>期初份额</w:t>
            </w:r>
          </w:p>
        </w:tc>
        <w:tc>
          <w:tcPr>
            <w:tcW w:w="850" w:type="dxa"/>
            <w:vAlign w:val="center"/>
          </w:tcPr>
          <w:p>
            <w:pPr>
              <w:widowControl/>
              <w:jc w:val="center"/>
              <w:rPr>
                <w:rFonts w:ascii="宋体" w:hAnsi="宋体"/>
                <w:b/>
                <w:bCs/>
                <w:color w:val="000000"/>
                <w:kern w:val="0"/>
              </w:rPr>
            </w:pPr>
            <w:r>
              <w:rPr>
                <w:rFonts w:hint="eastAsia" w:ascii="宋体" w:hAnsi="宋体"/>
                <w:color w:val="000000"/>
                <w:kern w:val="0"/>
              </w:rPr>
              <w:t>申购份额</w:t>
            </w:r>
          </w:p>
        </w:tc>
        <w:tc>
          <w:tcPr>
            <w:tcW w:w="1134" w:type="dxa"/>
            <w:vAlign w:val="center"/>
          </w:tcPr>
          <w:p>
            <w:pPr>
              <w:widowControl/>
              <w:jc w:val="center"/>
              <w:rPr>
                <w:rFonts w:ascii="宋体" w:hAnsi="宋体"/>
                <w:b/>
                <w:bCs/>
                <w:color w:val="000000"/>
                <w:kern w:val="0"/>
              </w:rPr>
            </w:pPr>
            <w:r>
              <w:rPr>
                <w:rFonts w:hint="eastAsia" w:ascii="宋体" w:hAnsi="宋体"/>
                <w:color w:val="000000"/>
                <w:kern w:val="0"/>
              </w:rPr>
              <w:t>赎回份额</w:t>
            </w:r>
          </w:p>
        </w:tc>
        <w:tc>
          <w:tcPr>
            <w:tcW w:w="1419" w:type="dxa"/>
            <w:vAlign w:val="center"/>
          </w:tcPr>
          <w:p>
            <w:pPr>
              <w:autoSpaceDE w:val="0"/>
              <w:autoSpaceDN w:val="0"/>
              <w:adjustRightInd w:val="0"/>
              <w:jc w:val="center"/>
              <w:rPr>
                <w:rFonts w:ascii="宋体" w:hAnsi="宋体"/>
                <w:b/>
                <w:bCs/>
                <w:color w:val="000000"/>
                <w:kern w:val="0"/>
              </w:rPr>
            </w:pPr>
            <w:r>
              <w:rPr>
                <w:rFonts w:hint="eastAsia" w:ascii="宋体" w:hAnsi="宋体"/>
                <w:color w:val="000000"/>
                <w:kern w:val="0"/>
              </w:rPr>
              <w:t>持有份额</w:t>
            </w:r>
          </w:p>
        </w:tc>
        <w:tc>
          <w:tcPr>
            <w:tcW w:w="1130" w:type="dxa"/>
            <w:vAlign w:val="center"/>
          </w:tcPr>
          <w:p>
            <w:pPr>
              <w:autoSpaceDE w:val="0"/>
              <w:autoSpaceDN w:val="0"/>
              <w:adjustRightInd w:val="0"/>
              <w:jc w:val="center"/>
              <w:rPr>
                <w:rFonts w:ascii="宋体" w:hAnsi="宋体"/>
                <w:b/>
                <w:bCs/>
                <w:color w:val="000000"/>
                <w:kern w:val="0"/>
              </w:rPr>
            </w:pPr>
            <w:r>
              <w:rPr>
                <w:rFonts w:hint="eastAsia" w:ascii="宋体" w:hAnsi="宋体"/>
                <w:color w:val="000000"/>
                <w:kern w:val="0"/>
              </w:rPr>
              <w:t>份额占比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tcPr>
          <w:p/>
          <w:p>
            <w:r>
              <w:rPr>
                <w:rFonts w:hint="eastAsia" w:ascii="宋体" w:hAnsi="宋体"/>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2020/10/1-2020/12/31</w:t>
            </w:r>
          </w:p>
        </w:tc>
        <w:tc>
          <w:tcPr>
            <w:vAlign w:val="center"/>
          </w:tcPr>
          <w:p>
            <w:pPr>
              <w:jc w:val="center"/>
            </w:pPr>
            <w:r>
              <w:rPr>
                <w:rFonts w:ascii="宋体" w:hAnsi="宋体"/>
                <w:color w:val="000000"/>
                <w:kern w:val="0"/>
              </w:rPr>
              <w:t>544,890,864.30</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544,890,864.30</w:t>
            </w:r>
          </w:p>
        </w:tc>
        <w:tc>
          <w:tcPr>
            <w:vAlign w:val="center"/>
          </w:tcPr>
          <w:p>
            <w:pPr>
              <w:jc w:val="center"/>
            </w:pPr>
            <w:r>
              <w:rPr>
                <w:rFonts w:ascii="宋体" w:hAnsi="宋体"/>
                <w:color w:val="000000"/>
                <w:kern w:val="0"/>
              </w:rPr>
              <w:t>70.81%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2020/10/1-2020/12/31</w:t>
            </w:r>
          </w:p>
        </w:tc>
        <w:tc>
          <w:tcPr>
            <w:vAlign w:val="center"/>
          </w:tcPr>
          <w:p>
            <w:pPr>
              <w:jc w:val="center"/>
            </w:pPr>
            <w:r>
              <w:rPr>
                <w:rFonts w:ascii="宋体" w:hAnsi="宋体"/>
                <w:color w:val="000000"/>
                <w:kern w:val="0"/>
              </w:rPr>
              <w:t>214,170,434.58</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214,170,434.58</w:t>
            </w:r>
          </w:p>
        </w:tc>
        <w:tc>
          <w:tcPr>
            <w:vAlign w:val="center"/>
          </w:tcPr>
          <w:p>
            <w:pPr>
              <w:jc w:val="center"/>
            </w:pPr>
            <w:r>
              <w:rPr>
                <w:rFonts w:ascii="宋体" w:hAnsi="宋体"/>
                <w:color w:val="000000"/>
                <w:kern w:val="0"/>
              </w:rPr>
              <w:t>27.83%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2" w:type="dxa"/>
            <w:gridSpan w:val="8"/>
            <w:vAlign w:val="center"/>
          </w:tcPr>
          <w:p>
            <w:pPr>
              <w:autoSpaceDE w:val="0"/>
              <w:autoSpaceDN w:val="0"/>
              <w:adjustRightInd w:val="0"/>
              <w:jc w:val="center"/>
              <w:rPr>
                <w:rFonts w:ascii="宋体" w:hAnsi="宋体"/>
                <w:kern w:val="0"/>
              </w:rPr>
            </w:pPr>
            <w:r>
              <w:rPr>
                <w:rFonts w:ascii="宋体" w:hAnsi="宋体"/>
                <w:color w:val="000000"/>
                <w:kern w:val="0"/>
              </w:rPr>
              <w:t>产品特有风险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2" w:type="dxa"/>
            <w:gridSpan w:val="8"/>
            <w:vAlign w:val="center"/>
          </w:tcPr>
          <w:p>
            <w:pPr>
              <w:autoSpaceDE w:val="0"/>
              <w:autoSpaceDN w:val="0"/>
              <w:adjustRightInd w:val="0"/>
              <w:jc w:val="left"/>
              <w:rPr>
                <w:rFonts w:ascii="宋体" w:hAnsi="宋体"/>
                <w:kern w:val="0"/>
              </w:rPr>
            </w:pPr>
            <w:r>
              <w:rPr>
                <w:rFonts w:hint="eastAsia" w:ascii="宋体" w:hAnsi="宋体"/>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pPr>
        <w:pStyle w:val="2"/>
        <w:spacing w:before="312" w:beforeLines="100" w:after="312" w:afterLines="100" w:line="288" w:lineRule="auto"/>
        <w:jc w:val="center"/>
        <w:rPr>
          <w:color w:val="000000"/>
          <w:kern w:val="0"/>
          <w:sz w:val="24"/>
          <w:szCs w:val="24"/>
        </w:rPr>
      </w:pPr>
      <w:r>
        <w:rPr>
          <w:color w:val="000000"/>
          <w:kern w:val="0"/>
          <w:sz w:val="24"/>
          <w:szCs w:val="24"/>
        </w:rPr>
        <w:t>§9  备查文件目录</w:t>
      </w: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9.1备查文件目录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1、中国证监会批准交银施罗德理财60天债券型证券投资基金募集的文件；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2、《交银施罗德裕惠纯债债券型证券投资基金基金合同》； </w:t>
      </w:r>
    </w:p>
    <w:p>
      <w:pPr>
        <w:spacing w:before="29" w:line="288" w:lineRule="auto"/>
        <w:ind w:firstLine="480" w:firstLineChars="200"/>
        <w:rPr>
          <w:color w:val="000000"/>
          <w:sz w:val="24"/>
          <w:szCs w:val="24"/>
        </w:rPr>
      </w:pPr>
      <w:r>
        <w:rPr>
          <w:color w:val="000000"/>
          <w:sz w:val="24"/>
          <w:szCs w:val="24"/>
        </w:rPr>
        <w:t xml:space="preserve">3、《交银施罗德裕惠纯债债券型证券投资基金招募说明书》；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4、《交银施罗德裕惠纯债债券型证券投资基金托管协议》； </w:t>
      </w:r>
    </w:p>
    <w:p>
      <w:pPr>
        <w:spacing w:before="29" w:line="288" w:lineRule="auto"/>
        <w:ind w:firstLine="480" w:firstLineChars="200"/>
        <w:rPr>
          <w:color w:val="000000"/>
          <w:sz w:val="24"/>
          <w:szCs w:val="24"/>
        </w:rPr>
      </w:pPr>
      <w:r>
        <w:rPr>
          <w:color w:val="000000"/>
          <w:sz w:val="24"/>
          <w:szCs w:val="24"/>
        </w:rPr>
        <w:t xml:space="preserve">5、《交银施罗德理财60天债券型证券投资基金基金合同》； </w:t>
      </w:r>
    </w:p>
    <w:p>
      <w:pPr>
        <w:spacing w:before="29" w:line="288" w:lineRule="auto"/>
        <w:ind w:firstLine="480" w:firstLineChars="200"/>
        <w:rPr>
          <w:color w:val="000000"/>
          <w:sz w:val="24"/>
          <w:szCs w:val="24"/>
        </w:rPr>
      </w:pPr>
      <w:r>
        <w:rPr>
          <w:color w:val="000000"/>
          <w:sz w:val="24"/>
          <w:szCs w:val="24"/>
        </w:rPr>
        <w:t xml:space="preserve">6、《交银施罗德理财60天债券型证券投资基金招募说明书》； </w:t>
      </w:r>
    </w:p>
    <w:p>
      <w:pPr>
        <w:spacing w:before="29" w:line="288" w:lineRule="auto"/>
        <w:ind w:firstLine="480" w:firstLineChars="200"/>
        <w:rPr>
          <w:color w:val="000000"/>
          <w:sz w:val="24"/>
          <w:szCs w:val="24"/>
        </w:rPr>
      </w:pPr>
      <w:r>
        <w:rPr>
          <w:color w:val="000000"/>
          <w:sz w:val="24"/>
          <w:szCs w:val="24"/>
        </w:rPr>
        <w:t xml:space="preserve">7、《交银施罗德理财60天债券型证券投资基金托管协议》； </w:t>
      </w:r>
    </w:p>
    <w:p>
      <w:pPr>
        <w:spacing w:before="29" w:line="288" w:lineRule="auto"/>
        <w:ind w:firstLine="480" w:firstLineChars="200"/>
        <w:rPr>
          <w:color w:val="000000"/>
          <w:sz w:val="24"/>
          <w:szCs w:val="24"/>
        </w:rPr>
      </w:pPr>
      <w:r>
        <w:rPr>
          <w:color w:val="000000"/>
          <w:sz w:val="24"/>
          <w:szCs w:val="24"/>
        </w:rPr>
        <w:t xml:space="preserve">8、基金管理人业务资格批件、营业执照； </w:t>
      </w:r>
    </w:p>
    <w:p>
      <w:pPr>
        <w:spacing w:before="29" w:line="288" w:lineRule="auto"/>
        <w:ind w:firstLine="480" w:firstLineChars="200"/>
        <w:rPr>
          <w:color w:val="000000"/>
          <w:sz w:val="24"/>
          <w:szCs w:val="24"/>
        </w:rPr>
      </w:pPr>
      <w:r>
        <w:rPr>
          <w:color w:val="000000"/>
          <w:sz w:val="24"/>
          <w:szCs w:val="24"/>
        </w:rPr>
        <w:t xml:space="preserve">9、基金托管人业务资格批件、营业执照； </w:t>
      </w:r>
    </w:p>
    <w:p>
      <w:pPr>
        <w:spacing w:before="29" w:line="288" w:lineRule="auto"/>
        <w:ind w:firstLine="480" w:firstLineChars="200"/>
        <w:rPr>
          <w:color w:val="000000"/>
          <w:sz w:val="24"/>
          <w:szCs w:val="24"/>
        </w:rPr>
      </w:pPr>
      <w:r>
        <w:rPr>
          <w:color w:val="000000"/>
          <w:sz w:val="24"/>
          <w:szCs w:val="24"/>
        </w:rPr>
        <w:t xml:space="preserve">10、关于申请募集交银施罗德理财60天债券型证券投资基金之法律意见书； </w:t>
      </w:r>
    </w:p>
    <w:p>
      <w:pPr>
        <w:spacing w:before="29" w:line="288" w:lineRule="auto"/>
        <w:ind w:firstLine="480" w:firstLineChars="200"/>
        <w:rPr>
          <w:color w:val="000000"/>
          <w:sz w:val="24"/>
          <w:szCs w:val="24"/>
        </w:rPr>
      </w:pPr>
      <w:r>
        <w:rPr>
          <w:color w:val="000000"/>
          <w:sz w:val="24"/>
          <w:szCs w:val="24"/>
        </w:rPr>
        <w:t>11、关于修改《交银施罗德理财60天债券型证券投资基金基金合同》的法律意见书</w:t>
      </w:r>
    </w:p>
    <w:p>
      <w:pPr>
        <w:spacing w:before="29" w:line="288" w:lineRule="auto"/>
        <w:ind w:firstLine="480" w:firstLineChars="200"/>
        <w:rPr>
          <w:color w:val="000000"/>
          <w:sz w:val="24"/>
          <w:szCs w:val="24"/>
        </w:rPr>
      </w:pPr>
      <w:r>
        <w:rPr>
          <w:color w:val="000000"/>
          <w:sz w:val="24"/>
          <w:szCs w:val="24"/>
        </w:rPr>
        <w:t>12、报告期内交银施罗德理财60天债券型证券投资基金、交银施罗德裕惠纯债债券型证券投资基金在指定报刊上各项公告的原稿。</w:t>
      </w:r>
    </w:p>
    <w:p>
      <w:pPr>
        <w:spacing w:before="29" w:line="288" w:lineRule="auto"/>
        <w:ind w:firstLine="480" w:firstLineChars="200"/>
        <w:rPr>
          <w:color w:val="000000"/>
          <w:sz w:val="24"/>
          <w:szCs w:val="24"/>
        </w:rPr>
      </w:pP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9.2存放地点</w:t>
      </w:r>
    </w:p>
    <w:p>
      <w:pPr>
        <w:spacing w:before="29" w:line="288" w:lineRule="auto"/>
        <w:ind w:firstLine="480" w:firstLineChars="200"/>
        <w:rPr>
          <w:color w:val="000000"/>
          <w:sz w:val="24"/>
          <w:szCs w:val="24"/>
        </w:rPr>
      </w:pPr>
      <w:r>
        <w:rPr>
          <w:color w:val="000000"/>
          <w:sz w:val="24"/>
          <w:szCs w:val="24"/>
        </w:rPr>
        <w:t>备查文件存放于基金管理人的办公场所。</w:t>
      </w:r>
    </w:p>
    <w:p>
      <w:pPr>
        <w:spacing w:before="29" w:line="288" w:lineRule="auto"/>
        <w:ind w:firstLine="480" w:firstLineChars="200"/>
        <w:rPr>
          <w:color w:val="000000"/>
          <w:sz w:val="24"/>
          <w:szCs w:val="24"/>
        </w:rPr>
      </w:pPr>
    </w:p>
    <w:p>
      <w:pPr>
        <w:autoSpaceDE w:val="0"/>
        <w:autoSpaceDN w:val="0"/>
        <w:adjustRightInd w:val="0"/>
        <w:spacing w:before="29" w:line="288" w:lineRule="auto"/>
        <w:jc w:val="left"/>
        <w:outlineLvl w:val="0"/>
        <w:rPr>
          <w:b/>
          <w:bCs/>
          <w:color w:val="000000"/>
          <w:kern w:val="0"/>
          <w:sz w:val="24"/>
          <w:szCs w:val="24"/>
        </w:rPr>
      </w:pPr>
      <w:r>
        <w:rPr>
          <w:b/>
          <w:bCs/>
          <w:color w:val="000000"/>
          <w:kern w:val="0"/>
          <w:sz w:val="24"/>
          <w:szCs w:val="24"/>
        </w:rPr>
        <w:t>9.3查阅方式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pPr>
        <w:spacing w:before="29" w:line="288" w:lineRule="auto"/>
        <w:ind w:firstLine="480" w:firstLineChars="200"/>
        <w:rPr>
          <w:color w:val="000000"/>
          <w:sz w:val="24"/>
          <w:szCs w:val="24"/>
        </w:rPr>
      </w:pPr>
      <w:r>
        <w:rPr>
          <w:color w:val="000000"/>
          <w:sz w:val="24"/>
          <w:szCs w:val="24"/>
        </w:rPr>
        <w:t>投资者对本报告书如有疑问，可咨询本基金管理人交银施罗德基金管理有限公司。本公司客户服务中心电话：400-700-5000（免长途话费），021-61055000，电子邮件：services@jysld.com。</w:t>
      </w:r>
    </w:p>
    <w:p>
      <w:pPr>
        <w:spacing w:before="29" w:line="288" w:lineRule="auto"/>
        <w:ind w:firstLine="480" w:firstLineChars="200"/>
        <w:rPr>
          <w:color w:val="000000"/>
          <w:sz w:val="24"/>
          <w:szCs w:val="24"/>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24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jc w:val="right"/>
      <w:rPr>
        <w:sz w:val="24"/>
        <w:szCs w:val="24"/>
      </w:rPr>
    </w:pPr>
    <w:r>
      <w:rPr>
        <w:sz w:val="24"/>
        <w:szCs w:val="24"/>
      </w:rPr>
      <w:t>交银施罗德裕惠纯债债券型证券投资基金2020年第4季度报告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 w:val="556F5E06"/>
    <w:rsid w:val="6BD917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nhideWhenUsed="0" w:uiPriority="0" w:semiHidden="0" w:name="footnote text"/>
    <w:lsdException w:unhideWhenUsed="0"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nhideWhenUsed="0" w:uiPriority="99" w:semiHidden="0"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outlineLvl w:val="0"/>
    </w:pPr>
    <w:rPr>
      <w:b/>
      <w:bCs/>
      <w:kern w:val="44"/>
      <w:sz w:val="44"/>
      <w:szCs w:val="44"/>
    </w:rPr>
  </w:style>
  <w:style w:type="paragraph" w:styleId="3">
    <w:name w:val="heading 2"/>
    <w:basedOn w:val="1"/>
    <w:next w:val="4"/>
    <w:link w:val="33"/>
    <w:qFormat/>
    <w:uiPriority w:val="99"/>
    <w:pPr>
      <w:keepNext/>
      <w:keepLines/>
      <w:spacing w:before="260" w:after="260" w:line="360" w:lineRule="auto"/>
      <w:outlineLvl w:val="1"/>
    </w:pPr>
    <w:rPr>
      <w:rFonts w:ascii="Arial" w:hAnsi="Arial" w:cs="Arial"/>
      <w:b/>
      <w:bCs/>
      <w:sz w:val="24"/>
      <w:szCs w:val="24"/>
    </w:rPr>
  </w:style>
  <w:style w:type="paragraph" w:styleId="5">
    <w:name w:val="heading 3"/>
    <w:basedOn w:val="1"/>
    <w:next w:val="1"/>
    <w:link w:val="34"/>
    <w:qFormat/>
    <w:uiPriority w:val="99"/>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4">
    <w:name w:val="Normal Indent"/>
    <w:basedOn w:val="1"/>
    <w:uiPriority w:val="99"/>
    <w:pPr>
      <w:ind w:firstLine="420" w:firstLineChars="200"/>
    </w:pPr>
  </w:style>
  <w:style w:type="paragraph" w:styleId="6">
    <w:name w:val="Document Map"/>
    <w:basedOn w:val="1"/>
    <w:link w:val="64"/>
    <w:semiHidden/>
    <w:uiPriority w:val="99"/>
    <w:pPr>
      <w:shd w:val="clear" w:color="auto" w:fill="000080"/>
    </w:pPr>
  </w:style>
  <w:style w:type="paragraph" w:styleId="7">
    <w:name w:val="annotation text"/>
    <w:basedOn w:val="1"/>
    <w:link w:val="61"/>
    <w:semiHidden/>
    <w:uiPriority w:val="99"/>
    <w:pPr>
      <w:jc w:val="left"/>
    </w:pPr>
  </w:style>
  <w:style w:type="paragraph" w:styleId="8">
    <w:name w:val="Body Text"/>
    <w:basedOn w:val="1"/>
    <w:link w:val="41"/>
    <w:uiPriority w:val="99"/>
    <w:pPr>
      <w:spacing w:after="120"/>
    </w:pPr>
  </w:style>
  <w:style w:type="paragraph" w:styleId="9">
    <w:name w:val="Body Text Indent"/>
    <w:basedOn w:val="1"/>
    <w:link w:val="35"/>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0">
    <w:name w:val="Plain Text"/>
    <w:basedOn w:val="1"/>
    <w:link w:val="36"/>
    <w:uiPriority w:val="99"/>
    <w:rPr>
      <w:rFonts w:ascii="宋体" w:hAnsi="Courier New" w:cs="宋体"/>
    </w:rPr>
  </w:style>
  <w:style w:type="paragraph" w:styleId="11">
    <w:name w:val="Date"/>
    <w:basedOn w:val="1"/>
    <w:next w:val="1"/>
    <w:link w:val="42"/>
    <w:uiPriority w:val="0"/>
    <w:rPr>
      <w:sz w:val="24"/>
      <w:szCs w:val="24"/>
    </w:rPr>
  </w:style>
  <w:style w:type="paragraph" w:styleId="12">
    <w:name w:val="Body Text Indent 2"/>
    <w:basedOn w:val="1"/>
    <w:link w:val="37"/>
    <w:uiPriority w:val="99"/>
    <w:pPr>
      <w:spacing w:line="560" w:lineRule="exact"/>
      <w:ind w:firstLine="480" w:firstLineChars="200"/>
    </w:pPr>
    <w:rPr>
      <w:rFonts w:ascii="宋体" w:hAnsi="宋体" w:cs="宋体"/>
      <w:color w:val="FF0000"/>
      <w:sz w:val="24"/>
      <w:szCs w:val="24"/>
    </w:rPr>
  </w:style>
  <w:style w:type="paragraph" w:styleId="13">
    <w:name w:val="Balloon Text"/>
    <w:basedOn w:val="1"/>
    <w:link w:val="60"/>
    <w:semiHidden/>
    <w:uiPriority w:val="99"/>
    <w:rPr>
      <w:sz w:val="18"/>
      <w:szCs w:val="18"/>
    </w:rPr>
  </w:style>
  <w:style w:type="paragraph" w:styleId="14">
    <w:name w:val="footer"/>
    <w:basedOn w:val="1"/>
    <w:link w:val="38"/>
    <w:qFormat/>
    <w:uiPriority w:val="0"/>
    <w:pPr>
      <w:tabs>
        <w:tab w:val="center" w:pos="4153"/>
        <w:tab w:val="right" w:pos="8306"/>
      </w:tabs>
      <w:snapToGrid w:val="0"/>
      <w:jc w:val="left"/>
    </w:pPr>
    <w:rPr>
      <w:sz w:val="18"/>
      <w:szCs w:val="18"/>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6">
    <w:name w:val="List"/>
    <w:basedOn w:val="8"/>
    <w:uiPriority w:val="99"/>
    <w:pPr>
      <w:spacing w:after="220" w:line="220" w:lineRule="atLeast"/>
      <w:ind w:left="1440" w:hanging="360"/>
    </w:pPr>
  </w:style>
  <w:style w:type="paragraph" w:styleId="17">
    <w:name w:val="footnote text"/>
    <w:basedOn w:val="1"/>
    <w:link w:val="66"/>
    <w:uiPriority w:val="0"/>
    <w:pPr>
      <w:snapToGrid w:val="0"/>
      <w:jc w:val="left"/>
    </w:pPr>
    <w:rPr>
      <w:sz w:val="18"/>
      <w:szCs w:val="18"/>
    </w:rPr>
  </w:style>
  <w:style w:type="paragraph" w:styleId="18">
    <w:name w:val="Body Text Indent 3"/>
    <w:basedOn w:val="1"/>
    <w:link w:val="39"/>
    <w:uiPriority w:val="99"/>
    <w:pPr>
      <w:spacing w:line="560" w:lineRule="exact"/>
      <w:ind w:firstLine="420" w:firstLineChars="200"/>
    </w:pPr>
    <w:rPr>
      <w:rFonts w:ascii="Arial" w:hAnsi="Arial" w:cs="Arial"/>
      <w:color w:val="FF0000"/>
    </w:rPr>
  </w:style>
  <w:style w:type="paragraph" w:styleId="19">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20">
    <w:name w:val="index 1"/>
    <w:basedOn w:val="1"/>
    <w:next w:val="1"/>
    <w:semiHidden/>
    <w:uiPriority w:val="99"/>
    <w:pPr>
      <w:jc w:val="right"/>
    </w:pPr>
    <w:rPr>
      <w:color w:val="008000"/>
    </w:rPr>
  </w:style>
  <w:style w:type="paragraph" w:styleId="21">
    <w:name w:val="Title"/>
    <w:basedOn w:val="1"/>
    <w:next w:val="1"/>
    <w:link w:val="70"/>
    <w:qFormat/>
    <w:uiPriority w:val="99"/>
    <w:pPr>
      <w:spacing w:before="240" w:after="60"/>
      <w:jc w:val="center"/>
      <w:outlineLvl w:val="0"/>
    </w:pPr>
    <w:rPr>
      <w:rFonts w:ascii="Cambria" w:hAnsi="Cambria" w:cs="Cambria"/>
      <w:b/>
      <w:bCs/>
      <w:sz w:val="32"/>
      <w:szCs w:val="32"/>
    </w:rPr>
  </w:style>
  <w:style w:type="paragraph" w:styleId="22">
    <w:name w:val="annotation subject"/>
    <w:basedOn w:val="7"/>
    <w:next w:val="7"/>
    <w:link w:val="62"/>
    <w:semiHidden/>
    <w:uiPriority w:val="99"/>
    <w:rPr>
      <w:b/>
      <w:bCs/>
    </w:rPr>
  </w:style>
  <w:style w:type="table" w:styleId="24">
    <w:name w:val="Table Grid"/>
    <w:basedOn w:val="2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qFormat/>
    <w:uiPriority w:val="99"/>
  </w:style>
  <w:style w:type="character" w:styleId="28">
    <w:name w:val="FollowedHyperlink"/>
    <w:basedOn w:val="25"/>
    <w:uiPriority w:val="99"/>
    <w:rPr>
      <w:color w:val="800080"/>
      <w:u w:val="single"/>
    </w:rPr>
  </w:style>
  <w:style w:type="character" w:styleId="29">
    <w:name w:val="Hyperlink"/>
    <w:basedOn w:val="25"/>
    <w:uiPriority w:val="99"/>
    <w:rPr>
      <w:color w:val="0000FF"/>
      <w:u w:val="single"/>
    </w:rPr>
  </w:style>
  <w:style w:type="character" w:styleId="30">
    <w:name w:val="annotation reference"/>
    <w:basedOn w:val="25"/>
    <w:semiHidden/>
    <w:uiPriority w:val="99"/>
    <w:rPr>
      <w:sz w:val="21"/>
      <w:szCs w:val="21"/>
    </w:rPr>
  </w:style>
  <w:style w:type="character" w:styleId="31">
    <w:name w:val="footnote reference"/>
    <w:basedOn w:val="25"/>
    <w:uiPriority w:val="0"/>
    <w:rPr>
      <w:vertAlign w:val="superscript"/>
    </w:rPr>
  </w:style>
  <w:style w:type="character" w:customStyle="1" w:styleId="32">
    <w:name w:val="标题 1 Char"/>
    <w:basedOn w:val="25"/>
    <w:link w:val="2"/>
    <w:uiPriority w:val="99"/>
    <w:rPr>
      <w:rFonts w:ascii="Times New Roman" w:hAnsi="Times New Roman" w:eastAsia="宋体" w:cs="Times New Roman"/>
      <w:b/>
      <w:bCs/>
      <w:kern w:val="44"/>
      <w:sz w:val="44"/>
      <w:szCs w:val="44"/>
    </w:rPr>
  </w:style>
  <w:style w:type="character" w:customStyle="1" w:styleId="33">
    <w:name w:val="标题 2 Char"/>
    <w:basedOn w:val="25"/>
    <w:link w:val="3"/>
    <w:uiPriority w:val="99"/>
    <w:rPr>
      <w:rFonts w:ascii="Arial" w:hAnsi="Arial" w:eastAsia="宋体" w:cs="Arial"/>
      <w:b/>
      <w:bCs/>
      <w:sz w:val="24"/>
      <w:szCs w:val="24"/>
    </w:rPr>
  </w:style>
  <w:style w:type="character" w:customStyle="1" w:styleId="34">
    <w:name w:val="标题 3 Char"/>
    <w:basedOn w:val="25"/>
    <w:link w:val="5"/>
    <w:uiPriority w:val="99"/>
    <w:rPr>
      <w:rFonts w:ascii="Times New Roman" w:hAnsi="Times New Roman" w:eastAsia="宋体" w:cs="Times New Roman"/>
      <w:b/>
      <w:bCs/>
      <w:sz w:val="32"/>
      <w:szCs w:val="32"/>
    </w:rPr>
  </w:style>
  <w:style w:type="character" w:customStyle="1" w:styleId="35">
    <w:name w:val="正文文本缩进 Char"/>
    <w:basedOn w:val="25"/>
    <w:link w:val="9"/>
    <w:uiPriority w:val="99"/>
    <w:rPr>
      <w:rFonts w:ascii="Arial Unicode MS" w:hAnsi="Arial Unicode MS" w:eastAsia="Arial Unicode MS" w:cs="Arial Unicode MS"/>
      <w:kern w:val="0"/>
      <w:sz w:val="24"/>
      <w:szCs w:val="24"/>
    </w:rPr>
  </w:style>
  <w:style w:type="character" w:customStyle="1" w:styleId="36">
    <w:name w:val="纯文本 Char"/>
    <w:basedOn w:val="25"/>
    <w:link w:val="10"/>
    <w:uiPriority w:val="99"/>
    <w:rPr>
      <w:rFonts w:ascii="宋体" w:hAnsi="Courier New" w:eastAsia="宋体" w:cs="宋体"/>
      <w:szCs w:val="21"/>
    </w:rPr>
  </w:style>
  <w:style w:type="character" w:customStyle="1" w:styleId="37">
    <w:name w:val="正文文本缩进 2 Char"/>
    <w:basedOn w:val="25"/>
    <w:link w:val="12"/>
    <w:uiPriority w:val="99"/>
    <w:rPr>
      <w:rFonts w:ascii="宋体" w:hAnsi="宋体" w:eastAsia="宋体" w:cs="宋体"/>
      <w:color w:val="FF0000"/>
      <w:sz w:val="24"/>
      <w:szCs w:val="24"/>
    </w:rPr>
  </w:style>
  <w:style w:type="character" w:customStyle="1" w:styleId="38">
    <w:name w:val="页脚 Char"/>
    <w:basedOn w:val="25"/>
    <w:link w:val="14"/>
    <w:uiPriority w:val="99"/>
    <w:rPr>
      <w:rFonts w:ascii="Times New Roman" w:hAnsi="Times New Roman" w:eastAsia="宋体" w:cs="Times New Roman"/>
      <w:sz w:val="18"/>
      <w:szCs w:val="18"/>
    </w:rPr>
  </w:style>
  <w:style w:type="character" w:customStyle="1" w:styleId="39">
    <w:name w:val="正文文本缩进 3 Char"/>
    <w:basedOn w:val="25"/>
    <w:link w:val="18"/>
    <w:uiPriority w:val="99"/>
    <w:rPr>
      <w:rFonts w:ascii="Arial" w:hAnsi="Arial" w:eastAsia="宋体" w:cs="Arial"/>
      <w:color w:val="FF0000"/>
      <w:szCs w:val="21"/>
    </w:rPr>
  </w:style>
  <w:style w:type="character" w:customStyle="1" w:styleId="40">
    <w:name w:val="页眉 Char"/>
    <w:basedOn w:val="25"/>
    <w:link w:val="15"/>
    <w:uiPriority w:val="99"/>
    <w:rPr>
      <w:rFonts w:ascii="Times New Roman" w:hAnsi="Times New Roman" w:eastAsia="宋体" w:cs="Times New Roman"/>
      <w:sz w:val="18"/>
      <w:szCs w:val="18"/>
    </w:rPr>
  </w:style>
  <w:style w:type="character" w:customStyle="1" w:styleId="41">
    <w:name w:val="正文文本 Char"/>
    <w:basedOn w:val="25"/>
    <w:link w:val="8"/>
    <w:uiPriority w:val="99"/>
    <w:rPr>
      <w:rFonts w:ascii="Times New Roman" w:hAnsi="Times New Roman" w:eastAsia="宋体" w:cs="Times New Roman"/>
      <w:szCs w:val="21"/>
    </w:rPr>
  </w:style>
  <w:style w:type="character" w:customStyle="1" w:styleId="42">
    <w:name w:val="日期 Char"/>
    <w:basedOn w:val="25"/>
    <w:link w:val="11"/>
    <w:uiPriority w:val="0"/>
    <w:rPr>
      <w:rFonts w:ascii="Times New Roman" w:hAnsi="Times New Roman" w:eastAsia="宋体" w:cs="Times New Roman"/>
      <w:sz w:val="24"/>
      <w:szCs w:val="24"/>
    </w:rPr>
  </w:style>
  <w:style w:type="character" w:customStyle="1" w:styleId="43">
    <w:name w:val="c1"/>
    <w:basedOn w:val="25"/>
    <w:uiPriority w:val="99"/>
    <w:rPr>
      <w:color w:val="000000"/>
      <w:sz w:val="18"/>
      <w:szCs w:val="18"/>
    </w:rPr>
  </w:style>
  <w:style w:type="paragraph" w:customStyle="1" w:styleId="44">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45">
    <w:name w:val="xl24"/>
    <w:basedOn w:val="1"/>
    <w:uiPriority w:val="99"/>
    <w:pPr>
      <w:widowControl/>
      <w:pBdr>
        <w:top w:val="double" w:color="000000" w:sz="6"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cs="Arial Unicode MS"/>
      <w:b/>
      <w:bCs/>
      <w:color w:val="0000FF"/>
      <w:kern w:val="0"/>
      <w:sz w:val="29"/>
      <w:szCs w:val="29"/>
    </w:rPr>
  </w:style>
  <w:style w:type="paragraph" w:customStyle="1" w:styleId="46">
    <w:name w:val="xl25"/>
    <w:basedOn w:val="1"/>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kern w:val="0"/>
      <w:sz w:val="24"/>
      <w:szCs w:val="24"/>
    </w:rPr>
  </w:style>
  <w:style w:type="paragraph" w:customStyle="1" w:styleId="47">
    <w:name w:val="xl26"/>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000000"/>
      <w:kern w:val="0"/>
      <w:sz w:val="24"/>
      <w:szCs w:val="24"/>
    </w:rPr>
  </w:style>
  <w:style w:type="paragraph" w:customStyle="1" w:styleId="48">
    <w:name w:val="xl27"/>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000000"/>
      <w:kern w:val="0"/>
      <w:sz w:val="12"/>
      <w:szCs w:val="12"/>
    </w:rPr>
  </w:style>
  <w:style w:type="paragraph" w:customStyle="1" w:styleId="49">
    <w:name w:val="xl28"/>
    <w:basedOn w:val="1"/>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right"/>
    </w:pPr>
    <w:rPr>
      <w:rFonts w:ascii="Arial Unicode MS" w:hAnsi="Arial Unicode MS" w:eastAsia="Arial Unicode MS" w:cs="Arial Unicode MS"/>
      <w:b/>
      <w:bCs/>
      <w:color w:val="000000"/>
      <w:kern w:val="0"/>
      <w:sz w:val="24"/>
      <w:szCs w:val="24"/>
    </w:rPr>
  </w:style>
  <w:style w:type="paragraph" w:customStyle="1" w:styleId="50">
    <w:name w:val="xl29"/>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000000"/>
      <w:kern w:val="0"/>
      <w:sz w:val="24"/>
      <w:szCs w:val="24"/>
    </w:rPr>
  </w:style>
  <w:style w:type="paragraph" w:customStyle="1" w:styleId="51">
    <w:name w:val="xl30"/>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000000"/>
      <w:kern w:val="0"/>
      <w:sz w:val="24"/>
      <w:szCs w:val="24"/>
    </w:rPr>
  </w:style>
  <w:style w:type="paragraph" w:customStyle="1" w:styleId="52">
    <w:name w:val="xl31"/>
    <w:basedOn w:val="1"/>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kern w:val="0"/>
      <w:sz w:val="22"/>
      <w:szCs w:val="22"/>
    </w:rPr>
  </w:style>
  <w:style w:type="paragraph" w:customStyle="1" w:styleId="53">
    <w:name w:val="xl32"/>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kern w:val="0"/>
      <w:sz w:val="22"/>
      <w:szCs w:val="22"/>
    </w:rPr>
  </w:style>
  <w:style w:type="paragraph" w:customStyle="1" w:styleId="54">
    <w:name w:val="xl33"/>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color w:val="000000"/>
      <w:kern w:val="0"/>
      <w:sz w:val="22"/>
      <w:szCs w:val="22"/>
    </w:rPr>
  </w:style>
  <w:style w:type="paragraph" w:customStyle="1" w:styleId="55">
    <w:name w:val="xl34"/>
    <w:basedOn w:val="1"/>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cs="Arial Unicode MS"/>
      <w:color w:val="000000"/>
      <w:kern w:val="0"/>
      <w:sz w:val="22"/>
      <w:szCs w:val="22"/>
    </w:rPr>
  </w:style>
  <w:style w:type="paragraph" w:customStyle="1" w:styleId="56">
    <w:name w:val="xl35"/>
    <w:basedOn w:val="1"/>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kern w:val="0"/>
      <w:sz w:val="23"/>
      <w:szCs w:val="23"/>
    </w:rPr>
  </w:style>
  <w:style w:type="paragraph" w:customStyle="1" w:styleId="57">
    <w:name w:val="xl36"/>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FF0000"/>
      <w:kern w:val="0"/>
      <w:sz w:val="23"/>
      <w:szCs w:val="23"/>
    </w:rPr>
  </w:style>
  <w:style w:type="paragraph" w:customStyle="1" w:styleId="58">
    <w:name w:val="xl37"/>
    <w:basedOn w:val="1"/>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eastAsia="Arial Unicode MS" w:cs="Arial Unicode MS"/>
      <w:b/>
      <w:bCs/>
      <w:color w:val="FF0000"/>
      <w:kern w:val="0"/>
      <w:sz w:val="23"/>
      <w:szCs w:val="23"/>
    </w:rPr>
  </w:style>
  <w:style w:type="paragraph" w:customStyle="1" w:styleId="59">
    <w:name w:val="xl38"/>
    <w:basedOn w:val="1"/>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eastAsia="Arial Unicode MS" w:cs="Arial Unicode MS"/>
      <w:b/>
      <w:bCs/>
      <w:color w:val="FF0000"/>
      <w:kern w:val="0"/>
      <w:sz w:val="23"/>
      <w:szCs w:val="23"/>
    </w:rPr>
  </w:style>
  <w:style w:type="character" w:customStyle="1" w:styleId="60">
    <w:name w:val="批注框文本 Char"/>
    <w:basedOn w:val="25"/>
    <w:link w:val="13"/>
    <w:semiHidden/>
    <w:uiPriority w:val="99"/>
    <w:rPr>
      <w:rFonts w:ascii="Times New Roman" w:hAnsi="Times New Roman" w:eastAsia="宋体" w:cs="Times New Roman"/>
      <w:sz w:val="18"/>
      <w:szCs w:val="18"/>
    </w:rPr>
  </w:style>
  <w:style w:type="character" w:customStyle="1" w:styleId="61">
    <w:name w:val="批注文字 Char"/>
    <w:basedOn w:val="25"/>
    <w:link w:val="7"/>
    <w:semiHidden/>
    <w:uiPriority w:val="99"/>
    <w:rPr>
      <w:rFonts w:ascii="Times New Roman" w:hAnsi="Times New Roman" w:eastAsia="宋体" w:cs="Times New Roman"/>
      <w:szCs w:val="21"/>
    </w:rPr>
  </w:style>
  <w:style w:type="character" w:customStyle="1" w:styleId="62">
    <w:name w:val="批注主题 Char"/>
    <w:basedOn w:val="61"/>
    <w:link w:val="22"/>
    <w:semiHidden/>
    <w:uiPriority w:val="99"/>
    <w:rPr>
      <w:rFonts w:ascii="Times New Roman" w:hAnsi="Times New Roman" w:eastAsia="宋体" w:cs="Times New Roman"/>
      <w:b/>
      <w:bCs/>
      <w:szCs w:val="21"/>
    </w:rPr>
  </w:style>
  <w:style w:type="paragraph" w:customStyle="1" w:styleId="63">
    <w:name w:val="Char"/>
    <w:basedOn w:val="1"/>
    <w:uiPriority w:val="99"/>
  </w:style>
  <w:style w:type="character" w:customStyle="1" w:styleId="64">
    <w:name w:val="文档结构图 Char"/>
    <w:basedOn w:val="25"/>
    <w:link w:val="6"/>
    <w:semiHidden/>
    <w:uiPriority w:val="99"/>
    <w:rPr>
      <w:rFonts w:ascii="Times New Roman" w:hAnsi="Times New Roman" w:eastAsia="宋体" w:cs="Times New Roman"/>
      <w:szCs w:val="21"/>
      <w:shd w:val="clear" w:color="auto" w:fill="000080"/>
    </w:rPr>
  </w:style>
  <w:style w:type="paragraph" w:customStyle="1" w:styleId="65">
    <w:name w:val="正文 + (符号) 宋体"/>
    <w:basedOn w:val="1"/>
    <w:uiPriority w:val="99"/>
    <w:pPr>
      <w:autoSpaceDE w:val="0"/>
      <w:autoSpaceDN w:val="0"/>
      <w:adjustRightInd w:val="0"/>
      <w:ind w:right="1409" w:rightChars="671" w:firstLine="1229" w:firstLineChars="512"/>
      <w:jc w:val="distribute"/>
    </w:pPr>
    <w:rPr>
      <w:sz w:val="24"/>
      <w:szCs w:val="24"/>
    </w:rPr>
  </w:style>
  <w:style w:type="character" w:customStyle="1" w:styleId="66">
    <w:name w:val="脚注文本 Char"/>
    <w:basedOn w:val="25"/>
    <w:link w:val="17"/>
    <w:uiPriority w:val="0"/>
    <w:rPr>
      <w:rFonts w:ascii="Times New Roman" w:hAnsi="Times New Roman" w:eastAsia="宋体" w:cs="Times New Roman"/>
      <w:sz w:val="18"/>
      <w:szCs w:val="18"/>
    </w:rPr>
  </w:style>
  <w:style w:type="paragraph" w:customStyle="1" w:styleId="67">
    <w:name w:val="Char1"/>
    <w:basedOn w:val="1"/>
    <w:uiPriority w:val="99"/>
  </w:style>
  <w:style w:type="paragraph" w:customStyle="1" w:styleId="68">
    <w:name w:val="Char Char Char Char Char Char1 Char Char Char"/>
    <w:basedOn w:val="1"/>
    <w:uiPriority w:val="99"/>
    <w:pPr>
      <w:autoSpaceDE w:val="0"/>
      <w:autoSpaceDN w:val="0"/>
      <w:adjustRightInd w:val="0"/>
      <w:jc w:val="left"/>
      <w:textAlignment w:val="baseline"/>
    </w:pPr>
    <w:rPr>
      <w:rFonts w:ascii="宋体" w:cs="宋体"/>
      <w:kern w:val="0"/>
      <w:sz w:val="34"/>
      <w:szCs w:val="34"/>
    </w:rPr>
  </w:style>
  <w:style w:type="paragraph" w:customStyle="1" w:styleId="69">
    <w:name w:val="Char Char Char Char Char Char1 Char Char Char2"/>
    <w:basedOn w:val="1"/>
    <w:uiPriority w:val="99"/>
    <w:pPr>
      <w:autoSpaceDE w:val="0"/>
      <w:autoSpaceDN w:val="0"/>
      <w:adjustRightInd w:val="0"/>
      <w:jc w:val="left"/>
      <w:textAlignment w:val="baseline"/>
    </w:pPr>
    <w:rPr>
      <w:rFonts w:ascii="宋体" w:cs="宋体"/>
      <w:kern w:val="0"/>
      <w:sz w:val="34"/>
      <w:szCs w:val="34"/>
    </w:rPr>
  </w:style>
  <w:style w:type="character" w:customStyle="1" w:styleId="70">
    <w:name w:val="标题 Char"/>
    <w:basedOn w:val="25"/>
    <w:link w:val="21"/>
    <w:uiPriority w:val="99"/>
    <w:rPr>
      <w:rFonts w:ascii="Cambria" w:hAnsi="Cambria" w:eastAsia="宋体" w:cs="Cambria"/>
      <w:b/>
      <w:bCs/>
      <w:sz w:val="32"/>
      <w:szCs w:val="32"/>
    </w:rPr>
  </w:style>
  <w:style w:type="paragraph" w:customStyle="1" w:styleId="71">
    <w:name w:val="Char Char Char Char Char Char1 Char Char Char1"/>
    <w:basedOn w:val="1"/>
    <w:uiPriority w:val="99"/>
    <w:pPr>
      <w:autoSpaceDE w:val="0"/>
      <w:autoSpaceDN w:val="0"/>
      <w:adjustRightInd w:val="0"/>
      <w:jc w:val="left"/>
      <w:textAlignment w:val="baseline"/>
    </w:pPr>
    <w:rPr>
      <w:rFonts w:ascii="宋体" w:cs="宋体"/>
      <w:kern w:val="0"/>
      <w:sz w:val="34"/>
      <w:szCs w:val="34"/>
    </w:rPr>
  </w:style>
  <w:style w:type="paragraph" w:styleId="72">
    <w:name w:val="No Spacing"/>
    <w:link w:val="73"/>
    <w:qFormat/>
    <w:uiPriority w:val="1"/>
    <w:rPr>
      <w:rFonts w:ascii="Calibri" w:hAnsi="Calibri" w:eastAsia="宋体" w:cs="Calibri"/>
      <w:kern w:val="0"/>
      <w:sz w:val="22"/>
      <w:szCs w:val="22"/>
      <w:lang w:val="en-US" w:eastAsia="zh-CN" w:bidi="ar-SA"/>
    </w:rPr>
  </w:style>
  <w:style w:type="character" w:customStyle="1" w:styleId="73">
    <w:name w:val="无间隔 Char"/>
    <w:basedOn w:val="25"/>
    <w:link w:val="72"/>
    <w:locked/>
    <w:uiPriority w:val="1"/>
    <w:rPr>
      <w:rFonts w:ascii="Calibri" w:hAnsi="Calibri" w:eastAsia="宋体" w:cs="Calibri"/>
      <w:kern w:val="0"/>
      <w:sz w:val="22"/>
    </w:rPr>
  </w:style>
  <w:style w:type="character" w:customStyle="1" w:styleId="74">
    <w:name w:val="t1"/>
    <w:basedOn w:val="25"/>
    <w:uiPriority w:val="99"/>
    <w:rPr>
      <w:color w:val="auto"/>
    </w:rPr>
  </w:style>
  <w:style w:type="paragraph" w:styleId="75">
    <w:name w:val="List Paragraph"/>
    <w:basedOn w:val="1"/>
    <w:qFormat/>
    <w:uiPriority w:val="34"/>
    <w:pPr>
      <w:ind w:firstLine="420" w:firstLineChars="200"/>
    </w:pPr>
  </w:style>
  <w:style w:type="paragraph" w:customStyle="1" w:styleId="76">
    <w:name w:val="Default"/>
    <w:uiPriority w:val="0"/>
    <w:pPr>
      <w:widowControl w:val="0"/>
      <w:autoSpaceDE w:val="0"/>
      <w:autoSpaceDN w:val="0"/>
      <w:adjustRightInd w:val="0"/>
    </w:pPr>
    <w:rPr>
      <w:rFonts w:ascii="仿宋" w:hAnsi="仿宋" w:eastAsia="宋体"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224F61-935D-4852-8DB9-16A24A127BF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3807</Words>
  <Characters>21700</Characters>
  <Lines>180</Lines>
  <Paragraphs>50</Paragraphs>
  <TotalTime>0</TotalTime>
  <ScaleCrop>false</ScaleCrop>
  <LinksUpToDate>false</LinksUpToDate>
  <CharactersWithSpaces>25457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2012-10-16T06:07:00Z</dcterms:created>
  <dc:creator>biz-shenxiangwen</dc:creator>
  <cp:lastModifiedBy>biz-shenxiangwen</cp:lastModifiedBy>
  <dcterms:modified xsi:type="dcterms:W3CDTF">2021-01-13T08:36:13Z</dcterms:modified>
  <cp:revision>600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