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交银施罗德消费新驱动股票型证券投资基金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2015年7月1日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643,736,893.81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85%×中证内地消费主题指数+15%×中证综合债券指数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63,713,942.20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219,917,588.04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0.4412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1,292,658,419.44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28.80%</w:t>
            </w:r>
          </w:p>
        </w:tc>
        <w:tc>
          <w:tcPr>
            <w:vAlign w:val="center"/>
          </w:tcPr>
          <w:p>
            <w:pPr>
              <w:jc w:val="center"/>
            </w:pPr>
            <w:r>
              <w:rPr>
                <w:color w:val="000000"/>
                <w:sz w:val="24"/>
                <w:szCs w:val="24"/>
              </w:rPr>
              <w:t>1.10%</w:t>
            </w:r>
          </w:p>
        </w:tc>
        <w:tc>
          <w:tcPr>
            <w:vAlign w:val="center"/>
          </w:tcPr>
          <w:p>
            <w:pPr>
              <w:jc w:val="center"/>
            </w:pPr>
            <w:r>
              <w:rPr>
                <w:color w:val="000000"/>
                <w:sz w:val="24"/>
                <w:szCs w:val="24"/>
              </w:rPr>
              <w:t>21.03%</w:t>
            </w:r>
          </w:p>
        </w:tc>
        <w:tc>
          <w:tcPr>
            <w:vAlign w:val="center"/>
          </w:tcPr>
          <w:p>
            <w:pPr>
              <w:jc w:val="center"/>
            </w:pPr>
            <w:r>
              <w:rPr>
                <w:color w:val="000000"/>
                <w:sz w:val="24"/>
                <w:szCs w:val="24"/>
              </w:rPr>
              <w:t>1.10%</w:t>
            </w:r>
          </w:p>
        </w:tc>
        <w:tc>
          <w:tcPr>
            <w:vAlign w:val="center"/>
          </w:tcPr>
          <w:p>
            <w:pPr>
              <w:jc w:val="center"/>
            </w:pPr>
            <w:r>
              <w:rPr>
                <w:color w:val="000000"/>
                <w:sz w:val="24"/>
                <w:szCs w:val="24"/>
              </w:rPr>
              <w:t>7.77%</w:t>
            </w:r>
          </w:p>
        </w:tc>
        <w:tc>
          <w:tcPr>
            <w:vAlign w:val="center"/>
          </w:tcPr>
          <w:p>
            <w:pPr>
              <w:jc w:val="center"/>
            </w:pPr>
            <w:r>
              <w:rPr>
                <w:color w:val="000000"/>
                <w:sz w:val="24"/>
                <w:szCs w:val="24"/>
              </w:rPr>
              <w:t>0.00%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52.47%</w:t>
            </w:r>
          </w:p>
        </w:tc>
        <w:tc>
          <w:tcPr>
            <w:vAlign w:val="center"/>
          </w:tcPr>
          <w:p>
            <w:pPr>
              <w:jc w:val="center"/>
            </w:pPr>
            <w:r>
              <w:rPr>
                <w:color w:val="000000"/>
                <w:sz w:val="24"/>
                <w:szCs w:val="24"/>
              </w:rPr>
              <w:t>1.36%</w:t>
            </w:r>
          </w:p>
        </w:tc>
        <w:tc>
          <w:tcPr>
            <w:vAlign w:val="center"/>
          </w:tcPr>
          <w:p>
            <w:pPr>
              <w:jc w:val="center"/>
            </w:pPr>
            <w:r>
              <w:rPr>
                <w:color w:val="000000"/>
                <w:sz w:val="24"/>
                <w:szCs w:val="24"/>
              </w:rPr>
              <w:t>39.93%</w:t>
            </w:r>
          </w:p>
        </w:tc>
        <w:tc>
          <w:tcPr>
            <w:vAlign w:val="center"/>
          </w:tcPr>
          <w:p>
            <w:pPr>
              <w:jc w:val="center"/>
            </w:pPr>
            <w:r>
              <w:rPr>
                <w:color w:val="000000"/>
                <w:sz w:val="24"/>
                <w:szCs w:val="24"/>
              </w:rPr>
              <w:t>1.30%</w:t>
            </w:r>
          </w:p>
        </w:tc>
        <w:tc>
          <w:tcPr>
            <w:vAlign w:val="center"/>
          </w:tcPr>
          <w:p>
            <w:pPr>
              <w:jc w:val="center"/>
            </w:pPr>
            <w:r>
              <w:rPr>
                <w:color w:val="000000"/>
                <w:sz w:val="24"/>
                <w:szCs w:val="24"/>
              </w:rPr>
              <w:t>12.54%</w:t>
            </w:r>
          </w:p>
        </w:tc>
        <w:tc>
          <w:tcPr>
            <w:vAlign w:val="center"/>
          </w:tcPr>
          <w:p>
            <w:pPr>
              <w:jc w:val="center"/>
            </w:pPr>
            <w:r>
              <w:rPr>
                <w:color w:val="000000"/>
                <w:sz w:val="24"/>
                <w:szCs w:val="24"/>
              </w:rPr>
              <w:t>0.06%</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103.24%</w:t>
            </w:r>
          </w:p>
        </w:tc>
        <w:tc>
          <w:tcPr>
            <w:vAlign w:val="center"/>
          </w:tcPr>
          <w:p>
            <w:pPr>
              <w:jc w:val="center"/>
            </w:pPr>
            <w:r>
              <w:rPr>
                <w:color w:val="000000"/>
                <w:sz w:val="24"/>
                <w:szCs w:val="24"/>
              </w:rPr>
              <w:t>1.50%</w:t>
            </w:r>
          </w:p>
        </w:tc>
        <w:tc>
          <w:tcPr>
            <w:vAlign w:val="center"/>
          </w:tcPr>
          <w:p>
            <w:pPr>
              <w:jc w:val="center"/>
            </w:pPr>
            <w:r>
              <w:rPr>
                <w:color w:val="000000"/>
                <w:sz w:val="24"/>
                <w:szCs w:val="24"/>
              </w:rPr>
              <w:t>54.62%</w:t>
            </w:r>
          </w:p>
        </w:tc>
        <w:tc>
          <w:tcPr>
            <w:vAlign w:val="center"/>
          </w:tcPr>
          <w:p>
            <w:pPr>
              <w:jc w:val="center"/>
            </w:pPr>
            <w:r>
              <w:rPr>
                <w:color w:val="000000"/>
                <w:sz w:val="24"/>
                <w:szCs w:val="24"/>
              </w:rPr>
              <w:t>1.38%</w:t>
            </w:r>
          </w:p>
        </w:tc>
        <w:tc>
          <w:tcPr>
            <w:vAlign w:val="center"/>
          </w:tcPr>
          <w:p>
            <w:pPr>
              <w:jc w:val="center"/>
            </w:pPr>
            <w:r>
              <w:rPr>
                <w:color w:val="000000"/>
                <w:sz w:val="24"/>
                <w:szCs w:val="24"/>
              </w:rPr>
              <w:t>48.62%</w:t>
            </w:r>
          </w:p>
        </w:tc>
        <w:tc>
          <w:tcPr>
            <w:vAlign w:val="center"/>
          </w:tcPr>
          <w:p>
            <w:pPr>
              <w:jc w:val="center"/>
            </w:pPr>
            <w:r>
              <w:rPr>
                <w:color w:val="000000"/>
                <w:sz w:val="24"/>
                <w:szCs w:val="24"/>
              </w:rPr>
              <w:t>0.12%</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138.19%</w:t>
            </w:r>
          </w:p>
        </w:tc>
        <w:tc>
          <w:tcPr>
            <w:vAlign w:val="center"/>
          </w:tcPr>
          <w:p>
            <w:pPr>
              <w:jc w:val="center"/>
            </w:pPr>
            <w:r>
              <w:rPr>
                <w:color w:val="000000"/>
                <w:sz w:val="24"/>
                <w:szCs w:val="24"/>
              </w:rPr>
              <w:t>1.45%</w:t>
            </w:r>
          </w:p>
        </w:tc>
        <w:tc>
          <w:tcPr>
            <w:vAlign w:val="center"/>
          </w:tcPr>
          <w:p>
            <w:pPr>
              <w:jc w:val="center"/>
            </w:pPr>
            <w:r>
              <w:rPr>
                <w:color w:val="000000"/>
                <w:sz w:val="24"/>
                <w:szCs w:val="24"/>
              </w:rPr>
              <w:t>77.28%</w:t>
            </w:r>
          </w:p>
        </w:tc>
        <w:tc>
          <w:tcPr>
            <w:vAlign w:val="center"/>
          </w:tcPr>
          <w:p>
            <w:pPr>
              <w:jc w:val="center"/>
            </w:pPr>
            <w:r>
              <w:rPr>
                <w:color w:val="000000"/>
                <w:sz w:val="24"/>
                <w:szCs w:val="24"/>
              </w:rPr>
              <w:t>1.35%</w:t>
            </w:r>
          </w:p>
        </w:tc>
        <w:tc>
          <w:tcPr>
            <w:vAlign w:val="center"/>
          </w:tcPr>
          <w:p>
            <w:pPr>
              <w:jc w:val="center"/>
            </w:pPr>
            <w:r>
              <w:rPr>
                <w:color w:val="000000"/>
                <w:sz w:val="24"/>
                <w:szCs w:val="24"/>
              </w:rPr>
              <w:t>60.91%</w:t>
            </w:r>
          </w:p>
        </w:tc>
        <w:tc>
          <w:tcPr>
            <w:vAlign w:val="center"/>
          </w:tcPr>
          <w:p>
            <w:pPr>
              <w:jc w:val="center"/>
            </w:pPr>
            <w:r>
              <w:rPr>
                <w:color w:val="000000"/>
                <w:sz w:val="24"/>
                <w:szCs w:val="24"/>
              </w:rPr>
              <w:t>0.10%</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211.98%</w:t>
            </w:r>
          </w:p>
        </w:tc>
        <w:tc>
          <w:tcPr>
            <w:vAlign w:val="center"/>
          </w:tcPr>
          <w:p>
            <w:pPr>
              <w:jc w:val="center"/>
            </w:pPr>
            <w:r>
              <w:rPr>
                <w:color w:val="000000"/>
                <w:sz w:val="24"/>
                <w:szCs w:val="24"/>
              </w:rPr>
              <w:t>1.33%</w:t>
            </w:r>
          </w:p>
        </w:tc>
        <w:tc>
          <w:tcPr>
            <w:vAlign w:val="center"/>
          </w:tcPr>
          <w:p>
            <w:pPr>
              <w:jc w:val="center"/>
            </w:pPr>
            <w:r>
              <w:rPr>
                <w:color w:val="000000"/>
                <w:sz w:val="24"/>
                <w:szCs w:val="24"/>
              </w:rPr>
              <w:t>139.19%</w:t>
            </w:r>
          </w:p>
        </w:tc>
        <w:tc>
          <w:tcPr>
            <w:vAlign w:val="center"/>
          </w:tcPr>
          <w:p>
            <w:pPr>
              <w:jc w:val="center"/>
            </w:pPr>
            <w:r>
              <w:rPr>
                <w:color w:val="000000"/>
                <w:sz w:val="24"/>
                <w:szCs w:val="24"/>
              </w:rPr>
              <w:t>1.24%</w:t>
            </w:r>
          </w:p>
        </w:tc>
        <w:tc>
          <w:tcPr>
            <w:vAlign w:val="center"/>
          </w:tcPr>
          <w:p>
            <w:pPr>
              <w:jc w:val="center"/>
            </w:pPr>
            <w:r>
              <w:rPr>
                <w:color w:val="000000"/>
                <w:sz w:val="24"/>
                <w:szCs w:val="24"/>
              </w:rPr>
              <w:t>72.79%</w:t>
            </w:r>
          </w:p>
        </w:tc>
        <w:tc>
          <w:tcPr>
            <w:vAlign w:val="center"/>
          </w:tcPr>
          <w:p>
            <w:pPr>
              <w:jc w:val="center"/>
            </w:pPr>
            <w:r>
              <w:rPr>
                <w:color w:val="000000"/>
                <w:sz w:val="24"/>
                <w:szCs w:val="24"/>
              </w:rPr>
              <w:t>0.09%</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206.68%</w:t>
            </w:r>
          </w:p>
        </w:tc>
        <w:tc>
          <w:tcPr>
            <w:vAlign w:val="center"/>
          </w:tcPr>
          <w:p>
            <w:pPr>
              <w:jc w:val="center"/>
            </w:pPr>
            <w:r>
              <w:rPr>
                <w:color w:val="000000"/>
                <w:sz w:val="24"/>
                <w:szCs w:val="24"/>
              </w:rPr>
              <w:t>1.36%</w:t>
            </w:r>
          </w:p>
        </w:tc>
        <w:tc>
          <w:tcPr>
            <w:vAlign w:val="center"/>
          </w:tcPr>
          <w:p>
            <w:pPr>
              <w:jc w:val="center"/>
            </w:pPr>
            <w:r>
              <w:rPr>
                <w:color w:val="000000"/>
                <w:sz w:val="24"/>
                <w:szCs w:val="24"/>
              </w:rPr>
              <w:t>112.87%</w:t>
            </w:r>
          </w:p>
        </w:tc>
        <w:tc>
          <w:tcPr>
            <w:vAlign w:val="center"/>
          </w:tcPr>
          <w:p>
            <w:pPr>
              <w:jc w:val="center"/>
            </w:pPr>
            <w:r>
              <w:rPr>
                <w:color w:val="000000"/>
                <w:sz w:val="24"/>
                <w:szCs w:val="24"/>
              </w:rPr>
              <w:t>1.37%</w:t>
            </w:r>
          </w:p>
        </w:tc>
        <w:tc>
          <w:tcPr>
            <w:vAlign w:val="center"/>
          </w:tcPr>
          <w:p>
            <w:pPr>
              <w:jc w:val="center"/>
            </w:pPr>
            <w:r>
              <w:rPr>
                <w:color w:val="000000"/>
                <w:sz w:val="24"/>
                <w:szCs w:val="24"/>
              </w:rPr>
              <w:t>93.81%</w:t>
            </w:r>
          </w:p>
        </w:tc>
        <w:tc>
          <w:tcPr>
            <w:vAlign w:val="center"/>
          </w:tcPr>
          <w:p>
            <w:pPr>
              <w:jc w:val="center"/>
            </w:pPr>
            <w:r>
              <w:rPr>
                <w:color w:val="000000"/>
                <w:sz w:val="24"/>
                <w:szCs w:val="24"/>
              </w:rPr>
              <w:t>-0.01%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85%×中证内地消费主题指数+15%×中信标普全债指数”变更为“85%×中证内地消费主题指数+15%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交银施罗德消费新驱动股票型证券投资基金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2015年7月1日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沪深300行业分层等权重指数证券投资基金转型而来。基金转型日为2015年7月1日。本基金的投资转型期为交银施罗德沪深300行业分层等权重指数证券投资基金转型实施日（即2015年7月1日）起的6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交银策略回报灵活配置混合、交银消费新驱动股票、交银股息优化混合、交银品质升级混合、交银内需增长混合的基金经理</w:t>
            </w:r>
          </w:p>
        </w:tc>
        <w:tc>
          <w:tcPr>
            <w:vAlign w:val="center"/>
          </w:tcPr>
          <w:p>
            <w:pPr>
              <w:jc w:val="center"/>
            </w:pPr>
            <w:r>
              <w:rPr>
                <w:color w:val="000000"/>
                <w:sz w:val="24"/>
                <w:szCs w:val="24"/>
              </w:rPr>
              <w:t>2018-08-24</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四季度，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pPr>
        <w:spacing w:before="29" w:line="288" w:lineRule="auto"/>
        <w:ind w:firstLine="480" w:firstLineChars="200"/>
        <w:rPr>
          <w:color w:val="000000"/>
          <w:sz w:val="24"/>
          <w:szCs w:val="24"/>
        </w:rPr>
      </w:pPr>
      <w:r>
        <w:rPr>
          <w:color w:val="000000"/>
          <w:sz w:val="24"/>
          <w:szCs w:val="24"/>
        </w:rPr>
        <w:t>本基金四季度依然维持以消费医药白马为基础底仓的思路，适度增持了一些低估值的金融地产，增加了整个组合的均衡度和平衡感，降低了整个组合的估值水平。</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保持谨慎乐观，整体预期收益率较前两年可能要出现明显下降：（1）如果海外疫情得不到控制，整个全球流动性将依然保持高水位。考虑到人民币汇率升值压力，国内流动性也将维持在较为宽松的水平，但是整个国内信用收缩或将成为必然。（2）外资流入加快。我们认为，2021年一季度的资本市场将出现进一步分化，特别是热门赛道里也将出现比较明显的分化。我们在组合上将进一步均衡，希望寻找各个行业的阿尔法来抵消未来可能出现的整体估值下行。（1）寻找消费、医药行业中，未来还有可能提升一致预期的公司；（2）均衡组合配置，以部分低估值高分红公司（剔除价值陷阱）替代现金。</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1,097,956,033.08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1,097,956,033.08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189,615,383.23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24,938,295.93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1,312,509,712.24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774,937,442.03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10,069,740.88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63,138,266.16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4.88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5,890,575.00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35,643,038.77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96,938,547.04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51,265,696.88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689,108.95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49,221,527.20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10,145,767.45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1,097,956,033.08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84.94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59,970</w:t>
            </w:r>
          </w:p>
        </w:tc>
        <w:tc>
          <w:tcPr>
            <w:vAlign w:val="center"/>
          </w:tcPr>
          <w:p>
            <w:pPr>
              <w:jc w:val="right"/>
            </w:pPr>
            <w:r>
              <w:rPr>
                <w:color w:val="000000"/>
                <w:sz w:val="24"/>
                <w:szCs w:val="24"/>
              </w:rPr>
              <w:t>119,820,060.00</w:t>
            </w:r>
          </w:p>
        </w:tc>
        <w:tc>
          <w:tcPr>
            <w:vAlign w:val="center"/>
          </w:tcPr>
          <w:p>
            <w:pPr>
              <w:jc w:val="right"/>
            </w:pPr>
            <w:r>
              <w:rPr>
                <w:color w:val="000000"/>
                <w:sz w:val="24"/>
                <w:szCs w:val="24"/>
              </w:rPr>
              <w:t>9.27</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493,367</w:t>
            </w:r>
          </w:p>
        </w:tc>
        <w:tc>
          <w:tcPr>
            <w:vAlign w:val="center"/>
          </w:tcPr>
          <w:p>
            <w:pPr>
              <w:jc w:val="right"/>
            </w:pPr>
            <w:r>
              <w:rPr>
                <w:color w:val="000000"/>
                <w:sz w:val="24"/>
                <w:szCs w:val="24"/>
              </w:rPr>
              <w:t>116,429,678.33</w:t>
            </w:r>
          </w:p>
        </w:tc>
        <w:tc>
          <w:tcPr>
            <w:vAlign w:val="center"/>
          </w:tcPr>
          <w:p>
            <w:pPr>
              <w:jc w:val="right"/>
            </w:pPr>
            <w:r>
              <w:rPr>
                <w:color w:val="000000"/>
                <w:sz w:val="24"/>
                <w:szCs w:val="24"/>
              </w:rPr>
              <w:t>9.01</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3,377,337</w:t>
            </w:r>
          </w:p>
        </w:tc>
        <w:tc>
          <w:tcPr>
            <w:vAlign w:val="center"/>
          </w:tcPr>
          <w:p>
            <w:pPr>
              <w:jc w:val="right"/>
            </w:pPr>
            <w:r>
              <w:rPr>
                <w:color w:val="000000"/>
                <w:sz w:val="24"/>
                <w:szCs w:val="24"/>
              </w:rPr>
              <w:t>96,929,571.90</w:t>
            </w:r>
          </w:p>
        </w:tc>
        <w:tc>
          <w:tcPr>
            <w:vAlign w:val="center"/>
          </w:tcPr>
          <w:p>
            <w:pPr>
              <w:jc w:val="right"/>
            </w:pPr>
            <w:r>
              <w:rPr>
                <w:color w:val="000000"/>
                <w:sz w:val="24"/>
                <w:szCs w:val="24"/>
              </w:rPr>
              <w:t>7.50</w:t>
            </w:r>
          </w:p>
        </w:tc>
      </w:tr>
      <w:tr>
        <w:tc>
          <w:tcPr>
            <w:vAlign w:val="center"/>
          </w:tcPr>
          <w:p>
            <w:pPr>
              <w:jc w:val="center"/>
            </w:pPr>
            <w:r>
              <w:rPr>
                <w:color w:val="000000"/>
                <w:sz w:val="24"/>
                <w:szCs w:val="24"/>
              </w:rPr>
              <w:t>4</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307,265</w:t>
            </w:r>
          </w:p>
        </w:tc>
        <w:tc>
          <w:tcPr>
            <w:vAlign w:val="center"/>
          </w:tcPr>
          <w:p>
            <w:pPr>
              <w:jc w:val="right"/>
            </w:pPr>
            <w:r>
              <w:rPr>
                <w:color w:val="000000"/>
                <w:sz w:val="24"/>
                <w:szCs w:val="24"/>
              </w:rPr>
              <w:t>89,675,290.25</w:t>
            </w:r>
          </w:p>
        </w:tc>
        <w:tc>
          <w:tcPr>
            <w:vAlign w:val="center"/>
          </w:tcPr>
          <w:p>
            <w:pPr>
              <w:jc w:val="right"/>
            </w:pPr>
            <w:r>
              <w:rPr>
                <w:color w:val="000000"/>
                <w:sz w:val="24"/>
                <w:szCs w:val="24"/>
              </w:rPr>
              <w:t>6.94</w:t>
            </w:r>
          </w:p>
        </w:tc>
      </w:tr>
      <w:tr>
        <w:tc>
          <w:tcPr>
            <w:vAlign w:val="center"/>
          </w:tcPr>
          <w:p>
            <w:pPr>
              <w:jc w:val="center"/>
            </w:pPr>
            <w:r>
              <w:rPr>
                <w:color w:val="000000"/>
                <w:sz w:val="24"/>
                <w:szCs w:val="24"/>
              </w:rPr>
              <w:t>5</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3,181,048</w:t>
            </w:r>
          </w:p>
        </w:tc>
        <w:tc>
          <w:tcPr>
            <w:vAlign w:val="center"/>
          </w:tcPr>
          <w:p>
            <w:pPr>
              <w:jc w:val="right"/>
            </w:pPr>
            <w:r>
              <w:rPr>
                <w:color w:val="000000"/>
                <w:sz w:val="24"/>
                <w:szCs w:val="24"/>
              </w:rPr>
              <w:t>76,822,309.20</w:t>
            </w:r>
          </w:p>
        </w:tc>
        <w:tc>
          <w:tcPr>
            <w:vAlign w:val="center"/>
          </w:tcPr>
          <w:p>
            <w:pPr>
              <w:jc w:val="right"/>
            </w:pPr>
            <w:r>
              <w:rPr>
                <w:color w:val="000000"/>
                <w:sz w:val="24"/>
                <w:szCs w:val="24"/>
              </w:rPr>
              <w:t>5.94</w:t>
            </w:r>
          </w:p>
        </w:tc>
      </w:tr>
      <w:tr>
        <w:tc>
          <w:tcPr>
            <w:vAlign w:val="center"/>
          </w:tcPr>
          <w:p>
            <w:pPr>
              <w:jc w:val="center"/>
            </w:pPr>
            <w:r>
              <w:rPr>
                <w:color w:val="000000"/>
                <w:sz w:val="24"/>
                <w:szCs w:val="24"/>
              </w:rPr>
              <w:t>6</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410,854</w:t>
            </w:r>
          </w:p>
        </w:tc>
        <w:tc>
          <w:tcPr>
            <w:vAlign w:val="center"/>
          </w:tcPr>
          <w:p>
            <w:pPr>
              <w:jc w:val="right"/>
            </w:pPr>
            <w:r>
              <w:rPr>
                <w:color w:val="000000"/>
                <w:sz w:val="24"/>
                <w:szCs w:val="24"/>
              </w:rPr>
              <w:t>64,298,651.00</w:t>
            </w:r>
          </w:p>
        </w:tc>
        <w:tc>
          <w:tcPr>
            <w:vAlign w:val="center"/>
          </w:tcPr>
          <w:p>
            <w:pPr>
              <w:jc w:val="right"/>
            </w:pPr>
            <w:r>
              <w:rPr>
                <w:color w:val="000000"/>
                <w:sz w:val="24"/>
                <w:szCs w:val="24"/>
              </w:rPr>
              <w:t>4.97</w:t>
            </w:r>
          </w:p>
        </w:tc>
      </w:tr>
      <w:tr>
        <w:tc>
          <w:tcPr>
            <w:vAlign w:val="center"/>
          </w:tcPr>
          <w:p>
            <w:pPr>
              <w:jc w:val="center"/>
            </w:pPr>
            <w:r>
              <w:rPr>
                <w:color w:val="000000"/>
                <w:sz w:val="24"/>
                <w:szCs w:val="24"/>
              </w:rPr>
              <w:t>7</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1,225,272</w:t>
            </w:r>
          </w:p>
        </w:tc>
        <w:tc>
          <w:tcPr>
            <w:vAlign w:val="center"/>
          </w:tcPr>
          <w:p>
            <w:pPr>
              <w:jc w:val="right"/>
            </w:pPr>
            <w:r>
              <w:rPr>
                <w:color w:val="000000"/>
                <w:sz w:val="24"/>
                <w:szCs w:val="24"/>
              </w:rPr>
              <w:t>63,138,266.16</w:t>
            </w:r>
          </w:p>
        </w:tc>
        <w:tc>
          <w:tcPr>
            <w:vAlign w:val="center"/>
          </w:tcPr>
          <w:p>
            <w:pPr>
              <w:jc w:val="right"/>
            </w:pPr>
            <w:r>
              <w:rPr>
                <w:color w:val="000000"/>
                <w:sz w:val="24"/>
                <w:szCs w:val="24"/>
              </w:rPr>
              <w:t>4.88</w:t>
            </w:r>
          </w:p>
        </w:tc>
      </w:tr>
      <w:tr>
        <w:tc>
          <w:tcPr>
            <w:vAlign w:val="center"/>
          </w:tcPr>
          <w:p>
            <w:pPr>
              <w:jc w:val="center"/>
            </w:pPr>
            <w:r>
              <w:rPr>
                <w:color w:val="000000"/>
                <w:sz w:val="24"/>
                <w:szCs w:val="24"/>
              </w:rPr>
              <w:t>8</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1,332,641</w:t>
            </w:r>
          </w:p>
        </w:tc>
        <w:tc>
          <w:tcPr>
            <w:vAlign w:val="center"/>
          </w:tcPr>
          <w:p>
            <w:pPr>
              <w:jc w:val="right"/>
            </w:pPr>
            <w:r>
              <w:rPr>
                <w:color w:val="000000"/>
                <w:sz w:val="24"/>
                <w:szCs w:val="24"/>
              </w:rPr>
              <w:t>51,706,470.80</w:t>
            </w:r>
          </w:p>
        </w:tc>
        <w:tc>
          <w:tcPr>
            <w:vAlign w:val="center"/>
          </w:tcPr>
          <w:p>
            <w:pPr>
              <w:jc w:val="right"/>
            </w:pPr>
            <w:r>
              <w:rPr>
                <w:color w:val="000000"/>
                <w:sz w:val="24"/>
                <w:szCs w:val="24"/>
              </w:rPr>
              <w:t>4.00</w:t>
            </w:r>
          </w:p>
        </w:tc>
      </w:tr>
      <w:tr>
        <w:tc>
          <w:tcPr>
            <w:vAlign w:val="center"/>
          </w:tcPr>
          <w:p>
            <w:pPr>
              <w:jc w:val="center"/>
            </w:pPr>
            <w:r>
              <w:rPr>
                <w:color w:val="000000"/>
                <w:sz w:val="24"/>
                <w:szCs w:val="24"/>
              </w:rPr>
              <w:t>9</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380,419</w:t>
            </w:r>
          </w:p>
        </w:tc>
        <w:tc>
          <w:tcPr>
            <w:vAlign w:val="center"/>
          </w:tcPr>
          <w:p>
            <w:pPr>
              <w:jc w:val="right"/>
            </w:pPr>
            <w:r>
              <w:rPr>
                <w:color w:val="000000"/>
                <w:sz w:val="24"/>
                <w:szCs w:val="24"/>
              </w:rPr>
              <w:t>51,250,047.68</w:t>
            </w:r>
          </w:p>
        </w:tc>
        <w:tc>
          <w:tcPr>
            <w:vAlign w:val="center"/>
          </w:tcPr>
          <w:p>
            <w:pPr>
              <w:jc w:val="right"/>
            </w:pPr>
            <w:r>
              <w:rPr>
                <w:color w:val="000000"/>
                <w:sz w:val="24"/>
                <w:szCs w:val="24"/>
              </w:rPr>
              <w:t>3.96</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430,773</w:t>
            </w:r>
          </w:p>
        </w:tc>
        <w:tc>
          <w:tcPr>
            <w:vAlign w:val="center"/>
          </w:tcPr>
          <w:p>
            <w:pPr>
              <w:jc w:val="right"/>
            </w:pPr>
            <w:r>
              <w:rPr>
                <w:color w:val="000000"/>
                <w:sz w:val="24"/>
                <w:szCs w:val="24"/>
              </w:rPr>
              <w:t>48,013,958.58</w:t>
            </w:r>
          </w:p>
        </w:tc>
        <w:tc>
          <w:tcPr>
            <w:vAlign w:val="center"/>
          </w:tcPr>
          <w:p>
            <w:pPr>
              <w:jc w:val="right"/>
            </w:pPr>
            <w:r>
              <w:rPr>
                <w:color w:val="000000"/>
                <w:sz w:val="24"/>
                <w:szCs w:val="24"/>
              </w:rPr>
              <w:t>3.71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255,047.06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14,832,316.30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23,644.69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9,827,287.88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24,938,295.93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389,539,377.31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420,624,849.93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166,427,333.43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643,736,893.81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w:t>
            </w:r>
            <w:r w:rsidRPr="00ED2620">
              <w:rPr>
                <w:color w:val="000000"/>
                <w:sz w:val="24"/>
              </w:rPr>
              <w:lastRenderedPageBreak/>
              <w:t>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lastRenderedPageBreak/>
              <w:t/>
            </w:r>
            <w:r w:rsidRPr="00ED2620">
              <w:rPr>
                <w:rFonts w:eastAsiaTheme="minorEastAsia"/>
                <w:color w:val="000000"/>
                <w:sz w:val="24"/>
              </w:rPr>
              <w:lastRenderedPageBreak/>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2.82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2、如果本报告期间发生转换出业务，则总赎回份额中包含该业务。</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1、中国证监会批准交银施罗德沪深300行业分层等权重指数证券投资基金募集的文件；</w:t>
      </w:r>
    </w:p>
    <w:p>
      <w:pPr>
        <w:spacing w:before="29" w:line="288" w:lineRule="auto"/>
        <w:ind w:firstLine="480" w:firstLineChars="200"/>
        <w:rPr>
          <w:color w:val="000000"/>
          <w:sz w:val="24"/>
          <w:szCs w:val="24"/>
        </w:rPr>
      </w:pPr>
      <w:r>
        <w:rPr>
          <w:color w:val="000000"/>
          <w:sz w:val="24"/>
          <w:szCs w:val="24"/>
        </w:rPr>
        <w:t>2、《交银施罗德消费新驱动股票型证券投资基金基金合同》；</w:t>
      </w:r>
    </w:p>
    <w:p>
      <w:pPr>
        <w:spacing w:before="29" w:line="288" w:lineRule="auto"/>
        <w:ind w:firstLine="480" w:firstLineChars="200"/>
        <w:rPr>
          <w:color w:val="000000"/>
          <w:sz w:val="24"/>
          <w:szCs w:val="24"/>
        </w:rPr>
      </w:pPr>
      <w:r>
        <w:rPr>
          <w:color w:val="000000"/>
          <w:sz w:val="24"/>
          <w:szCs w:val="24"/>
        </w:rPr>
        <w:t>3、《交银施罗德消费新驱动股票型证券投资基金招募说明书》；</w:t>
      </w:r>
    </w:p>
    <w:p>
      <w:pPr>
        <w:spacing w:before="29" w:line="288" w:lineRule="auto"/>
        <w:ind w:firstLine="480" w:firstLineChars="200"/>
        <w:rPr>
          <w:color w:val="000000"/>
          <w:sz w:val="24"/>
          <w:szCs w:val="24"/>
        </w:rPr>
      </w:pPr>
      <w:r>
        <w:rPr>
          <w:color w:val="000000"/>
          <w:sz w:val="24"/>
          <w:szCs w:val="24"/>
        </w:rPr>
        <w:t>4、《交银施罗德消费新驱动股票型证券投资基金托管协议》；</w:t>
      </w:r>
    </w:p>
    <w:p>
      <w:pPr>
        <w:spacing w:before="29" w:line="288" w:lineRule="auto"/>
        <w:ind w:firstLine="480" w:firstLineChars="200"/>
        <w:rPr>
          <w:color w:val="000000"/>
          <w:sz w:val="24"/>
          <w:szCs w:val="24"/>
        </w:rPr>
      </w:pPr>
      <w:r>
        <w:rPr>
          <w:color w:val="000000"/>
          <w:sz w:val="24"/>
          <w:szCs w:val="24"/>
        </w:rPr>
        <w:t>5、《交银施罗德沪深300行业分层等权重指数证券投资基金基金合同》；</w:t>
      </w:r>
    </w:p>
    <w:p>
      <w:pPr>
        <w:spacing w:before="29" w:line="288" w:lineRule="auto"/>
        <w:ind w:firstLine="480" w:firstLineChars="200"/>
        <w:rPr>
          <w:color w:val="000000"/>
          <w:sz w:val="24"/>
          <w:szCs w:val="24"/>
        </w:rPr>
      </w:pPr>
      <w:r>
        <w:rPr>
          <w:color w:val="000000"/>
          <w:sz w:val="24"/>
          <w:szCs w:val="24"/>
        </w:rPr>
        <w:t>6、《交银施罗德沪深300行业分层等权重指数证券投资基金招募说明书》；</w:t>
      </w:r>
    </w:p>
    <w:p>
      <w:pPr>
        <w:spacing w:before="29" w:line="288" w:lineRule="auto"/>
        <w:ind w:firstLine="480" w:firstLineChars="200"/>
        <w:rPr>
          <w:color w:val="000000"/>
          <w:sz w:val="24"/>
          <w:szCs w:val="24"/>
        </w:rPr>
      </w:pPr>
      <w:r>
        <w:rPr>
          <w:color w:val="000000"/>
          <w:sz w:val="24"/>
          <w:szCs w:val="24"/>
        </w:rPr>
        <w:t>7、《交银施罗德沪深300行业分层等权重指数证券投资基金托管协议》；</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w:t>
      </w:r>
    </w:p>
    <w:p>
      <w:pPr>
        <w:spacing w:before="29" w:line="288" w:lineRule="auto"/>
        <w:ind w:firstLine="480" w:firstLineChars="200"/>
        <w:rPr>
          <w:color w:val="000000"/>
          <w:sz w:val="24"/>
          <w:szCs w:val="24"/>
        </w:rPr>
      </w:pPr>
      <w:r>
        <w:rPr>
          <w:color w:val="000000"/>
          <w:sz w:val="24"/>
          <w:szCs w:val="24"/>
        </w:rPr>
        <w:t>10、关于申请募集交银施罗德沪深300行业分层等权重指数证券投资基金之法律意见书；</w:t>
      </w:r>
    </w:p>
    <w:p>
      <w:pPr>
        <w:spacing w:before="29" w:line="288" w:lineRule="auto"/>
        <w:ind w:firstLine="480" w:firstLineChars="200"/>
        <w:rPr>
          <w:color w:val="000000"/>
          <w:sz w:val="24"/>
          <w:szCs w:val="24"/>
        </w:rPr>
      </w:pPr>
      <w:r>
        <w:rPr>
          <w:color w:val="000000"/>
          <w:sz w:val="24"/>
          <w:szCs w:val="24"/>
        </w:rPr>
        <w:t>11、关于《申请交银施罗德沪深300行业分层等权重指数证券投资基金变更注册为交银施罗德消费新驱动股票型证券投资基金》的法律意见；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12、报告期内交银施罗德消费新驱动股票型证券投资基金、交银施罗德沪深300行业分层等权重指数证券投资基金在指定报刊上各项公告的原稿。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交银施罗德消费新驱动股票型证券投资基金2020年第4季度报告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