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45063" w:rsidRDefault="0057346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45063" w:rsidRDefault="00573464">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45063" w:rsidRDefault="0057346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45063" w:rsidRDefault="00573464">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845063" w:rsidRDefault="0057346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银优势</w:t>
            </w:r>
            <w:proofErr w:type="gramEnd"/>
            <w:r w:rsidRPr="00414345">
              <w:rPr>
                <w:color w:val="000000"/>
                <w:kern w:val="0"/>
                <w:sz w:val="24"/>
                <w:szCs w:val="24"/>
              </w:rPr>
              <w:t>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1,217,120,234.14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A1D69" w:rsidRPr="00414345" w:rsidTr="004A1D6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A1D69" w:rsidRPr="00414345" w:rsidTr="004A1D6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301,723,811.67</w:t>
            </w:r>
          </w:p>
        </w:tc>
      </w:tr>
      <w:tr w:rsidR="004A1D69" w:rsidRPr="00414345" w:rsidTr="004A1D6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549,307,488.50</w:t>
            </w:r>
          </w:p>
        </w:tc>
      </w:tr>
      <w:tr w:rsidR="004A1D69" w:rsidRPr="00414345" w:rsidTr="004A1D6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0.4487</w:t>
            </w:r>
          </w:p>
        </w:tc>
      </w:tr>
      <w:tr w:rsidR="004A1D69" w:rsidRPr="00414345" w:rsidTr="004A1D6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6,713,594,414.49</w:t>
            </w:r>
          </w:p>
        </w:tc>
      </w:tr>
      <w:tr w:rsidR="004A1D69" w:rsidRPr="00414345" w:rsidTr="004A1D6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5.516</w:t>
            </w:r>
          </w:p>
        </w:tc>
      </w:tr>
    </w:tbl>
    <w:p w:rsidR="00845063" w:rsidRDefault="0057346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45063">
        <w:trPr>
          <w:jc w:val="center"/>
        </w:trPr>
        <w:tc>
          <w:tcPr>
            <w:tcW w:w="1701" w:type="dxa"/>
            <w:vAlign w:val="center"/>
          </w:tcPr>
          <w:p w:rsidR="00845063" w:rsidRDefault="00573464">
            <w:pPr>
              <w:jc w:val="left"/>
            </w:pPr>
            <w:r>
              <w:rPr>
                <w:color w:val="000000"/>
                <w:sz w:val="24"/>
                <w:szCs w:val="24"/>
              </w:rPr>
              <w:t>过去三个月</w:t>
            </w:r>
          </w:p>
        </w:tc>
        <w:tc>
          <w:tcPr>
            <w:tcW w:w="1045" w:type="dxa"/>
            <w:vAlign w:val="center"/>
          </w:tcPr>
          <w:p w:rsidR="00845063" w:rsidRDefault="00573464">
            <w:pPr>
              <w:jc w:val="center"/>
            </w:pPr>
            <w:r>
              <w:rPr>
                <w:color w:val="000000"/>
                <w:sz w:val="24"/>
                <w:szCs w:val="24"/>
              </w:rPr>
              <w:t>8.78%</w:t>
            </w:r>
          </w:p>
        </w:tc>
        <w:tc>
          <w:tcPr>
            <w:tcW w:w="1344" w:type="dxa"/>
            <w:vAlign w:val="center"/>
          </w:tcPr>
          <w:p w:rsidR="00845063" w:rsidRDefault="00573464">
            <w:pPr>
              <w:jc w:val="center"/>
            </w:pPr>
            <w:r>
              <w:rPr>
                <w:color w:val="000000"/>
                <w:sz w:val="24"/>
                <w:szCs w:val="24"/>
              </w:rPr>
              <w:t>0.89%</w:t>
            </w:r>
          </w:p>
        </w:tc>
        <w:tc>
          <w:tcPr>
            <w:tcW w:w="1194" w:type="dxa"/>
            <w:vAlign w:val="center"/>
          </w:tcPr>
          <w:p w:rsidR="00845063" w:rsidRDefault="00573464">
            <w:pPr>
              <w:jc w:val="center"/>
            </w:pPr>
            <w:r>
              <w:rPr>
                <w:color w:val="000000"/>
                <w:sz w:val="24"/>
                <w:szCs w:val="24"/>
              </w:rPr>
              <w:t>8.55%</w:t>
            </w:r>
          </w:p>
        </w:tc>
        <w:tc>
          <w:tcPr>
            <w:tcW w:w="1492" w:type="dxa"/>
            <w:vAlign w:val="center"/>
          </w:tcPr>
          <w:p w:rsidR="00845063" w:rsidRDefault="00573464">
            <w:pPr>
              <w:jc w:val="center"/>
            </w:pPr>
            <w:r>
              <w:rPr>
                <w:color w:val="000000"/>
                <w:sz w:val="24"/>
                <w:szCs w:val="24"/>
              </w:rPr>
              <w:t>0.59%</w:t>
            </w:r>
          </w:p>
        </w:tc>
        <w:tc>
          <w:tcPr>
            <w:tcW w:w="1194" w:type="dxa"/>
            <w:vAlign w:val="center"/>
          </w:tcPr>
          <w:p w:rsidR="00845063" w:rsidRDefault="00573464">
            <w:pPr>
              <w:jc w:val="center"/>
            </w:pPr>
            <w:r>
              <w:rPr>
                <w:color w:val="000000"/>
                <w:sz w:val="24"/>
                <w:szCs w:val="24"/>
              </w:rPr>
              <w:t>0.23%</w:t>
            </w:r>
          </w:p>
        </w:tc>
        <w:tc>
          <w:tcPr>
            <w:tcW w:w="898" w:type="dxa"/>
            <w:vAlign w:val="center"/>
          </w:tcPr>
          <w:p w:rsidR="00845063" w:rsidRDefault="00573464">
            <w:pPr>
              <w:jc w:val="center"/>
            </w:pPr>
            <w:r>
              <w:rPr>
                <w:color w:val="000000"/>
                <w:sz w:val="24"/>
                <w:szCs w:val="24"/>
              </w:rPr>
              <w:t>0.30%</w:t>
            </w:r>
          </w:p>
        </w:tc>
      </w:tr>
      <w:tr w:rsidR="00845063">
        <w:trPr>
          <w:jc w:val="center"/>
        </w:trPr>
        <w:tc>
          <w:tcPr>
            <w:tcW w:w="1701" w:type="dxa"/>
            <w:vAlign w:val="center"/>
          </w:tcPr>
          <w:p w:rsidR="00845063" w:rsidRDefault="00573464">
            <w:pPr>
              <w:jc w:val="left"/>
            </w:pPr>
            <w:r>
              <w:rPr>
                <w:color w:val="000000"/>
                <w:sz w:val="24"/>
                <w:szCs w:val="24"/>
              </w:rPr>
              <w:t>过去六个月</w:t>
            </w:r>
          </w:p>
        </w:tc>
        <w:tc>
          <w:tcPr>
            <w:tcW w:w="1045" w:type="dxa"/>
            <w:vAlign w:val="center"/>
          </w:tcPr>
          <w:p w:rsidR="00845063" w:rsidRDefault="00573464">
            <w:pPr>
              <w:jc w:val="center"/>
            </w:pPr>
            <w:r>
              <w:rPr>
                <w:color w:val="000000"/>
                <w:sz w:val="24"/>
                <w:szCs w:val="24"/>
              </w:rPr>
              <w:t>19.16%</w:t>
            </w:r>
          </w:p>
        </w:tc>
        <w:tc>
          <w:tcPr>
            <w:tcW w:w="1344" w:type="dxa"/>
            <w:vAlign w:val="center"/>
          </w:tcPr>
          <w:p w:rsidR="00845063" w:rsidRDefault="00573464">
            <w:pPr>
              <w:jc w:val="center"/>
            </w:pPr>
            <w:r>
              <w:rPr>
                <w:color w:val="000000"/>
                <w:sz w:val="24"/>
                <w:szCs w:val="24"/>
              </w:rPr>
              <w:t>1.08%</w:t>
            </w:r>
          </w:p>
        </w:tc>
        <w:tc>
          <w:tcPr>
            <w:tcW w:w="1194" w:type="dxa"/>
            <w:vAlign w:val="center"/>
          </w:tcPr>
          <w:p w:rsidR="00845063" w:rsidRDefault="00573464">
            <w:pPr>
              <w:jc w:val="center"/>
            </w:pPr>
            <w:r>
              <w:rPr>
                <w:color w:val="000000"/>
                <w:sz w:val="24"/>
                <w:szCs w:val="24"/>
              </w:rPr>
              <w:t>15.02%</w:t>
            </w:r>
          </w:p>
        </w:tc>
        <w:tc>
          <w:tcPr>
            <w:tcW w:w="1492" w:type="dxa"/>
            <w:vAlign w:val="center"/>
          </w:tcPr>
          <w:p w:rsidR="00845063" w:rsidRDefault="00573464">
            <w:pPr>
              <w:jc w:val="center"/>
            </w:pPr>
            <w:r>
              <w:rPr>
                <w:color w:val="000000"/>
                <w:sz w:val="24"/>
                <w:szCs w:val="24"/>
              </w:rPr>
              <w:t>0.80%</w:t>
            </w:r>
          </w:p>
        </w:tc>
        <w:tc>
          <w:tcPr>
            <w:tcW w:w="1194" w:type="dxa"/>
            <w:vAlign w:val="center"/>
          </w:tcPr>
          <w:p w:rsidR="00845063" w:rsidRDefault="00573464">
            <w:pPr>
              <w:jc w:val="center"/>
            </w:pPr>
            <w:r>
              <w:rPr>
                <w:color w:val="000000"/>
                <w:sz w:val="24"/>
                <w:szCs w:val="24"/>
              </w:rPr>
              <w:t>4.14%</w:t>
            </w:r>
          </w:p>
        </w:tc>
        <w:tc>
          <w:tcPr>
            <w:tcW w:w="898" w:type="dxa"/>
            <w:vAlign w:val="center"/>
          </w:tcPr>
          <w:p w:rsidR="00845063" w:rsidRDefault="00573464">
            <w:pPr>
              <w:jc w:val="center"/>
            </w:pPr>
            <w:r>
              <w:rPr>
                <w:color w:val="000000"/>
                <w:sz w:val="24"/>
                <w:szCs w:val="24"/>
              </w:rPr>
              <w:t>0.28%</w:t>
            </w:r>
          </w:p>
        </w:tc>
      </w:tr>
      <w:tr w:rsidR="00845063">
        <w:trPr>
          <w:jc w:val="center"/>
        </w:trPr>
        <w:tc>
          <w:tcPr>
            <w:tcW w:w="1701" w:type="dxa"/>
            <w:vAlign w:val="center"/>
          </w:tcPr>
          <w:p w:rsidR="00845063" w:rsidRDefault="00573464">
            <w:pPr>
              <w:jc w:val="left"/>
            </w:pPr>
            <w:r>
              <w:rPr>
                <w:color w:val="000000"/>
                <w:sz w:val="24"/>
                <w:szCs w:val="24"/>
              </w:rPr>
              <w:t>过去一年</w:t>
            </w:r>
          </w:p>
        </w:tc>
        <w:tc>
          <w:tcPr>
            <w:tcW w:w="1045" w:type="dxa"/>
            <w:vAlign w:val="center"/>
          </w:tcPr>
          <w:p w:rsidR="00845063" w:rsidRDefault="00573464">
            <w:pPr>
              <w:jc w:val="center"/>
            </w:pPr>
            <w:r>
              <w:rPr>
                <w:color w:val="000000"/>
                <w:sz w:val="24"/>
                <w:szCs w:val="24"/>
              </w:rPr>
              <w:t>35.93%</w:t>
            </w:r>
          </w:p>
        </w:tc>
        <w:tc>
          <w:tcPr>
            <w:tcW w:w="1344" w:type="dxa"/>
            <w:vAlign w:val="center"/>
          </w:tcPr>
          <w:p w:rsidR="00845063" w:rsidRDefault="00573464">
            <w:pPr>
              <w:jc w:val="center"/>
            </w:pPr>
            <w:r>
              <w:rPr>
                <w:color w:val="000000"/>
                <w:sz w:val="24"/>
                <w:szCs w:val="24"/>
              </w:rPr>
              <w:t>1.12%</w:t>
            </w:r>
          </w:p>
        </w:tc>
        <w:tc>
          <w:tcPr>
            <w:tcW w:w="1194" w:type="dxa"/>
            <w:vAlign w:val="center"/>
          </w:tcPr>
          <w:p w:rsidR="00845063" w:rsidRDefault="00573464">
            <w:pPr>
              <w:jc w:val="center"/>
            </w:pPr>
            <w:r>
              <w:rPr>
                <w:color w:val="000000"/>
                <w:sz w:val="24"/>
                <w:szCs w:val="24"/>
              </w:rPr>
              <w:t>17.63%</w:t>
            </w:r>
          </w:p>
        </w:tc>
        <w:tc>
          <w:tcPr>
            <w:tcW w:w="1492" w:type="dxa"/>
            <w:vAlign w:val="center"/>
          </w:tcPr>
          <w:p w:rsidR="00845063" w:rsidRDefault="00573464">
            <w:pPr>
              <w:jc w:val="center"/>
            </w:pPr>
            <w:r>
              <w:rPr>
                <w:color w:val="000000"/>
                <w:sz w:val="24"/>
                <w:szCs w:val="24"/>
              </w:rPr>
              <w:t>0.85%</w:t>
            </w:r>
          </w:p>
        </w:tc>
        <w:tc>
          <w:tcPr>
            <w:tcW w:w="1194" w:type="dxa"/>
            <w:vAlign w:val="center"/>
          </w:tcPr>
          <w:p w:rsidR="00845063" w:rsidRDefault="00573464">
            <w:pPr>
              <w:jc w:val="center"/>
            </w:pPr>
            <w:r>
              <w:rPr>
                <w:color w:val="000000"/>
                <w:sz w:val="24"/>
                <w:szCs w:val="24"/>
              </w:rPr>
              <w:t>18.30%</w:t>
            </w:r>
          </w:p>
        </w:tc>
        <w:tc>
          <w:tcPr>
            <w:tcW w:w="898" w:type="dxa"/>
            <w:vAlign w:val="center"/>
          </w:tcPr>
          <w:p w:rsidR="00845063" w:rsidRDefault="00573464">
            <w:pPr>
              <w:jc w:val="center"/>
            </w:pPr>
            <w:r>
              <w:rPr>
                <w:color w:val="000000"/>
                <w:sz w:val="24"/>
                <w:szCs w:val="24"/>
              </w:rPr>
              <w:t>0.27%</w:t>
            </w:r>
          </w:p>
        </w:tc>
      </w:tr>
      <w:tr w:rsidR="00845063">
        <w:trPr>
          <w:jc w:val="center"/>
        </w:trPr>
        <w:tc>
          <w:tcPr>
            <w:tcW w:w="1701" w:type="dxa"/>
            <w:vAlign w:val="center"/>
          </w:tcPr>
          <w:p w:rsidR="00845063" w:rsidRDefault="00573464">
            <w:pPr>
              <w:jc w:val="left"/>
            </w:pPr>
            <w:r>
              <w:rPr>
                <w:color w:val="000000"/>
                <w:sz w:val="24"/>
                <w:szCs w:val="24"/>
              </w:rPr>
              <w:t>过去三年</w:t>
            </w:r>
          </w:p>
        </w:tc>
        <w:tc>
          <w:tcPr>
            <w:tcW w:w="1045" w:type="dxa"/>
            <w:vAlign w:val="center"/>
          </w:tcPr>
          <w:p w:rsidR="00845063" w:rsidRDefault="00573464">
            <w:pPr>
              <w:jc w:val="center"/>
            </w:pPr>
            <w:r>
              <w:rPr>
                <w:color w:val="000000"/>
                <w:sz w:val="24"/>
                <w:szCs w:val="24"/>
              </w:rPr>
              <w:t>96.23%</w:t>
            </w:r>
          </w:p>
        </w:tc>
        <w:tc>
          <w:tcPr>
            <w:tcW w:w="1344" w:type="dxa"/>
            <w:vAlign w:val="center"/>
          </w:tcPr>
          <w:p w:rsidR="00845063" w:rsidRDefault="00573464">
            <w:pPr>
              <w:jc w:val="center"/>
            </w:pPr>
            <w:r>
              <w:rPr>
                <w:color w:val="000000"/>
                <w:sz w:val="24"/>
                <w:szCs w:val="24"/>
              </w:rPr>
              <w:t>1.22%</w:t>
            </w:r>
          </w:p>
        </w:tc>
        <w:tc>
          <w:tcPr>
            <w:tcW w:w="1194" w:type="dxa"/>
            <w:vAlign w:val="center"/>
          </w:tcPr>
          <w:p w:rsidR="00845063" w:rsidRDefault="00573464">
            <w:pPr>
              <w:jc w:val="center"/>
            </w:pPr>
            <w:r>
              <w:rPr>
                <w:color w:val="000000"/>
                <w:sz w:val="24"/>
                <w:szCs w:val="24"/>
              </w:rPr>
              <w:t>26.08%</w:t>
            </w:r>
          </w:p>
        </w:tc>
        <w:tc>
          <w:tcPr>
            <w:tcW w:w="1492" w:type="dxa"/>
            <w:vAlign w:val="center"/>
          </w:tcPr>
          <w:p w:rsidR="00845063" w:rsidRDefault="00573464">
            <w:pPr>
              <w:jc w:val="center"/>
            </w:pPr>
            <w:r>
              <w:rPr>
                <w:color w:val="000000"/>
                <w:sz w:val="24"/>
                <w:szCs w:val="24"/>
              </w:rPr>
              <w:t>0.80%</w:t>
            </w:r>
          </w:p>
        </w:tc>
        <w:tc>
          <w:tcPr>
            <w:tcW w:w="1194" w:type="dxa"/>
            <w:vAlign w:val="center"/>
          </w:tcPr>
          <w:p w:rsidR="00845063" w:rsidRDefault="00573464">
            <w:pPr>
              <w:jc w:val="center"/>
            </w:pPr>
            <w:r>
              <w:rPr>
                <w:color w:val="000000"/>
                <w:sz w:val="24"/>
                <w:szCs w:val="24"/>
              </w:rPr>
              <w:t>70.15%</w:t>
            </w:r>
          </w:p>
        </w:tc>
        <w:tc>
          <w:tcPr>
            <w:tcW w:w="898" w:type="dxa"/>
            <w:vAlign w:val="center"/>
          </w:tcPr>
          <w:p w:rsidR="00845063" w:rsidRDefault="00573464">
            <w:pPr>
              <w:jc w:val="center"/>
            </w:pPr>
            <w:r>
              <w:rPr>
                <w:color w:val="000000"/>
                <w:sz w:val="24"/>
                <w:szCs w:val="24"/>
              </w:rPr>
              <w:t>0.42%</w:t>
            </w:r>
          </w:p>
        </w:tc>
      </w:tr>
      <w:tr w:rsidR="00845063">
        <w:trPr>
          <w:jc w:val="center"/>
        </w:trPr>
        <w:tc>
          <w:tcPr>
            <w:tcW w:w="1701" w:type="dxa"/>
            <w:vAlign w:val="center"/>
          </w:tcPr>
          <w:p w:rsidR="00845063" w:rsidRDefault="00573464">
            <w:pPr>
              <w:jc w:val="left"/>
            </w:pPr>
            <w:r>
              <w:rPr>
                <w:color w:val="000000"/>
                <w:sz w:val="24"/>
                <w:szCs w:val="24"/>
              </w:rPr>
              <w:t>过去五年</w:t>
            </w:r>
          </w:p>
        </w:tc>
        <w:tc>
          <w:tcPr>
            <w:tcW w:w="1045" w:type="dxa"/>
            <w:vAlign w:val="center"/>
          </w:tcPr>
          <w:p w:rsidR="00845063" w:rsidRDefault="00573464">
            <w:pPr>
              <w:jc w:val="center"/>
            </w:pPr>
            <w:r>
              <w:rPr>
                <w:color w:val="000000"/>
                <w:sz w:val="24"/>
                <w:szCs w:val="24"/>
              </w:rPr>
              <w:t>127.55</w:t>
            </w:r>
            <w:r>
              <w:rPr>
                <w:color w:val="000000"/>
                <w:sz w:val="24"/>
                <w:szCs w:val="24"/>
              </w:rPr>
              <w:lastRenderedPageBreak/>
              <w:t>%</w:t>
            </w:r>
          </w:p>
        </w:tc>
        <w:tc>
          <w:tcPr>
            <w:tcW w:w="1344" w:type="dxa"/>
            <w:vAlign w:val="center"/>
          </w:tcPr>
          <w:p w:rsidR="00845063" w:rsidRDefault="00573464">
            <w:pPr>
              <w:jc w:val="center"/>
            </w:pPr>
            <w:r>
              <w:rPr>
                <w:color w:val="000000"/>
                <w:sz w:val="24"/>
                <w:szCs w:val="24"/>
              </w:rPr>
              <w:lastRenderedPageBreak/>
              <w:t>1.20%</w:t>
            </w:r>
          </w:p>
        </w:tc>
        <w:tc>
          <w:tcPr>
            <w:tcW w:w="1194" w:type="dxa"/>
            <w:vAlign w:val="center"/>
          </w:tcPr>
          <w:p w:rsidR="00845063" w:rsidRDefault="00573464">
            <w:pPr>
              <w:jc w:val="center"/>
            </w:pPr>
            <w:r>
              <w:rPr>
                <w:color w:val="000000"/>
                <w:sz w:val="24"/>
                <w:szCs w:val="24"/>
              </w:rPr>
              <w:t>34.27%</w:t>
            </w:r>
          </w:p>
        </w:tc>
        <w:tc>
          <w:tcPr>
            <w:tcW w:w="1492" w:type="dxa"/>
            <w:vAlign w:val="center"/>
          </w:tcPr>
          <w:p w:rsidR="00845063" w:rsidRDefault="00573464">
            <w:pPr>
              <w:jc w:val="center"/>
            </w:pPr>
            <w:r>
              <w:rPr>
                <w:color w:val="000000"/>
                <w:sz w:val="24"/>
                <w:szCs w:val="24"/>
              </w:rPr>
              <w:t>0.75%</w:t>
            </w:r>
          </w:p>
        </w:tc>
        <w:tc>
          <w:tcPr>
            <w:tcW w:w="1194" w:type="dxa"/>
            <w:vAlign w:val="center"/>
          </w:tcPr>
          <w:p w:rsidR="00845063" w:rsidRDefault="00573464">
            <w:pPr>
              <w:jc w:val="center"/>
            </w:pPr>
            <w:r>
              <w:rPr>
                <w:color w:val="000000"/>
                <w:sz w:val="24"/>
                <w:szCs w:val="24"/>
              </w:rPr>
              <w:t>93.28%</w:t>
            </w:r>
          </w:p>
        </w:tc>
        <w:tc>
          <w:tcPr>
            <w:tcW w:w="898" w:type="dxa"/>
            <w:vAlign w:val="center"/>
          </w:tcPr>
          <w:p w:rsidR="00845063" w:rsidRDefault="00573464">
            <w:pPr>
              <w:jc w:val="center"/>
            </w:pPr>
            <w:r>
              <w:rPr>
                <w:color w:val="000000"/>
                <w:sz w:val="24"/>
                <w:szCs w:val="24"/>
              </w:rPr>
              <w:t>0.45%</w:t>
            </w:r>
          </w:p>
        </w:tc>
      </w:tr>
      <w:tr w:rsidR="00845063">
        <w:trPr>
          <w:jc w:val="center"/>
        </w:trPr>
        <w:tc>
          <w:tcPr>
            <w:tcW w:w="1701" w:type="dxa"/>
            <w:vAlign w:val="center"/>
          </w:tcPr>
          <w:p w:rsidR="00845063" w:rsidRDefault="00573464">
            <w:pPr>
              <w:jc w:val="left"/>
            </w:pPr>
            <w:r>
              <w:rPr>
                <w:color w:val="000000"/>
                <w:sz w:val="24"/>
                <w:szCs w:val="24"/>
              </w:rPr>
              <w:t>自基金转型起至今</w:t>
            </w:r>
          </w:p>
        </w:tc>
        <w:tc>
          <w:tcPr>
            <w:tcW w:w="1045" w:type="dxa"/>
            <w:vAlign w:val="center"/>
          </w:tcPr>
          <w:p w:rsidR="00845063" w:rsidRDefault="00573464">
            <w:pPr>
              <w:jc w:val="center"/>
            </w:pPr>
            <w:r>
              <w:rPr>
                <w:color w:val="000000"/>
                <w:sz w:val="24"/>
                <w:szCs w:val="24"/>
              </w:rPr>
              <w:t>518.95%</w:t>
            </w:r>
          </w:p>
        </w:tc>
        <w:tc>
          <w:tcPr>
            <w:tcW w:w="1344" w:type="dxa"/>
            <w:vAlign w:val="center"/>
          </w:tcPr>
          <w:p w:rsidR="00845063" w:rsidRDefault="00573464">
            <w:pPr>
              <w:jc w:val="center"/>
            </w:pPr>
            <w:r>
              <w:rPr>
                <w:color w:val="000000"/>
                <w:sz w:val="24"/>
                <w:szCs w:val="24"/>
              </w:rPr>
              <w:t>1.28%</w:t>
            </w:r>
          </w:p>
        </w:tc>
        <w:tc>
          <w:tcPr>
            <w:tcW w:w="1194" w:type="dxa"/>
            <w:vAlign w:val="center"/>
          </w:tcPr>
          <w:p w:rsidR="00845063" w:rsidRDefault="00573464">
            <w:pPr>
              <w:jc w:val="center"/>
            </w:pPr>
            <w:r>
              <w:rPr>
                <w:color w:val="000000"/>
                <w:sz w:val="24"/>
                <w:szCs w:val="24"/>
              </w:rPr>
              <w:t>91.70%</w:t>
            </w:r>
          </w:p>
        </w:tc>
        <w:tc>
          <w:tcPr>
            <w:tcW w:w="1492" w:type="dxa"/>
            <w:vAlign w:val="center"/>
          </w:tcPr>
          <w:p w:rsidR="00845063" w:rsidRDefault="00573464">
            <w:pPr>
              <w:jc w:val="center"/>
            </w:pPr>
            <w:r>
              <w:rPr>
                <w:color w:val="000000"/>
                <w:sz w:val="24"/>
                <w:szCs w:val="24"/>
              </w:rPr>
              <w:t>0.87%</w:t>
            </w:r>
          </w:p>
        </w:tc>
        <w:tc>
          <w:tcPr>
            <w:tcW w:w="1194" w:type="dxa"/>
            <w:vAlign w:val="center"/>
          </w:tcPr>
          <w:p w:rsidR="00845063" w:rsidRDefault="00573464">
            <w:pPr>
              <w:jc w:val="center"/>
            </w:pPr>
            <w:r>
              <w:rPr>
                <w:color w:val="000000"/>
                <w:sz w:val="24"/>
                <w:szCs w:val="24"/>
              </w:rPr>
              <w:t>427.25%</w:t>
            </w:r>
          </w:p>
        </w:tc>
        <w:tc>
          <w:tcPr>
            <w:tcW w:w="898" w:type="dxa"/>
            <w:vAlign w:val="center"/>
          </w:tcPr>
          <w:p w:rsidR="00845063" w:rsidRDefault="00573464">
            <w:pPr>
              <w:jc w:val="center"/>
            </w:pPr>
            <w:r>
              <w:rPr>
                <w:color w:val="000000"/>
                <w:sz w:val="24"/>
                <w:szCs w:val="24"/>
              </w:rPr>
              <w:t>0.41%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w:t>
      </w:r>
      <w:proofErr w:type="gramStart"/>
      <w:r w:rsidRPr="00414345">
        <w:rPr>
          <w:color w:val="000000"/>
          <w:sz w:val="24"/>
          <w:szCs w:val="24"/>
        </w:rPr>
        <w:t>转型日</w:t>
      </w:r>
      <w:proofErr w:type="gramEnd"/>
      <w:r w:rsidRPr="00414345">
        <w:rPr>
          <w:color w:val="000000"/>
          <w:sz w:val="24"/>
          <w:szCs w:val="24"/>
        </w:rPr>
        <w:t>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45063">
        <w:trPr>
          <w:jc w:val="center"/>
        </w:trPr>
        <w:tc>
          <w:tcPr>
            <w:tcW w:w="846" w:type="dxa"/>
            <w:vAlign w:val="center"/>
          </w:tcPr>
          <w:p w:rsidR="00845063" w:rsidRDefault="00573464">
            <w:pPr>
              <w:jc w:val="center"/>
            </w:pPr>
            <w:proofErr w:type="gramStart"/>
            <w:r>
              <w:rPr>
                <w:color w:val="000000"/>
                <w:sz w:val="24"/>
                <w:szCs w:val="24"/>
              </w:rPr>
              <w:t>何帅</w:t>
            </w:r>
            <w:proofErr w:type="gramEnd"/>
          </w:p>
        </w:tc>
        <w:tc>
          <w:tcPr>
            <w:tcW w:w="845" w:type="dxa"/>
            <w:vAlign w:val="center"/>
          </w:tcPr>
          <w:p w:rsidR="00845063" w:rsidRDefault="00573464">
            <w:pPr>
              <w:jc w:val="center"/>
            </w:pPr>
            <w:r>
              <w:rPr>
                <w:color w:val="000000"/>
                <w:sz w:val="24"/>
                <w:szCs w:val="24"/>
              </w:rPr>
              <w:t>交</w:t>
            </w:r>
            <w:proofErr w:type="gramStart"/>
            <w:r>
              <w:rPr>
                <w:color w:val="000000"/>
                <w:sz w:val="24"/>
                <w:szCs w:val="24"/>
              </w:rPr>
              <w:t>银优势</w:t>
            </w:r>
            <w:proofErr w:type="gramEnd"/>
            <w:r>
              <w:rPr>
                <w:color w:val="000000"/>
                <w:sz w:val="24"/>
                <w:szCs w:val="24"/>
              </w:rPr>
              <w:t>行业混合、交</w:t>
            </w:r>
            <w:proofErr w:type="gramStart"/>
            <w:r>
              <w:rPr>
                <w:color w:val="000000"/>
                <w:sz w:val="24"/>
                <w:szCs w:val="24"/>
              </w:rPr>
              <w:t>银阿尔法核心混合</w:t>
            </w:r>
            <w:proofErr w:type="gramEnd"/>
            <w:r>
              <w:rPr>
                <w:color w:val="000000"/>
                <w:sz w:val="24"/>
                <w:szCs w:val="24"/>
              </w:rPr>
              <w:t>、交</w:t>
            </w:r>
            <w:proofErr w:type="gramStart"/>
            <w:r>
              <w:rPr>
                <w:color w:val="000000"/>
                <w:sz w:val="24"/>
                <w:szCs w:val="24"/>
              </w:rPr>
              <w:t>银持续</w:t>
            </w:r>
            <w:proofErr w:type="gramEnd"/>
            <w:r>
              <w:rPr>
                <w:color w:val="000000"/>
                <w:sz w:val="24"/>
                <w:szCs w:val="24"/>
              </w:rPr>
              <w:t>成长主题混合的基金经理</w:t>
            </w:r>
          </w:p>
        </w:tc>
        <w:tc>
          <w:tcPr>
            <w:tcW w:w="1549" w:type="dxa"/>
            <w:vAlign w:val="center"/>
          </w:tcPr>
          <w:p w:rsidR="00845063" w:rsidRDefault="00573464">
            <w:pPr>
              <w:jc w:val="center"/>
            </w:pPr>
            <w:r>
              <w:rPr>
                <w:color w:val="000000"/>
                <w:sz w:val="24"/>
                <w:szCs w:val="24"/>
              </w:rPr>
              <w:t>2015-07-09</w:t>
            </w:r>
          </w:p>
        </w:tc>
        <w:tc>
          <w:tcPr>
            <w:tcW w:w="1548" w:type="dxa"/>
            <w:vAlign w:val="center"/>
          </w:tcPr>
          <w:p w:rsidR="00845063" w:rsidRDefault="00573464">
            <w:pPr>
              <w:jc w:val="center"/>
            </w:pPr>
            <w:r>
              <w:rPr>
                <w:color w:val="000000"/>
                <w:sz w:val="24"/>
                <w:szCs w:val="24"/>
              </w:rPr>
              <w:t>-</w:t>
            </w:r>
          </w:p>
        </w:tc>
        <w:tc>
          <w:tcPr>
            <w:tcW w:w="1407" w:type="dxa"/>
            <w:vAlign w:val="center"/>
          </w:tcPr>
          <w:p w:rsidR="00845063" w:rsidRDefault="00573464">
            <w:pPr>
              <w:jc w:val="center"/>
            </w:pPr>
            <w:r>
              <w:rPr>
                <w:color w:val="000000"/>
                <w:sz w:val="24"/>
                <w:szCs w:val="24"/>
              </w:rPr>
              <w:t>10</w:t>
            </w:r>
            <w:r>
              <w:rPr>
                <w:color w:val="000000"/>
                <w:sz w:val="24"/>
                <w:szCs w:val="24"/>
              </w:rPr>
              <w:t>年</w:t>
            </w:r>
          </w:p>
        </w:tc>
        <w:tc>
          <w:tcPr>
            <w:tcW w:w="2673" w:type="dxa"/>
            <w:vAlign w:val="center"/>
          </w:tcPr>
          <w:p w:rsidR="00845063" w:rsidRDefault="00573464">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45063" w:rsidRDefault="0057346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845063" w:rsidRDefault="0057346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w:t>
      </w:r>
      <w:r>
        <w:rPr>
          <w:color w:val="000000"/>
          <w:sz w:val="24"/>
          <w:szCs w:val="24"/>
        </w:rPr>
        <w:t>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845063" w:rsidRDefault="00573464">
      <w:pPr>
        <w:spacing w:before="29" w:line="288" w:lineRule="auto"/>
        <w:ind w:firstLineChars="200" w:firstLine="480"/>
        <w:rPr>
          <w:color w:val="000000"/>
          <w:sz w:val="24"/>
          <w:szCs w:val="24"/>
        </w:rPr>
      </w:pPr>
      <w:r>
        <w:rPr>
          <w:color w:val="000000"/>
          <w:sz w:val="24"/>
          <w:szCs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w:t>
      </w:r>
      <w:r>
        <w:rPr>
          <w:color w:val="000000"/>
          <w:sz w:val="24"/>
          <w:szCs w:val="24"/>
        </w:rPr>
        <w:t>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45063" w:rsidRDefault="00573464">
      <w:pPr>
        <w:spacing w:before="29" w:line="288" w:lineRule="auto"/>
        <w:ind w:firstLineChars="200" w:firstLine="480"/>
        <w:rPr>
          <w:color w:val="000000"/>
          <w:sz w:val="24"/>
          <w:szCs w:val="24"/>
        </w:rPr>
      </w:pPr>
      <w:r>
        <w:rPr>
          <w:color w:val="000000"/>
          <w:sz w:val="24"/>
          <w:szCs w:val="24"/>
        </w:rPr>
        <w:t>2020</w:t>
      </w:r>
      <w:r>
        <w:rPr>
          <w:color w:val="000000"/>
          <w:sz w:val="24"/>
          <w:szCs w:val="24"/>
        </w:rPr>
        <w:t>年四季度市场分化明显，景气度较高的行业如军工、新能源车以及白酒等</w:t>
      </w:r>
      <w:proofErr w:type="gramStart"/>
      <w:r>
        <w:rPr>
          <w:color w:val="000000"/>
          <w:sz w:val="24"/>
          <w:szCs w:val="24"/>
        </w:rPr>
        <w:t>行业涨幅</w:t>
      </w:r>
      <w:proofErr w:type="gramEnd"/>
      <w:r>
        <w:rPr>
          <w:color w:val="000000"/>
          <w:sz w:val="24"/>
          <w:szCs w:val="24"/>
        </w:rPr>
        <w:t>明显，而低估值板块依然表现不佳，如地产、银行等。</w:t>
      </w:r>
    </w:p>
    <w:p w:rsidR="00845063" w:rsidRDefault="00573464">
      <w:pPr>
        <w:spacing w:before="29" w:line="288" w:lineRule="auto"/>
        <w:ind w:firstLineChars="200" w:firstLine="480"/>
        <w:rPr>
          <w:color w:val="000000"/>
          <w:sz w:val="24"/>
          <w:szCs w:val="24"/>
        </w:rPr>
      </w:pPr>
      <w:r>
        <w:rPr>
          <w:color w:val="000000"/>
          <w:sz w:val="24"/>
          <w:szCs w:val="24"/>
        </w:rPr>
        <w:t>国内经济在四季度继续回暖，货币政策从相对宽裕转向相对稳定。市场中不少中小型公司估值回落明显，资金向更少数的行业和公司集中。本基金整体持仓变化不大，适当增加了新能源行业以及如精细化工类的制造业配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2021</w:t>
      </w:r>
      <w:r w:rsidRPr="00414345">
        <w:rPr>
          <w:color w:val="000000"/>
          <w:sz w:val="24"/>
          <w:szCs w:val="24"/>
        </w:rPr>
        <w:t>年一季度，我们计划围绕两个方向展开，首先是基本面非常强劲的新兴行业，并且我们希望公司的估值没有透支未来</w:t>
      </w:r>
      <w:r w:rsidRPr="00414345">
        <w:rPr>
          <w:color w:val="000000"/>
          <w:sz w:val="24"/>
          <w:szCs w:val="24"/>
        </w:rPr>
        <w:t>3</w:t>
      </w:r>
      <w:r w:rsidRPr="00414345">
        <w:rPr>
          <w:color w:val="000000"/>
          <w:sz w:val="24"/>
          <w:szCs w:val="24"/>
        </w:rPr>
        <w:t>到</w:t>
      </w:r>
      <w:r w:rsidRPr="00414345">
        <w:rPr>
          <w:color w:val="000000"/>
          <w:sz w:val="24"/>
          <w:szCs w:val="24"/>
        </w:rPr>
        <w:t>5</w:t>
      </w:r>
      <w:r w:rsidRPr="00414345">
        <w:rPr>
          <w:color w:val="000000"/>
          <w:sz w:val="24"/>
          <w:szCs w:val="24"/>
        </w:rPr>
        <w:t>年的增长预期。然后，我们依然坚持要回到资产本身，挖掘市场</w:t>
      </w:r>
      <w:r w:rsidRPr="00414345">
        <w:rPr>
          <w:color w:val="000000"/>
          <w:sz w:val="24"/>
          <w:szCs w:val="24"/>
        </w:rPr>
        <w:t>“</w:t>
      </w:r>
      <w:r w:rsidRPr="00414345">
        <w:rPr>
          <w:color w:val="000000"/>
          <w:sz w:val="24"/>
          <w:szCs w:val="24"/>
        </w:rPr>
        <w:t>抛弃</w:t>
      </w:r>
      <w:r w:rsidRPr="00414345">
        <w:rPr>
          <w:color w:val="000000"/>
          <w:sz w:val="24"/>
          <w:szCs w:val="24"/>
        </w:rPr>
        <w:t>”</w:t>
      </w:r>
      <w:r w:rsidRPr="00414345">
        <w:rPr>
          <w:color w:val="000000"/>
          <w:sz w:val="24"/>
          <w:szCs w:val="24"/>
        </w:rPr>
        <w:t>的公司中，是否存在未来预期收益率较高并且安全边际很足的资产。</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5,284,849,104.86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77.65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5,284,849,104.86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77.65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319,646,000.00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319,646,000.00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1,141,076,286.03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16.77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60,453,622.90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0.89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6,806,025,013.79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3,059,383,674.09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28,316,939.72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298,331,324.23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531,411,720.57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151,844,085.60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1,178,335,443.26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15,649.20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221,115.70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36,989,152.49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5,284,849,104.86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78.72</w:t>
            </w:r>
          </w:p>
        </w:tc>
      </w:tr>
    </w:tbl>
    <w:p w:rsidR="004A1D69" w:rsidRDefault="004A1D69"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45063">
        <w:trPr>
          <w:jc w:val="center"/>
        </w:trPr>
        <w:tc>
          <w:tcPr>
            <w:tcW w:w="855" w:type="dxa"/>
            <w:vAlign w:val="center"/>
          </w:tcPr>
          <w:p w:rsidR="00845063" w:rsidRDefault="00573464">
            <w:pPr>
              <w:jc w:val="center"/>
            </w:pPr>
            <w:r>
              <w:rPr>
                <w:color w:val="000000"/>
                <w:sz w:val="24"/>
                <w:szCs w:val="24"/>
              </w:rPr>
              <w:t>1</w:t>
            </w:r>
          </w:p>
        </w:tc>
        <w:tc>
          <w:tcPr>
            <w:tcW w:w="1334" w:type="dxa"/>
            <w:vAlign w:val="center"/>
          </w:tcPr>
          <w:p w:rsidR="00845063" w:rsidRDefault="00573464">
            <w:pPr>
              <w:jc w:val="center"/>
            </w:pPr>
            <w:r>
              <w:rPr>
                <w:color w:val="000000"/>
                <w:sz w:val="24"/>
                <w:szCs w:val="24"/>
              </w:rPr>
              <w:t>002050</w:t>
            </w:r>
          </w:p>
        </w:tc>
        <w:tc>
          <w:tcPr>
            <w:tcW w:w="1777" w:type="dxa"/>
            <w:vAlign w:val="center"/>
          </w:tcPr>
          <w:p w:rsidR="00845063" w:rsidRDefault="00573464">
            <w:pPr>
              <w:jc w:val="center"/>
            </w:pPr>
            <w:r>
              <w:rPr>
                <w:color w:val="000000"/>
                <w:sz w:val="24"/>
                <w:szCs w:val="24"/>
              </w:rPr>
              <w:t>三</w:t>
            </w:r>
            <w:proofErr w:type="gramStart"/>
            <w:r>
              <w:rPr>
                <w:color w:val="000000"/>
                <w:sz w:val="24"/>
                <w:szCs w:val="24"/>
              </w:rPr>
              <w:t>花智控</w:t>
            </w:r>
            <w:proofErr w:type="gramEnd"/>
          </w:p>
        </w:tc>
        <w:tc>
          <w:tcPr>
            <w:tcW w:w="1334" w:type="dxa"/>
            <w:vAlign w:val="center"/>
          </w:tcPr>
          <w:p w:rsidR="00845063" w:rsidRDefault="00573464">
            <w:pPr>
              <w:jc w:val="right"/>
            </w:pPr>
            <w:r>
              <w:rPr>
                <w:color w:val="000000"/>
                <w:sz w:val="24"/>
                <w:szCs w:val="24"/>
              </w:rPr>
              <w:t>22,846,399</w:t>
            </w:r>
          </w:p>
        </w:tc>
        <w:tc>
          <w:tcPr>
            <w:tcW w:w="1924" w:type="dxa"/>
            <w:vAlign w:val="center"/>
          </w:tcPr>
          <w:p w:rsidR="00845063" w:rsidRDefault="00573464">
            <w:pPr>
              <w:jc w:val="right"/>
            </w:pPr>
            <w:r>
              <w:rPr>
                <w:color w:val="000000"/>
                <w:sz w:val="24"/>
                <w:szCs w:val="24"/>
              </w:rPr>
              <w:t>563,163,735.35</w:t>
            </w:r>
          </w:p>
        </w:tc>
        <w:tc>
          <w:tcPr>
            <w:tcW w:w="1644" w:type="dxa"/>
            <w:vAlign w:val="center"/>
          </w:tcPr>
          <w:p w:rsidR="00845063" w:rsidRDefault="00573464">
            <w:pPr>
              <w:jc w:val="right"/>
            </w:pPr>
            <w:r>
              <w:rPr>
                <w:color w:val="000000"/>
                <w:sz w:val="24"/>
                <w:szCs w:val="24"/>
              </w:rPr>
              <w:t>8.39</w:t>
            </w:r>
          </w:p>
        </w:tc>
      </w:tr>
      <w:tr w:rsidR="00845063">
        <w:trPr>
          <w:jc w:val="center"/>
        </w:trPr>
        <w:tc>
          <w:tcPr>
            <w:tcW w:w="855" w:type="dxa"/>
            <w:vAlign w:val="center"/>
          </w:tcPr>
          <w:p w:rsidR="00845063" w:rsidRDefault="00573464">
            <w:pPr>
              <w:jc w:val="center"/>
            </w:pPr>
            <w:r>
              <w:rPr>
                <w:color w:val="000000"/>
                <w:sz w:val="24"/>
                <w:szCs w:val="24"/>
              </w:rPr>
              <w:t>2</w:t>
            </w:r>
          </w:p>
        </w:tc>
        <w:tc>
          <w:tcPr>
            <w:tcW w:w="1334" w:type="dxa"/>
            <w:vAlign w:val="center"/>
          </w:tcPr>
          <w:p w:rsidR="00845063" w:rsidRDefault="00573464">
            <w:pPr>
              <w:jc w:val="center"/>
            </w:pPr>
            <w:r>
              <w:rPr>
                <w:color w:val="000000"/>
                <w:sz w:val="24"/>
                <w:szCs w:val="24"/>
              </w:rPr>
              <w:t>000002</w:t>
            </w:r>
          </w:p>
        </w:tc>
        <w:tc>
          <w:tcPr>
            <w:tcW w:w="1777" w:type="dxa"/>
            <w:vAlign w:val="center"/>
          </w:tcPr>
          <w:p w:rsidR="00845063" w:rsidRDefault="00573464">
            <w:pPr>
              <w:jc w:val="center"/>
            </w:pPr>
            <w:r>
              <w:rPr>
                <w:color w:val="000000"/>
                <w:sz w:val="24"/>
                <w:szCs w:val="24"/>
              </w:rPr>
              <w:t>万科</w:t>
            </w:r>
            <w:r>
              <w:rPr>
                <w:color w:val="000000"/>
                <w:sz w:val="24"/>
                <w:szCs w:val="24"/>
              </w:rPr>
              <w:t>A</w:t>
            </w:r>
          </w:p>
        </w:tc>
        <w:tc>
          <w:tcPr>
            <w:tcW w:w="1334" w:type="dxa"/>
            <w:vAlign w:val="center"/>
          </w:tcPr>
          <w:p w:rsidR="00845063" w:rsidRDefault="00573464">
            <w:pPr>
              <w:jc w:val="right"/>
            </w:pPr>
            <w:r>
              <w:rPr>
                <w:color w:val="000000"/>
                <w:sz w:val="24"/>
                <w:szCs w:val="24"/>
              </w:rPr>
              <w:t>18,795,591</w:t>
            </w:r>
          </w:p>
        </w:tc>
        <w:tc>
          <w:tcPr>
            <w:tcW w:w="1924" w:type="dxa"/>
            <w:vAlign w:val="center"/>
          </w:tcPr>
          <w:p w:rsidR="00845063" w:rsidRDefault="00573464">
            <w:pPr>
              <w:jc w:val="right"/>
            </w:pPr>
            <w:r>
              <w:rPr>
                <w:color w:val="000000"/>
                <w:sz w:val="24"/>
                <w:szCs w:val="24"/>
              </w:rPr>
              <w:t>539,433,461.70</w:t>
            </w:r>
          </w:p>
        </w:tc>
        <w:tc>
          <w:tcPr>
            <w:tcW w:w="1644" w:type="dxa"/>
            <w:vAlign w:val="center"/>
          </w:tcPr>
          <w:p w:rsidR="00845063" w:rsidRDefault="00573464">
            <w:pPr>
              <w:jc w:val="right"/>
            </w:pPr>
            <w:r>
              <w:rPr>
                <w:color w:val="000000"/>
                <w:sz w:val="24"/>
                <w:szCs w:val="24"/>
              </w:rPr>
              <w:t>8.03</w:t>
            </w:r>
          </w:p>
        </w:tc>
      </w:tr>
      <w:tr w:rsidR="00845063">
        <w:trPr>
          <w:jc w:val="center"/>
        </w:trPr>
        <w:tc>
          <w:tcPr>
            <w:tcW w:w="855" w:type="dxa"/>
            <w:vAlign w:val="center"/>
          </w:tcPr>
          <w:p w:rsidR="00845063" w:rsidRDefault="00573464">
            <w:pPr>
              <w:jc w:val="center"/>
            </w:pPr>
            <w:r>
              <w:rPr>
                <w:color w:val="000000"/>
                <w:sz w:val="24"/>
                <w:szCs w:val="24"/>
              </w:rPr>
              <w:t>3</w:t>
            </w:r>
          </w:p>
        </w:tc>
        <w:tc>
          <w:tcPr>
            <w:tcW w:w="1334" w:type="dxa"/>
            <w:vAlign w:val="center"/>
          </w:tcPr>
          <w:p w:rsidR="00845063" w:rsidRDefault="00573464">
            <w:pPr>
              <w:jc w:val="center"/>
            </w:pPr>
            <w:r>
              <w:rPr>
                <w:color w:val="000000"/>
                <w:sz w:val="24"/>
                <w:szCs w:val="24"/>
              </w:rPr>
              <w:t>002049</w:t>
            </w:r>
          </w:p>
        </w:tc>
        <w:tc>
          <w:tcPr>
            <w:tcW w:w="1777" w:type="dxa"/>
            <w:vAlign w:val="center"/>
          </w:tcPr>
          <w:p w:rsidR="00845063" w:rsidRDefault="00573464">
            <w:pPr>
              <w:jc w:val="center"/>
            </w:pPr>
            <w:proofErr w:type="gramStart"/>
            <w:r>
              <w:rPr>
                <w:color w:val="000000"/>
                <w:sz w:val="24"/>
                <w:szCs w:val="24"/>
              </w:rPr>
              <w:t>紫光国微</w:t>
            </w:r>
            <w:proofErr w:type="gramEnd"/>
          </w:p>
        </w:tc>
        <w:tc>
          <w:tcPr>
            <w:tcW w:w="1334" w:type="dxa"/>
            <w:vAlign w:val="center"/>
          </w:tcPr>
          <w:p w:rsidR="00845063" w:rsidRDefault="00573464">
            <w:pPr>
              <w:jc w:val="right"/>
            </w:pPr>
            <w:r>
              <w:rPr>
                <w:color w:val="000000"/>
                <w:sz w:val="24"/>
                <w:szCs w:val="24"/>
              </w:rPr>
              <w:t>2,416,544</w:t>
            </w:r>
          </w:p>
        </w:tc>
        <w:tc>
          <w:tcPr>
            <w:tcW w:w="1924" w:type="dxa"/>
            <w:vAlign w:val="center"/>
          </w:tcPr>
          <w:p w:rsidR="00845063" w:rsidRDefault="00573464">
            <w:pPr>
              <w:jc w:val="right"/>
            </w:pPr>
            <w:r>
              <w:rPr>
                <w:color w:val="000000"/>
                <w:sz w:val="24"/>
                <w:szCs w:val="24"/>
              </w:rPr>
              <w:t>323,357,752.64</w:t>
            </w:r>
          </w:p>
        </w:tc>
        <w:tc>
          <w:tcPr>
            <w:tcW w:w="1644" w:type="dxa"/>
            <w:vAlign w:val="center"/>
          </w:tcPr>
          <w:p w:rsidR="00845063" w:rsidRDefault="00573464">
            <w:pPr>
              <w:jc w:val="right"/>
            </w:pPr>
            <w:r>
              <w:rPr>
                <w:color w:val="000000"/>
                <w:sz w:val="24"/>
                <w:szCs w:val="24"/>
              </w:rPr>
              <w:t>4.82</w:t>
            </w:r>
          </w:p>
        </w:tc>
      </w:tr>
      <w:tr w:rsidR="00845063">
        <w:trPr>
          <w:jc w:val="center"/>
        </w:trPr>
        <w:tc>
          <w:tcPr>
            <w:tcW w:w="855" w:type="dxa"/>
            <w:vAlign w:val="center"/>
          </w:tcPr>
          <w:p w:rsidR="00845063" w:rsidRDefault="00573464">
            <w:pPr>
              <w:jc w:val="center"/>
            </w:pPr>
            <w:r>
              <w:rPr>
                <w:color w:val="000000"/>
                <w:sz w:val="24"/>
                <w:szCs w:val="24"/>
              </w:rPr>
              <w:t>4</w:t>
            </w:r>
          </w:p>
        </w:tc>
        <w:tc>
          <w:tcPr>
            <w:tcW w:w="1334" w:type="dxa"/>
            <w:vAlign w:val="center"/>
          </w:tcPr>
          <w:p w:rsidR="00845063" w:rsidRDefault="00573464">
            <w:pPr>
              <w:jc w:val="center"/>
            </w:pPr>
            <w:r>
              <w:rPr>
                <w:color w:val="000000"/>
                <w:sz w:val="24"/>
                <w:szCs w:val="24"/>
              </w:rPr>
              <w:t>300271</w:t>
            </w:r>
          </w:p>
        </w:tc>
        <w:tc>
          <w:tcPr>
            <w:tcW w:w="1777" w:type="dxa"/>
            <w:vAlign w:val="center"/>
          </w:tcPr>
          <w:p w:rsidR="00845063" w:rsidRDefault="00573464">
            <w:pPr>
              <w:jc w:val="center"/>
            </w:pPr>
            <w:r>
              <w:rPr>
                <w:color w:val="000000"/>
                <w:sz w:val="24"/>
                <w:szCs w:val="24"/>
              </w:rPr>
              <w:t>华</w:t>
            </w:r>
            <w:proofErr w:type="gramStart"/>
            <w:r>
              <w:rPr>
                <w:color w:val="000000"/>
                <w:sz w:val="24"/>
                <w:szCs w:val="24"/>
              </w:rPr>
              <w:t>宇软件</w:t>
            </w:r>
            <w:proofErr w:type="gramEnd"/>
          </w:p>
        </w:tc>
        <w:tc>
          <w:tcPr>
            <w:tcW w:w="1334" w:type="dxa"/>
            <w:vAlign w:val="center"/>
          </w:tcPr>
          <w:p w:rsidR="00845063" w:rsidRDefault="00573464">
            <w:pPr>
              <w:jc w:val="right"/>
            </w:pPr>
            <w:r>
              <w:rPr>
                <w:color w:val="000000"/>
                <w:sz w:val="24"/>
                <w:szCs w:val="24"/>
              </w:rPr>
              <w:t>12,532,927</w:t>
            </w:r>
          </w:p>
        </w:tc>
        <w:tc>
          <w:tcPr>
            <w:tcW w:w="1924" w:type="dxa"/>
            <w:vAlign w:val="center"/>
          </w:tcPr>
          <w:p w:rsidR="00845063" w:rsidRDefault="00573464">
            <w:pPr>
              <w:jc w:val="right"/>
            </w:pPr>
            <w:r>
              <w:rPr>
                <w:color w:val="000000"/>
                <w:sz w:val="24"/>
                <w:szCs w:val="24"/>
              </w:rPr>
              <w:t>299,160,967.49</w:t>
            </w:r>
          </w:p>
        </w:tc>
        <w:tc>
          <w:tcPr>
            <w:tcW w:w="1644" w:type="dxa"/>
            <w:vAlign w:val="center"/>
          </w:tcPr>
          <w:p w:rsidR="00845063" w:rsidRDefault="00573464">
            <w:pPr>
              <w:jc w:val="right"/>
            </w:pPr>
            <w:r>
              <w:rPr>
                <w:color w:val="000000"/>
                <w:sz w:val="24"/>
                <w:szCs w:val="24"/>
              </w:rPr>
              <w:t>4.46</w:t>
            </w:r>
          </w:p>
        </w:tc>
      </w:tr>
      <w:tr w:rsidR="00845063">
        <w:trPr>
          <w:jc w:val="center"/>
        </w:trPr>
        <w:tc>
          <w:tcPr>
            <w:tcW w:w="855" w:type="dxa"/>
            <w:vAlign w:val="center"/>
          </w:tcPr>
          <w:p w:rsidR="00845063" w:rsidRDefault="00573464">
            <w:pPr>
              <w:jc w:val="center"/>
            </w:pPr>
            <w:r>
              <w:rPr>
                <w:color w:val="000000"/>
                <w:sz w:val="24"/>
                <w:szCs w:val="24"/>
              </w:rPr>
              <w:t>5</w:t>
            </w:r>
          </w:p>
        </w:tc>
        <w:tc>
          <w:tcPr>
            <w:tcW w:w="1334" w:type="dxa"/>
            <w:vAlign w:val="center"/>
          </w:tcPr>
          <w:p w:rsidR="00845063" w:rsidRDefault="00573464">
            <w:pPr>
              <w:jc w:val="center"/>
            </w:pPr>
            <w:r>
              <w:rPr>
                <w:color w:val="000000"/>
                <w:sz w:val="24"/>
                <w:szCs w:val="24"/>
              </w:rPr>
              <w:t>002352</w:t>
            </w:r>
          </w:p>
        </w:tc>
        <w:tc>
          <w:tcPr>
            <w:tcW w:w="1777" w:type="dxa"/>
            <w:vAlign w:val="center"/>
          </w:tcPr>
          <w:p w:rsidR="00845063" w:rsidRDefault="00573464">
            <w:pPr>
              <w:jc w:val="center"/>
            </w:pPr>
            <w:r>
              <w:rPr>
                <w:color w:val="000000"/>
                <w:sz w:val="24"/>
                <w:szCs w:val="24"/>
              </w:rPr>
              <w:t>顺丰控股</w:t>
            </w:r>
          </w:p>
        </w:tc>
        <w:tc>
          <w:tcPr>
            <w:tcW w:w="1334" w:type="dxa"/>
            <w:vAlign w:val="center"/>
          </w:tcPr>
          <w:p w:rsidR="00845063" w:rsidRDefault="00573464">
            <w:pPr>
              <w:jc w:val="right"/>
            </w:pPr>
            <w:r>
              <w:rPr>
                <w:color w:val="000000"/>
                <w:sz w:val="24"/>
                <w:szCs w:val="24"/>
              </w:rPr>
              <w:t>3,388,545</w:t>
            </w:r>
          </w:p>
        </w:tc>
        <w:tc>
          <w:tcPr>
            <w:tcW w:w="1924" w:type="dxa"/>
            <w:vAlign w:val="center"/>
          </w:tcPr>
          <w:p w:rsidR="00845063" w:rsidRDefault="00573464">
            <w:pPr>
              <w:jc w:val="right"/>
            </w:pPr>
            <w:r>
              <w:rPr>
                <w:color w:val="000000"/>
                <w:sz w:val="24"/>
                <w:szCs w:val="24"/>
              </w:rPr>
              <w:t>298,311,325.35</w:t>
            </w:r>
          </w:p>
        </w:tc>
        <w:tc>
          <w:tcPr>
            <w:tcW w:w="1644" w:type="dxa"/>
            <w:vAlign w:val="center"/>
          </w:tcPr>
          <w:p w:rsidR="00845063" w:rsidRDefault="00573464">
            <w:pPr>
              <w:jc w:val="right"/>
            </w:pPr>
            <w:r>
              <w:rPr>
                <w:color w:val="000000"/>
                <w:sz w:val="24"/>
                <w:szCs w:val="24"/>
              </w:rPr>
              <w:t>4.44</w:t>
            </w:r>
          </w:p>
        </w:tc>
      </w:tr>
      <w:tr w:rsidR="00845063">
        <w:trPr>
          <w:jc w:val="center"/>
        </w:trPr>
        <w:tc>
          <w:tcPr>
            <w:tcW w:w="855" w:type="dxa"/>
            <w:vAlign w:val="center"/>
          </w:tcPr>
          <w:p w:rsidR="00845063" w:rsidRDefault="00573464">
            <w:pPr>
              <w:jc w:val="center"/>
            </w:pPr>
            <w:r>
              <w:rPr>
                <w:color w:val="000000"/>
                <w:sz w:val="24"/>
                <w:szCs w:val="24"/>
              </w:rPr>
              <w:t>6</w:t>
            </w:r>
          </w:p>
        </w:tc>
        <w:tc>
          <w:tcPr>
            <w:tcW w:w="1334" w:type="dxa"/>
            <w:vAlign w:val="center"/>
          </w:tcPr>
          <w:p w:rsidR="00845063" w:rsidRDefault="00573464">
            <w:pPr>
              <w:jc w:val="center"/>
            </w:pPr>
            <w:r>
              <w:rPr>
                <w:color w:val="000000"/>
                <w:sz w:val="24"/>
                <w:szCs w:val="24"/>
              </w:rPr>
              <w:t>000961</w:t>
            </w:r>
          </w:p>
        </w:tc>
        <w:tc>
          <w:tcPr>
            <w:tcW w:w="1777" w:type="dxa"/>
            <w:vAlign w:val="center"/>
          </w:tcPr>
          <w:p w:rsidR="00845063" w:rsidRDefault="00573464">
            <w:pPr>
              <w:jc w:val="center"/>
            </w:pPr>
            <w:r>
              <w:rPr>
                <w:color w:val="000000"/>
                <w:sz w:val="24"/>
                <w:szCs w:val="24"/>
              </w:rPr>
              <w:t>中南建设</w:t>
            </w:r>
          </w:p>
        </w:tc>
        <w:tc>
          <w:tcPr>
            <w:tcW w:w="1334" w:type="dxa"/>
            <w:vAlign w:val="center"/>
          </w:tcPr>
          <w:p w:rsidR="00845063" w:rsidRDefault="00573464">
            <w:pPr>
              <w:jc w:val="right"/>
            </w:pPr>
            <w:r>
              <w:rPr>
                <w:color w:val="000000"/>
                <w:sz w:val="24"/>
                <w:szCs w:val="24"/>
              </w:rPr>
              <w:t>33,169,926</w:t>
            </w:r>
          </w:p>
        </w:tc>
        <w:tc>
          <w:tcPr>
            <w:tcW w:w="1924" w:type="dxa"/>
            <w:vAlign w:val="center"/>
          </w:tcPr>
          <w:p w:rsidR="00845063" w:rsidRDefault="00573464">
            <w:pPr>
              <w:jc w:val="right"/>
            </w:pPr>
            <w:r>
              <w:rPr>
                <w:color w:val="000000"/>
                <w:sz w:val="24"/>
                <w:szCs w:val="24"/>
              </w:rPr>
              <w:t>292,890,446.58</w:t>
            </w:r>
          </w:p>
        </w:tc>
        <w:tc>
          <w:tcPr>
            <w:tcW w:w="1644" w:type="dxa"/>
            <w:vAlign w:val="center"/>
          </w:tcPr>
          <w:p w:rsidR="00845063" w:rsidRDefault="00573464">
            <w:pPr>
              <w:jc w:val="right"/>
            </w:pPr>
            <w:r>
              <w:rPr>
                <w:color w:val="000000"/>
                <w:sz w:val="24"/>
                <w:szCs w:val="24"/>
              </w:rPr>
              <w:t>4.36</w:t>
            </w:r>
          </w:p>
        </w:tc>
      </w:tr>
      <w:tr w:rsidR="00845063">
        <w:trPr>
          <w:jc w:val="center"/>
        </w:trPr>
        <w:tc>
          <w:tcPr>
            <w:tcW w:w="855" w:type="dxa"/>
            <w:vAlign w:val="center"/>
          </w:tcPr>
          <w:p w:rsidR="00845063" w:rsidRDefault="00573464">
            <w:pPr>
              <w:jc w:val="center"/>
            </w:pPr>
            <w:r>
              <w:rPr>
                <w:color w:val="000000"/>
                <w:sz w:val="24"/>
                <w:szCs w:val="24"/>
              </w:rPr>
              <w:t>7</w:t>
            </w:r>
          </w:p>
        </w:tc>
        <w:tc>
          <w:tcPr>
            <w:tcW w:w="1334" w:type="dxa"/>
            <w:vAlign w:val="center"/>
          </w:tcPr>
          <w:p w:rsidR="00845063" w:rsidRDefault="00573464">
            <w:pPr>
              <w:jc w:val="center"/>
            </w:pPr>
            <w:r>
              <w:rPr>
                <w:color w:val="000000"/>
                <w:sz w:val="24"/>
                <w:szCs w:val="24"/>
              </w:rPr>
              <w:t>002831</w:t>
            </w:r>
          </w:p>
        </w:tc>
        <w:tc>
          <w:tcPr>
            <w:tcW w:w="1777" w:type="dxa"/>
            <w:vAlign w:val="center"/>
          </w:tcPr>
          <w:p w:rsidR="00845063" w:rsidRDefault="00573464">
            <w:pPr>
              <w:jc w:val="center"/>
            </w:pPr>
            <w:r>
              <w:rPr>
                <w:color w:val="000000"/>
                <w:sz w:val="24"/>
                <w:szCs w:val="24"/>
              </w:rPr>
              <w:t>裕同科技</w:t>
            </w:r>
          </w:p>
        </w:tc>
        <w:tc>
          <w:tcPr>
            <w:tcW w:w="1334" w:type="dxa"/>
            <w:vAlign w:val="center"/>
          </w:tcPr>
          <w:p w:rsidR="00845063" w:rsidRDefault="00573464">
            <w:pPr>
              <w:jc w:val="right"/>
            </w:pPr>
            <w:r>
              <w:rPr>
                <w:color w:val="000000"/>
                <w:sz w:val="24"/>
                <w:szCs w:val="24"/>
              </w:rPr>
              <w:t>8,751,196</w:t>
            </w:r>
          </w:p>
        </w:tc>
        <w:tc>
          <w:tcPr>
            <w:tcW w:w="1924" w:type="dxa"/>
            <w:vAlign w:val="center"/>
          </w:tcPr>
          <w:p w:rsidR="00845063" w:rsidRDefault="00573464">
            <w:pPr>
              <w:jc w:val="right"/>
            </w:pPr>
            <w:r>
              <w:rPr>
                <w:color w:val="000000"/>
                <w:sz w:val="24"/>
                <w:szCs w:val="24"/>
              </w:rPr>
              <w:t>267,961,621.52</w:t>
            </w:r>
          </w:p>
        </w:tc>
        <w:tc>
          <w:tcPr>
            <w:tcW w:w="1644" w:type="dxa"/>
            <w:vAlign w:val="center"/>
          </w:tcPr>
          <w:p w:rsidR="00845063" w:rsidRDefault="00573464">
            <w:pPr>
              <w:jc w:val="right"/>
            </w:pPr>
            <w:r>
              <w:rPr>
                <w:color w:val="000000"/>
                <w:sz w:val="24"/>
                <w:szCs w:val="24"/>
              </w:rPr>
              <w:t>3.99</w:t>
            </w:r>
          </w:p>
        </w:tc>
      </w:tr>
      <w:tr w:rsidR="00845063">
        <w:trPr>
          <w:jc w:val="center"/>
        </w:trPr>
        <w:tc>
          <w:tcPr>
            <w:tcW w:w="855" w:type="dxa"/>
            <w:vAlign w:val="center"/>
          </w:tcPr>
          <w:p w:rsidR="00845063" w:rsidRDefault="00573464">
            <w:pPr>
              <w:jc w:val="center"/>
            </w:pPr>
            <w:r>
              <w:rPr>
                <w:color w:val="000000"/>
                <w:sz w:val="24"/>
                <w:szCs w:val="24"/>
              </w:rPr>
              <w:t>8</w:t>
            </w:r>
          </w:p>
        </w:tc>
        <w:tc>
          <w:tcPr>
            <w:tcW w:w="1334" w:type="dxa"/>
            <w:vAlign w:val="center"/>
          </w:tcPr>
          <w:p w:rsidR="00845063" w:rsidRDefault="00573464">
            <w:pPr>
              <w:jc w:val="center"/>
            </w:pPr>
            <w:r>
              <w:rPr>
                <w:color w:val="000000"/>
                <w:sz w:val="24"/>
                <w:szCs w:val="24"/>
              </w:rPr>
              <w:t>600048</w:t>
            </w:r>
          </w:p>
        </w:tc>
        <w:tc>
          <w:tcPr>
            <w:tcW w:w="1777" w:type="dxa"/>
            <w:vAlign w:val="center"/>
          </w:tcPr>
          <w:p w:rsidR="00845063" w:rsidRDefault="00573464">
            <w:pPr>
              <w:jc w:val="center"/>
            </w:pPr>
            <w:r>
              <w:rPr>
                <w:color w:val="000000"/>
                <w:sz w:val="24"/>
                <w:szCs w:val="24"/>
              </w:rPr>
              <w:t>保利地产</w:t>
            </w:r>
          </w:p>
        </w:tc>
        <w:tc>
          <w:tcPr>
            <w:tcW w:w="1334" w:type="dxa"/>
            <w:vAlign w:val="center"/>
          </w:tcPr>
          <w:p w:rsidR="00845063" w:rsidRDefault="00573464">
            <w:pPr>
              <w:jc w:val="right"/>
            </w:pPr>
            <w:r>
              <w:rPr>
                <w:color w:val="000000"/>
                <w:sz w:val="24"/>
                <w:szCs w:val="24"/>
              </w:rPr>
              <w:t>16,403,962</w:t>
            </w:r>
          </w:p>
        </w:tc>
        <w:tc>
          <w:tcPr>
            <w:tcW w:w="1924" w:type="dxa"/>
            <w:vAlign w:val="center"/>
          </w:tcPr>
          <w:p w:rsidR="00845063" w:rsidRDefault="00573464">
            <w:pPr>
              <w:jc w:val="right"/>
            </w:pPr>
            <w:r>
              <w:rPr>
                <w:color w:val="000000"/>
                <w:sz w:val="24"/>
                <w:szCs w:val="24"/>
              </w:rPr>
              <w:t>259,510,678.84</w:t>
            </w:r>
          </w:p>
        </w:tc>
        <w:tc>
          <w:tcPr>
            <w:tcW w:w="1644" w:type="dxa"/>
            <w:vAlign w:val="center"/>
          </w:tcPr>
          <w:p w:rsidR="00845063" w:rsidRDefault="00573464">
            <w:pPr>
              <w:jc w:val="right"/>
            </w:pPr>
            <w:r>
              <w:rPr>
                <w:color w:val="000000"/>
                <w:sz w:val="24"/>
                <w:szCs w:val="24"/>
              </w:rPr>
              <w:t>3.87</w:t>
            </w:r>
          </w:p>
        </w:tc>
      </w:tr>
      <w:tr w:rsidR="00845063">
        <w:trPr>
          <w:jc w:val="center"/>
        </w:trPr>
        <w:tc>
          <w:tcPr>
            <w:tcW w:w="855" w:type="dxa"/>
            <w:vAlign w:val="center"/>
          </w:tcPr>
          <w:p w:rsidR="00845063" w:rsidRDefault="00573464">
            <w:pPr>
              <w:jc w:val="center"/>
            </w:pPr>
            <w:r>
              <w:rPr>
                <w:color w:val="000000"/>
                <w:sz w:val="24"/>
                <w:szCs w:val="24"/>
              </w:rPr>
              <w:t>9</w:t>
            </w:r>
          </w:p>
        </w:tc>
        <w:tc>
          <w:tcPr>
            <w:tcW w:w="1334" w:type="dxa"/>
            <w:vAlign w:val="center"/>
          </w:tcPr>
          <w:p w:rsidR="00845063" w:rsidRDefault="00573464">
            <w:pPr>
              <w:jc w:val="center"/>
            </w:pPr>
            <w:r>
              <w:rPr>
                <w:color w:val="000000"/>
                <w:sz w:val="24"/>
                <w:szCs w:val="24"/>
              </w:rPr>
              <w:t>603129</w:t>
            </w:r>
          </w:p>
        </w:tc>
        <w:tc>
          <w:tcPr>
            <w:tcW w:w="1777" w:type="dxa"/>
            <w:vAlign w:val="center"/>
          </w:tcPr>
          <w:p w:rsidR="00845063" w:rsidRDefault="00573464">
            <w:pPr>
              <w:jc w:val="center"/>
            </w:pPr>
            <w:r>
              <w:rPr>
                <w:color w:val="000000"/>
                <w:sz w:val="24"/>
                <w:szCs w:val="24"/>
              </w:rPr>
              <w:t>春风动力</w:t>
            </w:r>
          </w:p>
        </w:tc>
        <w:tc>
          <w:tcPr>
            <w:tcW w:w="1334" w:type="dxa"/>
            <w:vAlign w:val="center"/>
          </w:tcPr>
          <w:p w:rsidR="00845063" w:rsidRDefault="00573464">
            <w:pPr>
              <w:jc w:val="right"/>
            </w:pPr>
            <w:r>
              <w:rPr>
                <w:color w:val="000000"/>
                <w:sz w:val="24"/>
                <w:szCs w:val="24"/>
              </w:rPr>
              <w:t>1,200,517</w:t>
            </w:r>
          </w:p>
        </w:tc>
        <w:tc>
          <w:tcPr>
            <w:tcW w:w="1924" w:type="dxa"/>
            <w:vAlign w:val="center"/>
          </w:tcPr>
          <w:p w:rsidR="00845063" w:rsidRDefault="00573464">
            <w:pPr>
              <w:jc w:val="right"/>
            </w:pPr>
            <w:r>
              <w:rPr>
                <w:color w:val="000000"/>
                <w:sz w:val="24"/>
                <w:szCs w:val="24"/>
              </w:rPr>
              <w:t>209,118,056.23</w:t>
            </w:r>
          </w:p>
        </w:tc>
        <w:tc>
          <w:tcPr>
            <w:tcW w:w="1644" w:type="dxa"/>
            <w:vAlign w:val="center"/>
          </w:tcPr>
          <w:p w:rsidR="00845063" w:rsidRDefault="00573464">
            <w:pPr>
              <w:jc w:val="right"/>
            </w:pPr>
            <w:r>
              <w:rPr>
                <w:color w:val="000000"/>
                <w:sz w:val="24"/>
                <w:szCs w:val="24"/>
              </w:rPr>
              <w:t>3.11</w:t>
            </w:r>
          </w:p>
        </w:tc>
      </w:tr>
      <w:tr w:rsidR="00845063">
        <w:trPr>
          <w:jc w:val="center"/>
        </w:trPr>
        <w:tc>
          <w:tcPr>
            <w:tcW w:w="855" w:type="dxa"/>
            <w:vAlign w:val="center"/>
          </w:tcPr>
          <w:p w:rsidR="00845063" w:rsidRDefault="00573464">
            <w:pPr>
              <w:jc w:val="center"/>
            </w:pPr>
            <w:r>
              <w:rPr>
                <w:color w:val="000000"/>
                <w:sz w:val="24"/>
                <w:szCs w:val="24"/>
              </w:rPr>
              <w:t>10</w:t>
            </w:r>
          </w:p>
        </w:tc>
        <w:tc>
          <w:tcPr>
            <w:tcW w:w="1334" w:type="dxa"/>
            <w:vAlign w:val="center"/>
          </w:tcPr>
          <w:p w:rsidR="00845063" w:rsidRDefault="00573464">
            <w:pPr>
              <w:jc w:val="center"/>
            </w:pPr>
            <w:r>
              <w:rPr>
                <w:color w:val="000000"/>
                <w:sz w:val="24"/>
                <w:szCs w:val="24"/>
              </w:rPr>
              <w:t>002555</w:t>
            </w:r>
          </w:p>
        </w:tc>
        <w:tc>
          <w:tcPr>
            <w:tcW w:w="1777" w:type="dxa"/>
            <w:vAlign w:val="center"/>
          </w:tcPr>
          <w:p w:rsidR="00845063" w:rsidRDefault="00573464">
            <w:pPr>
              <w:jc w:val="center"/>
            </w:pPr>
            <w:proofErr w:type="gramStart"/>
            <w:r>
              <w:rPr>
                <w:color w:val="000000"/>
                <w:sz w:val="24"/>
                <w:szCs w:val="24"/>
              </w:rPr>
              <w:t>三七互娱</w:t>
            </w:r>
            <w:proofErr w:type="gramEnd"/>
          </w:p>
        </w:tc>
        <w:tc>
          <w:tcPr>
            <w:tcW w:w="1334" w:type="dxa"/>
            <w:vAlign w:val="center"/>
          </w:tcPr>
          <w:p w:rsidR="00845063" w:rsidRDefault="00573464">
            <w:pPr>
              <w:jc w:val="right"/>
            </w:pPr>
            <w:r>
              <w:rPr>
                <w:color w:val="000000"/>
                <w:sz w:val="24"/>
                <w:szCs w:val="24"/>
              </w:rPr>
              <w:t>6,411,207</w:t>
            </w:r>
          </w:p>
        </w:tc>
        <w:tc>
          <w:tcPr>
            <w:tcW w:w="1924" w:type="dxa"/>
            <w:vAlign w:val="center"/>
          </w:tcPr>
          <w:p w:rsidR="00845063" w:rsidRDefault="00573464">
            <w:pPr>
              <w:jc w:val="right"/>
            </w:pPr>
            <w:r>
              <w:rPr>
                <w:color w:val="000000"/>
                <w:sz w:val="24"/>
                <w:szCs w:val="24"/>
              </w:rPr>
              <w:t>200,221,994.61</w:t>
            </w:r>
          </w:p>
        </w:tc>
        <w:tc>
          <w:tcPr>
            <w:tcW w:w="1644" w:type="dxa"/>
            <w:vAlign w:val="center"/>
          </w:tcPr>
          <w:p w:rsidR="00845063" w:rsidRDefault="00573464">
            <w:pPr>
              <w:jc w:val="right"/>
            </w:pPr>
            <w:r>
              <w:rPr>
                <w:color w:val="000000"/>
                <w:sz w:val="24"/>
                <w:szCs w:val="24"/>
              </w:rPr>
              <w:t>2.98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lastRenderedPageBreak/>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319,646,000.00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319,646,000.00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319,646,000.00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45063">
        <w:trPr>
          <w:jc w:val="center"/>
        </w:trPr>
        <w:tc>
          <w:tcPr>
            <w:tcW w:w="850" w:type="dxa"/>
            <w:vAlign w:val="center"/>
          </w:tcPr>
          <w:p w:rsidR="00845063" w:rsidRDefault="00573464">
            <w:pPr>
              <w:jc w:val="center"/>
            </w:pPr>
            <w:r>
              <w:rPr>
                <w:color w:val="000000"/>
                <w:sz w:val="24"/>
                <w:szCs w:val="24"/>
              </w:rPr>
              <w:t>1</w:t>
            </w:r>
          </w:p>
        </w:tc>
        <w:tc>
          <w:tcPr>
            <w:tcW w:w="1475" w:type="dxa"/>
            <w:vAlign w:val="center"/>
          </w:tcPr>
          <w:p w:rsidR="00845063" w:rsidRDefault="00573464">
            <w:pPr>
              <w:jc w:val="center"/>
            </w:pPr>
            <w:r>
              <w:rPr>
                <w:color w:val="000000"/>
                <w:sz w:val="24"/>
                <w:szCs w:val="24"/>
              </w:rPr>
              <w:t>200216</w:t>
            </w:r>
          </w:p>
        </w:tc>
        <w:tc>
          <w:tcPr>
            <w:tcW w:w="1769" w:type="dxa"/>
            <w:vAlign w:val="center"/>
          </w:tcPr>
          <w:p w:rsidR="00845063" w:rsidRDefault="00573464">
            <w:pPr>
              <w:jc w:val="center"/>
            </w:pPr>
            <w:r>
              <w:rPr>
                <w:color w:val="000000"/>
                <w:sz w:val="24"/>
                <w:szCs w:val="24"/>
              </w:rPr>
              <w:t>20</w:t>
            </w:r>
            <w:r>
              <w:rPr>
                <w:color w:val="000000"/>
                <w:sz w:val="24"/>
                <w:szCs w:val="24"/>
              </w:rPr>
              <w:t>国开</w:t>
            </w:r>
            <w:r>
              <w:rPr>
                <w:color w:val="000000"/>
                <w:sz w:val="24"/>
                <w:szCs w:val="24"/>
              </w:rPr>
              <w:t>16</w:t>
            </w:r>
          </w:p>
        </w:tc>
        <w:tc>
          <w:tcPr>
            <w:tcW w:w="1387" w:type="dxa"/>
            <w:vAlign w:val="center"/>
          </w:tcPr>
          <w:p w:rsidR="00845063" w:rsidRDefault="00573464">
            <w:pPr>
              <w:jc w:val="right"/>
            </w:pPr>
            <w:r>
              <w:rPr>
                <w:color w:val="000000"/>
                <w:sz w:val="24"/>
                <w:szCs w:val="24"/>
              </w:rPr>
              <w:t>1,100,000</w:t>
            </w:r>
          </w:p>
        </w:tc>
        <w:tc>
          <w:tcPr>
            <w:tcW w:w="2150" w:type="dxa"/>
            <w:vAlign w:val="center"/>
          </w:tcPr>
          <w:p w:rsidR="00845063" w:rsidRDefault="00573464">
            <w:pPr>
              <w:jc w:val="right"/>
            </w:pPr>
            <w:r>
              <w:rPr>
                <w:color w:val="000000"/>
                <w:sz w:val="24"/>
                <w:szCs w:val="24"/>
              </w:rPr>
              <w:t>110,187,000.00</w:t>
            </w:r>
          </w:p>
        </w:tc>
        <w:tc>
          <w:tcPr>
            <w:tcW w:w="1237" w:type="dxa"/>
            <w:vAlign w:val="center"/>
          </w:tcPr>
          <w:p w:rsidR="00845063" w:rsidRDefault="00573464">
            <w:pPr>
              <w:jc w:val="right"/>
            </w:pPr>
            <w:r>
              <w:rPr>
                <w:color w:val="000000"/>
                <w:sz w:val="24"/>
                <w:szCs w:val="24"/>
              </w:rPr>
              <w:t>1.64</w:t>
            </w:r>
          </w:p>
        </w:tc>
      </w:tr>
      <w:tr w:rsidR="00845063">
        <w:trPr>
          <w:jc w:val="center"/>
        </w:trPr>
        <w:tc>
          <w:tcPr>
            <w:tcW w:w="850" w:type="dxa"/>
            <w:vAlign w:val="center"/>
          </w:tcPr>
          <w:p w:rsidR="00845063" w:rsidRDefault="00573464">
            <w:pPr>
              <w:jc w:val="center"/>
            </w:pPr>
            <w:r>
              <w:rPr>
                <w:color w:val="000000"/>
                <w:sz w:val="24"/>
                <w:szCs w:val="24"/>
              </w:rPr>
              <w:t>2</w:t>
            </w:r>
          </w:p>
        </w:tc>
        <w:tc>
          <w:tcPr>
            <w:tcW w:w="1475" w:type="dxa"/>
            <w:vAlign w:val="center"/>
          </w:tcPr>
          <w:p w:rsidR="00845063" w:rsidRDefault="00573464">
            <w:pPr>
              <w:jc w:val="center"/>
            </w:pPr>
            <w:r>
              <w:rPr>
                <w:color w:val="000000"/>
                <w:sz w:val="24"/>
                <w:szCs w:val="24"/>
              </w:rPr>
              <w:t>200406</w:t>
            </w:r>
          </w:p>
        </w:tc>
        <w:tc>
          <w:tcPr>
            <w:tcW w:w="1769" w:type="dxa"/>
            <w:vAlign w:val="center"/>
          </w:tcPr>
          <w:p w:rsidR="00845063" w:rsidRDefault="00573464">
            <w:pPr>
              <w:jc w:val="center"/>
            </w:pPr>
            <w:r>
              <w:rPr>
                <w:color w:val="000000"/>
                <w:sz w:val="24"/>
                <w:szCs w:val="24"/>
              </w:rPr>
              <w:t>20</w:t>
            </w:r>
            <w:r>
              <w:rPr>
                <w:color w:val="000000"/>
                <w:sz w:val="24"/>
                <w:szCs w:val="24"/>
              </w:rPr>
              <w:t>农发</w:t>
            </w:r>
            <w:r>
              <w:rPr>
                <w:color w:val="000000"/>
                <w:sz w:val="24"/>
                <w:szCs w:val="24"/>
              </w:rPr>
              <w:t>06</w:t>
            </w:r>
          </w:p>
        </w:tc>
        <w:tc>
          <w:tcPr>
            <w:tcW w:w="1387" w:type="dxa"/>
            <w:vAlign w:val="center"/>
          </w:tcPr>
          <w:p w:rsidR="00845063" w:rsidRDefault="00573464">
            <w:pPr>
              <w:jc w:val="right"/>
            </w:pPr>
            <w:r>
              <w:rPr>
                <w:color w:val="000000"/>
                <w:sz w:val="24"/>
                <w:szCs w:val="24"/>
              </w:rPr>
              <w:t>1,100,000</w:t>
            </w:r>
          </w:p>
        </w:tc>
        <w:tc>
          <w:tcPr>
            <w:tcW w:w="2150" w:type="dxa"/>
            <w:vAlign w:val="center"/>
          </w:tcPr>
          <w:p w:rsidR="00845063" w:rsidRDefault="00573464">
            <w:pPr>
              <w:jc w:val="right"/>
            </w:pPr>
            <w:r>
              <w:rPr>
                <w:color w:val="000000"/>
                <w:sz w:val="24"/>
                <w:szCs w:val="24"/>
              </w:rPr>
              <w:t>109,736,000.00</w:t>
            </w:r>
          </w:p>
        </w:tc>
        <w:tc>
          <w:tcPr>
            <w:tcW w:w="1237" w:type="dxa"/>
            <w:vAlign w:val="center"/>
          </w:tcPr>
          <w:p w:rsidR="00845063" w:rsidRDefault="00573464">
            <w:pPr>
              <w:jc w:val="right"/>
            </w:pPr>
            <w:r>
              <w:rPr>
                <w:color w:val="000000"/>
                <w:sz w:val="24"/>
                <w:szCs w:val="24"/>
              </w:rPr>
              <w:t>1.63</w:t>
            </w:r>
          </w:p>
        </w:tc>
      </w:tr>
      <w:tr w:rsidR="00845063">
        <w:trPr>
          <w:jc w:val="center"/>
        </w:trPr>
        <w:tc>
          <w:tcPr>
            <w:tcW w:w="850" w:type="dxa"/>
            <w:vAlign w:val="center"/>
          </w:tcPr>
          <w:p w:rsidR="00845063" w:rsidRDefault="00573464">
            <w:pPr>
              <w:jc w:val="center"/>
            </w:pPr>
            <w:r>
              <w:rPr>
                <w:color w:val="000000"/>
                <w:sz w:val="24"/>
                <w:szCs w:val="24"/>
              </w:rPr>
              <w:t>3</w:t>
            </w:r>
          </w:p>
        </w:tc>
        <w:tc>
          <w:tcPr>
            <w:tcW w:w="1475" w:type="dxa"/>
            <w:vAlign w:val="center"/>
          </w:tcPr>
          <w:p w:rsidR="00845063" w:rsidRDefault="00573464">
            <w:pPr>
              <w:jc w:val="center"/>
            </w:pPr>
            <w:r>
              <w:rPr>
                <w:color w:val="000000"/>
                <w:sz w:val="24"/>
                <w:szCs w:val="24"/>
              </w:rPr>
              <w:t>200211</w:t>
            </w:r>
          </w:p>
        </w:tc>
        <w:tc>
          <w:tcPr>
            <w:tcW w:w="1769" w:type="dxa"/>
            <w:vAlign w:val="center"/>
          </w:tcPr>
          <w:p w:rsidR="00845063" w:rsidRDefault="00573464">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845063" w:rsidRDefault="00573464">
            <w:pPr>
              <w:jc w:val="right"/>
            </w:pPr>
            <w:r>
              <w:rPr>
                <w:color w:val="000000"/>
                <w:sz w:val="24"/>
                <w:szCs w:val="24"/>
              </w:rPr>
              <w:t>700,000</w:t>
            </w:r>
          </w:p>
        </w:tc>
        <w:tc>
          <w:tcPr>
            <w:tcW w:w="2150" w:type="dxa"/>
            <w:vAlign w:val="center"/>
          </w:tcPr>
          <w:p w:rsidR="00845063" w:rsidRDefault="00573464">
            <w:pPr>
              <w:jc w:val="right"/>
            </w:pPr>
            <w:r>
              <w:rPr>
                <w:color w:val="000000"/>
                <w:sz w:val="24"/>
                <w:szCs w:val="24"/>
              </w:rPr>
              <w:t>69,720,000.00</w:t>
            </w:r>
          </w:p>
        </w:tc>
        <w:tc>
          <w:tcPr>
            <w:tcW w:w="1237" w:type="dxa"/>
            <w:vAlign w:val="center"/>
          </w:tcPr>
          <w:p w:rsidR="00845063" w:rsidRDefault="00573464">
            <w:pPr>
              <w:jc w:val="right"/>
            </w:pPr>
            <w:r>
              <w:rPr>
                <w:color w:val="000000"/>
                <w:sz w:val="24"/>
                <w:szCs w:val="24"/>
              </w:rPr>
              <w:t>1.04</w:t>
            </w:r>
          </w:p>
        </w:tc>
      </w:tr>
      <w:tr w:rsidR="00845063">
        <w:trPr>
          <w:jc w:val="center"/>
        </w:trPr>
        <w:tc>
          <w:tcPr>
            <w:tcW w:w="850" w:type="dxa"/>
            <w:vAlign w:val="center"/>
          </w:tcPr>
          <w:p w:rsidR="00845063" w:rsidRDefault="00573464">
            <w:pPr>
              <w:jc w:val="center"/>
            </w:pPr>
            <w:r>
              <w:rPr>
                <w:color w:val="000000"/>
                <w:sz w:val="24"/>
                <w:szCs w:val="24"/>
              </w:rPr>
              <w:t>4</w:t>
            </w:r>
          </w:p>
        </w:tc>
        <w:tc>
          <w:tcPr>
            <w:tcW w:w="1475" w:type="dxa"/>
            <w:vAlign w:val="center"/>
          </w:tcPr>
          <w:p w:rsidR="00845063" w:rsidRDefault="00573464">
            <w:pPr>
              <w:jc w:val="center"/>
            </w:pPr>
            <w:r>
              <w:rPr>
                <w:color w:val="000000"/>
                <w:sz w:val="24"/>
                <w:szCs w:val="24"/>
              </w:rPr>
              <w:t>200201</w:t>
            </w:r>
          </w:p>
        </w:tc>
        <w:tc>
          <w:tcPr>
            <w:tcW w:w="1769" w:type="dxa"/>
            <w:vAlign w:val="center"/>
          </w:tcPr>
          <w:p w:rsidR="00845063" w:rsidRDefault="00573464">
            <w:pPr>
              <w:jc w:val="center"/>
            </w:pPr>
            <w:r>
              <w:rPr>
                <w:color w:val="000000"/>
                <w:sz w:val="24"/>
                <w:szCs w:val="24"/>
              </w:rPr>
              <w:t>20</w:t>
            </w:r>
            <w:r>
              <w:rPr>
                <w:color w:val="000000"/>
                <w:sz w:val="24"/>
                <w:szCs w:val="24"/>
              </w:rPr>
              <w:t>国开</w:t>
            </w:r>
            <w:r>
              <w:rPr>
                <w:color w:val="000000"/>
                <w:sz w:val="24"/>
                <w:szCs w:val="24"/>
              </w:rPr>
              <w:t>01</w:t>
            </w:r>
          </w:p>
        </w:tc>
        <w:tc>
          <w:tcPr>
            <w:tcW w:w="1387" w:type="dxa"/>
            <w:vAlign w:val="center"/>
          </w:tcPr>
          <w:p w:rsidR="00845063" w:rsidRDefault="00573464">
            <w:pPr>
              <w:jc w:val="right"/>
            </w:pPr>
            <w:r>
              <w:rPr>
                <w:color w:val="000000"/>
                <w:sz w:val="24"/>
                <w:szCs w:val="24"/>
              </w:rPr>
              <w:t>300,000</w:t>
            </w:r>
          </w:p>
        </w:tc>
        <w:tc>
          <w:tcPr>
            <w:tcW w:w="2150" w:type="dxa"/>
            <w:vAlign w:val="center"/>
          </w:tcPr>
          <w:p w:rsidR="00845063" w:rsidRDefault="00573464">
            <w:pPr>
              <w:jc w:val="right"/>
            </w:pPr>
            <w:r>
              <w:rPr>
                <w:color w:val="000000"/>
                <w:sz w:val="24"/>
                <w:szCs w:val="24"/>
              </w:rPr>
              <w:t>30,003,000.00</w:t>
            </w:r>
          </w:p>
        </w:tc>
        <w:tc>
          <w:tcPr>
            <w:tcW w:w="1237" w:type="dxa"/>
            <w:vAlign w:val="center"/>
          </w:tcPr>
          <w:p w:rsidR="00845063" w:rsidRDefault="00573464">
            <w:pPr>
              <w:jc w:val="right"/>
            </w:pPr>
            <w:r>
              <w:rPr>
                <w:color w:val="000000"/>
                <w:sz w:val="24"/>
                <w:szCs w:val="24"/>
              </w:rPr>
              <w:t>0.45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4A1D69" w:rsidRDefault="004A1D69"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839,481.25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38,576,025.41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3,344,399.24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17,693,717.00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60,453,622.90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A1D69" w:rsidRDefault="004A1D69"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845063">
        <w:trPr>
          <w:jc w:val="center"/>
        </w:trPr>
        <w:tc>
          <w:tcPr>
            <w:tcW w:w="1129" w:type="dxa"/>
            <w:vAlign w:val="center"/>
          </w:tcPr>
          <w:p w:rsidR="00845063" w:rsidRDefault="00573464">
            <w:pPr>
              <w:jc w:val="center"/>
            </w:pPr>
            <w:r>
              <w:rPr>
                <w:color w:val="000000"/>
                <w:sz w:val="24"/>
                <w:szCs w:val="24"/>
              </w:rPr>
              <w:t>1</w:t>
            </w:r>
          </w:p>
        </w:tc>
        <w:tc>
          <w:tcPr>
            <w:tcW w:w="1356" w:type="dxa"/>
            <w:vAlign w:val="center"/>
          </w:tcPr>
          <w:p w:rsidR="00845063" w:rsidRDefault="00573464">
            <w:pPr>
              <w:jc w:val="center"/>
            </w:pPr>
            <w:r>
              <w:rPr>
                <w:color w:val="000000"/>
                <w:sz w:val="24"/>
                <w:szCs w:val="24"/>
              </w:rPr>
              <w:t>002352</w:t>
            </w:r>
          </w:p>
        </w:tc>
        <w:tc>
          <w:tcPr>
            <w:tcW w:w="1355" w:type="dxa"/>
            <w:vAlign w:val="center"/>
          </w:tcPr>
          <w:p w:rsidR="00845063" w:rsidRDefault="00573464">
            <w:pPr>
              <w:jc w:val="center"/>
            </w:pPr>
            <w:r>
              <w:rPr>
                <w:color w:val="000000"/>
                <w:sz w:val="24"/>
                <w:szCs w:val="24"/>
              </w:rPr>
              <w:t>顺丰控股</w:t>
            </w:r>
          </w:p>
        </w:tc>
        <w:tc>
          <w:tcPr>
            <w:tcW w:w="1880" w:type="dxa"/>
            <w:vAlign w:val="center"/>
          </w:tcPr>
          <w:p w:rsidR="00845063" w:rsidRDefault="00573464">
            <w:pPr>
              <w:jc w:val="right"/>
            </w:pPr>
            <w:r>
              <w:rPr>
                <w:color w:val="000000"/>
                <w:sz w:val="24"/>
                <w:szCs w:val="24"/>
              </w:rPr>
              <w:t>43,455,000.00</w:t>
            </w:r>
          </w:p>
        </w:tc>
        <w:tc>
          <w:tcPr>
            <w:tcW w:w="1724" w:type="dxa"/>
            <w:vAlign w:val="center"/>
          </w:tcPr>
          <w:p w:rsidR="00845063" w:rsidRDefault="00573464">
            <w:pPr>
              <w:jc w:val="right"/>
            </w:pPr>
            <w:r>
              <w:rPr>
                <w:color w:val="000000"/>
                <w:sz w:val="24"/>
                <w:szCs w:val="24"/>
              </w:rPr>
              <w:t>0.65</w:t>
            </w:r>
          </w:p>
        </w:tc>
        <w:tc>
          <w:tcPr>
            <w:tcW w:w="1424" w:type="dxa"/>
            <w:vAlign w:val="center"/>
          </w:tcPr>
          <w:p w:rsidR="00845063" w:rsidRDefault="00573464">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1,234,201,745.69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231,976,134.28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249,057,645.83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1,217,120,234.14</w:t>
            </w:r>
          </w:p>
        </w:tc>
      </w:tr>
    </w:tbl>
    <w:p w:rsidR="00845063" w:rsidRDefault="0057346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4A1D69">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A1D69" w:rsidRDefault="003C50AD" w:rsidP="003C50AD">
      <w:pPr>
        <w:spacing w:line="360" w:lineRule="auto"/>
        <w:ind w:firstLineChars="200" w:firstLine="480"/>
        <w:rPr>
          <w:rFonts w:ascii="宋体" w:hAnsi="宋体"/>
          <w:color w:val="000000"/>
          <w:sz w:val="24"/>
          <w:szCs w:val="24"/>
        </w:rPr>
      </w:pPr>
      <w:r w:rsidRPr="004A1D69">
        <w:rPr>
          <w:rFonts w:ascii="宋体" w:hAnsi="宋体"/>
          <w:color w:val="000000"/>
          <w:sz w:val="24"/>
          <w:szCs w:val="24"/>
        </w:rPr>
        <w:t>根据《中华人民共和国证券投资基金法》、《公开募集证券投资基金运作管理办法》、《存托凭证发行与交易管理办法（试行）》等法律法规及本</w:t>
      </w:r>
      <w:proofErr w:type="gramStart"/>
      <w:r w:rsidRPr="004A1D69">
        <w:rPr>
          <w:rFonts w:ascii="宋体" w:hAnsi="宋体"/>
          <w:color w:val="000000"/>
          <w:sz w:val="24"/>
          <w:szCs w:val="24"/>
        </w:rPr>
        <w:t>基金基金</w:t>
      </w:r>
      <w:proofErr w:type="gramEnd"/>
      <w:r w:rsidRPr="004A1D69">
        <w:rPr>
          <w:rFonts w:ascii="宋体" w:hAnsi="宋体"/>
          <w:color w:val="000000"/>
          <w:sz w:val="24"/>
          <w:szCs w:val="24"/>
        </w:rPr>
        <w:t>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bookmarkStart w:id="0" w:name="_GoBack"/>
      <w:bookmarkEnd w:id="0"/>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45063" w:rsidRDefault="0057346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845063" w:rsidRDefault="0057346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845063" w:rsidRDefault="0057346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845063" w:rsidRDefault="0057346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845063" w:rsidRDefault="00573464">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845063" w:rsidRDefault="00573464">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845063" w:rsidRDefault="00573464">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845063" w:rsidRDefault="00573464">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845063" w:rsidRDefault="00573464">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845063" w:rsidRDefault="00573464">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845063" w:rsidRDefault="00573464">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845063" w:rsidRDefault="00573464">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45063" w:rsidRDefault="0057346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464" w:rsidRDefault="00573464" w:rsidP="00876D65">
      <w:r>
        <w:separator/>
      </w:r>
    </w:p>
  </w:endnote>
  <w:endnote w:type="continuationSeparator" w:id="0">
    <w:p w:rsidR="00573464" w:rsidRDefault="0057346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464" w:rsidRDefault="00573464" w:rsidP="00876D65">
      <w:r>
        <w:separator/>
      </w:r>
    </w:p>
  </w:footnote>
  <w:footnote w:type="continuationSeparator" w:id="0">
    <w:p w:rsidR="00573464" w:rsidRDefault="00573464"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交银施罗德优势行业灵活配置混合型证券投资基金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1D69"/>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3464"/>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5063"/>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728DD"/>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3A833-0A8E-4EEE-8C76-AE7B963A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12</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601</cp:revision>
  <dcterms:created xsi:type="dcterms:W3CDTF">2012-10-16T06:07:00Z</dcterms:created>
  <dcterms:modified xsi:type="dcterms:W3CDTF">2021-01-18T10:04:00Z</dcterms:modified>
</cp:coreProperties>
</file>