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w:t>
      </w:r>
      <w:proofErr w:type="gramStart"/>
      <w:r w:rsidRPr="0081286B">
        <w:rPr>
          <w:b/>
          <w:sz w:val="36"/>
          <w:szCs w:val="36"/>
        </w:rPr>
        <w:t>施罗德瑞思三年</w:t>
      </w:r>
      <w:proofErr w:type="gramEnd"/>
      <w:r w:rsidRPr="0081286B">
        <w:rPr>
          <w:b/>
          <w:sz w:val="36"/>
          <w:szCs w:val="36"/>
        </w:rPr>
        <w:t>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7FAB" w:rsidRDefault="001B1B8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银瑞思</w:t>
            </w:r>
            <w:proofErr w:type="gramEnd"/>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501092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501092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r w:rsidRPr="00414345">
              <w:rPr>
                <w:color w:val="000000"/>
                <w:kern w:val="0"/>
                <w:sz w:val="24"/>
                <w:szCs w:val="24"/>
              </w:rPr>
              <w:t xml:space="preserve"> </w:t>
            </w: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4,945,845,223.18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w:t>
            </w:r>
            <w:r w:rsidRPr="00414345">
              <w:rPr>
                <w:color w:val="000000"/>
                <w:kern w:val="0"/>
                <w:sz w:val="24"/>
                <w:szCs w:val="24"/>
              </w:rPr>
              <w:lastRenderedPageBreak/>
              <w:t>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9E7FAB" w:rsidRDefault="001B1B83">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44DF6" w:rsidRPr="00414345" w:rsidTr="00844DF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44DF6" w:rsidRPr="00414345" w:rsidTr="00844D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372,866,740.06</w:t>
            </w:r>
          </w:p>
        </w:tc>
      </w:tr>
      <w:tr w:rsidR="00844DF6" w:rsidRPr="00414345" w:rsidTr="00844D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543,135,005.48</w:t>
            </w:r>
          </w:p>
        </w:tc>
      </w:tr>
      <w:tr w:rsidR="00844DF6" w:rsidRPr="00414345" w:rsidTr="00844D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0.1098</w:t>
            </w:r>
          </w:p>
        </w:tc>
      </w:tr>
      <w:tr w:rsidR="00844DF6" w:rsidRPr="00414345" w:rsidTr="00844DF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6,404,277,520.78</w:t>
            </w:r>
          </w:p>
        </w:tc>
      </w:tr>
      <w:tr w:rsidR="00844DF6" w:rsidRPr="00414345" w:rsidTr="00844DF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1.2949</w:t>
            </w:r>
          </w:p>
        </w:tc>
      </w:tr>
    </w:tbl>
    <w:p w:rsidR="009E7FAB" w:rsidRDefault="001B1B8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9E7FAB" w:rsidRDefault="001B1B83">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w:t>
            </w:r>
            <w:r w:rsidRPr="00414345">
              <w:rPr>
                <w:color w:val="000000"/>
                <w:sz w:val="24"/>
                <w:szCs w:val="24"/>
              </w:rPr>
              <w:lastRenderedPageBreak/>
              <w:t>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净值增长</w:t>
            </w:r>
            <w:r w:rsidRPr="00414345">
              <w:rPr>
                <w:color w:val="000000"/>
                <w:sz w:val="24"/>
                <w:szCs w:val="24"/>
              </w:rPr>
              <w:lastRenderedPageBreak/>
              <w:t>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w:t>
            </w:r>
            <w:r w:rsidRPr="00414345">
              <w:rPr>
                <w:color w:val="000000"/>
                <w:sz w:val="24"/>
                <w:szCs w:val="24"/>
              </w:rPr>
              <w:lastRenderedPageBreak/>
              <w:t>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w:t>
            </w:r>
            <w:r w:rsidRPr="00414345">
              <w:rPr>
                <w:color w:val="000000"/>
                <w:sz w:val="24"/>
                <w:szCs w:val="24"/>
              </w:rPr>
              <w:lastRenderedPageBreak/>
              <w:t>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7FAB">
        <w:trPr>
          <w:jc w:val="center"/>
        </w:trPr>
        <w:tc>
          <w:tcPr>
            <w:tcW w:w="1701" w:type="dxa"/>
            <w:vAlign w:val="center"/>
          </w:tcPr>
          <w:p w:rsidR="009E7FAB" w:rsidRDefault="001B1B83">
            <w:pPr>
              <w:jc w:val="left"/>
            </w:pPr>
            <w:r>
              <w:rPr>
                <w:color w:val="000000"/>
                <w:sz w:val="24"/>
                <w:szCs w:val="24"/>
              </w:rPr>
              <w:t>过去三个月</w:t>
            </w:r>
          </w:p>
        </w:tc>
        <w:tc>
          <w:tcPr>
            <w:tcW w:w="1045" w:type="dxa"/>
            <w:vAlign w:val="center"/>
          </w:tcPr>
          <w:p w:rsidR="009E7FAB" w:rsidRDefault="001B1B83">
            <w:pPr>
              <w:jc w:val="center"/>
            </w:pPr>
            <w:r>
              <w:rPr>
                <w:color w:val="000000"/>
                <w:sz w:val="24"/>
                <w:szCs w:val="24"/>
              </w:rPr>
              <w:t>9.27%</w:t>
            </w:r>
          </w:p>
        </w:tc>
        <w:tc>
          <w:tcPr>
            <w:tcW w:w="1344" w:type="dxa"/>
            <w:vAlign w:val="center"/>
          </w:tcPr>
          <w:p w:rsidR="009E7FAB" w:rsidRDefault="001B1B83">
            <w:pPr>
              <w:jc w:val="center"/>
            </w:pPr>
            <w:r>
              <w:rPr>
                <w:color w:val="000000"/>
                <w:sz w:val="24"/>
                <w:szCs w:val="24"/>
              </w:rPr>
              <w:t>0.84%</w:t>
            </w:r>
          </w:p>
        </w:tc>
        <w:tc>
          <w:tcPr>
            <w:tcW w:w="1194" w:type="dxa"/>
            <w:vAlign w:val="center"/>
          </w:tcPr>
          <w:p w:rsidR="009E7FAB" w:rsidRDefault="001B1B83">
            <w:pPr>
              <w:jc w:val="center"/>
            </w:pPr>
            <w:r>
              <w:rPr>
                <w:color w:val="000000"/>
                <w:sz w:val="24"/>
                <w:szCs w:val="24"/>
              </w:rPr>
              <w:t>10.56%</w:t>
            </w:r>
          </w:p>
        </w:tc>
        <w:tc>
          <w:tcPr>
            <w:tcW w:w="1492" w:type="dxa"/>
            <w:vAlign w:val="center"/>
          </w:tcPr>
          <w:p w:rsidR="009E7FAB" w:rsidRDefault="001B1B83">
            <w:pPr>
              <w:jc w:val="center"/>
            </w:pPr>
            <w:r>
              <w:rPr>
                <w:color w:val="000000"/>
                <w:sz w:val="24"/>
                <w:szCs w:val="24"/>
              </w:rPr>
              <w:t>0.72%</w:t>
            </w:r>
          </w:p>
        </w:tc>
        <w:tc>
          <w:tcPr>
            <w:tcW w:w="1194" w:type="dxa"/>
            <w:vAlign w:val="center"/>
          </w:tcPr>
          <w:p w:rsidR="009E7FAB" w:rsidRDefault="001B1B83">
            <w:pPr>
              <w:jc w:val="center"/>
            </w:pPr>
            <w:r>
              <w:rPr>
                <w:color w:val="000000"/>
                <w:sz w:val="24"/>
                <w:szCs w:val="24"/>
              </w:rPr>
              <w:t>-1.29%</w:t>
            </w:r>
          </w:p>
        </w:tc>
        <w:tc>
          <w:tcPr>
            <w:tcW w:w="898" w:type="dxa"/>
            <w:vAlign w:val="center"/>
          </w:tcPr>
          <w:p w:rsidR="009E7FAB" w:rsidRDefault="001B1B83">
            <w:pPr>
              <w:jc w:val="center"/>
            </w:pPr>
            <w:r>
              <w:rPr>
                <w:color w:val="000000"/>
                <w:sz w:val="24"/>
                <w:szCs w:val="24"/>
              </w:rPr>
              <w:t>0.12%</w:t>
            </w:r>
          </w:p>
        </w:tc>
      </w:tr>
      <w:tr w:rsidR="009E7FAB">
        <w:trPr>
          <w:jc w:val="center"/>
        </w:trPr>
        <w:tc>
          <w:tcPr>
            <w:tcW w:w="1701" w:type="dxa"/>
            <w:vAlign w:val="center"/>
          </w:tcPr>
          <w:p w:rsidR="009E7FAB" w:rsidRDefault="001B1B83">
            <w:pPr>
              <w:jc w:val="left"/>
            </w:pPr>
            <w:r>
              <w:rPr>
                <w:color w:val="000000"/>
                <w:sz w:val="24"/>
                <w:szCs w:val="24"/>
              </w:rPr>
              <w:t>过去六个月</w:t>
            </w:r>
          </w:p>
        </w:tc>
        <w:tc>
          <w:tcPr>
            <w:tcW w:w="1045" w:type="dxa"/>
            <w:vAlign w:val="center"/>
          </w:tcPr>
          <w:p w:rsidR="009E7FAB" w:rsidRDefault="001B1B83">
            <w:pPr>
              <w:jc w:val="center"/>
            </w:pPr>
            <w:r>
              <w:rPr>
                <w:color w:val="000000"/>
                <w:sz w:val="24"/>
                <w:szCs w:val="24"/>
              </w:rPr>
              <w:t>22.28%</w:t>
            </w:r>
          </w:p>
        </w:tc>
        <w:tc>
          <w:tcPr>
            <w:tcW w:w="1344" w:type="dxa"/>
            <w:vAlign w:val="center"/>
          </w:tcPr>
          <w:p w:rsidR="009E7FAB" w:rsidRDefault="001B1B83">
            <w:pPr>
              <w:jc w:val="center"/>
            </w:pPr>
            <w:r>
              <w:rPr>
                <w:color w:val="000000"/>
                <w:sz w:val="24"/>
                <w:szCs w:val="24"/>
              </w:rPr>
              <w:t>1.08%</w:t>
            </w:r>
          </w:p>
        </w:tc>
        <w:tc>
          <w:tcPr>
            <w:tcW w:w="1194" w:type="dxa"/>
            <w:vAlign w:val="center"/>
          </w:tcPr>
          <w:p w:rsidR="009E7FAB" w:rsidRDefault="001B1B83">
            <w:pPr>
              <w:jc w:val="center"/>
            </w:pPr>
            <w:r>
              <w:rPr>
                <w:color w:val="000000"/>
                <w:sz w:val="24"/>
                <w:szCs w:val="24"/>
              </w:rPr>
              <w:t>18.12%</w:t>
            </w:r>
          </w:p>
        </w:tc>
        <w:tc>
          <w:tcPr>
            <w:tcW w:w="1492" w:type="dxa"/>
            <w:vAlign w:val="center"/>
          </w:tcPr>
          <w:p w:rsidR="009E7FAB" w:rsidRDefault="001B1B83">
            <w:pPr>
              <w:jc w:val="center"/>
            </w:pPr>
            <w:r>
              <w:rPr>
                <w:color w:val="000000"/>
                <w:sz w:val="24"/>
                <w:szCs w:val="24"/>
              </w:rPr>
              <w:t>0.97%</w:t>
            </w:r>
          </w:p>
        </w:tc>
        <w:tc>
          <w:tcPr>
            <w:tcW w:w="1194" w:type="dxa"/>
            <w:vAlign w:val="center"/>
          </w:tcPr>
          <w:p w:rsidR="009E7FAB" w:rsidRDefault="001B1B83">
            <w:pPr>
              <w:jc w:val="center"/>
            </w:pPr>
            <w:r>
              <w:rPr>
                <w:color w:val="000000"/>
                <w:sz w:val="24"/>
                <w:szCs w:val="24"/>
              </w:rPr>
              <w:t>4.16%</w:t>
            </w:r>
          </w:p>
        </w:tc>
        <w:tc>
          <w:tcPr>
            <w:tcW w:w="898" w:type="dxa"/>
            <w:vAlign w:val="center"/>
          </w:tcPr>
          <w:p w:rsidR="009E7FAB" w:rsidRDefault="001B1B83">
            <w:pPr>
              <w:jc w:val="center"/>
            </w:pPr>
            <w:r>
              <w:rPr>
                <w:color w:val="000000"/>
                <w:sz w:val="24"/>
                <w:szCs w:val="24"/>
              </w:rPr>
              <w:t>0.11%</w:t>
            </w:r>
          </w:p>
        </w:tc>
      </w:tr>
      <w:tr w:rsidR="009E7FAB">
        <w:trPr>
          <w:jc w:val="center"/>
        </w:trPr>
        <w:tc>
          <w:tcPr>
            <w:tcW w:w="1701" w:type="dxa"/>
            <w:vAlign w:val="center"/>
          </w:tcPr>
          <w:p w:rsidR="009E7FAB" w:rsidRDefault="001B1B83">
            <w:pPr>
              <w:jc w:val="left"/>
            </w:pPr>
            <w:r>
              <w:rPr>
                <w:color w:val="000000"/>
                <w:sz w:val="24"/>
                <w:szCs w:val="24"/>
              </w:rPr>
              <w:t>自基金合同生效至今</w:t>
            </w:r>
          </w:p>
        </w:tc>
        <w:tc>
          <w:tcPr>
            <w:tcW w:w="1045" w:type="dxa"/>
            <w:vAlign w:val="center"/>
          </w:tcPr>
          <w:p w:rsidR="009E7FAB" w:rsidRDefault="001B1B83">
            <w:pPr>
              <w:jc w:val="center"/>
            </w:pPr>
            <w:r>
              <w:rPr>
                <w:color w:val="000000"/>
                <w:sz w:val="24"/>
                <w:szCs w:val="24"/>
              </w:rPr>
              <w:t>29.49%</w:t>
            </w:r>
          </w:p>
        </w:tc>
        <w:tc>
          <w:tcPr>
            <w:tcW w:w="1344" w:type="dxa"/>
            <w:vAlign w:val="center"/>
          </w:tcPr>
          <w:p w:rsidR="009E7FAB" w:rsidRDefault="001B1B83">
            <w:pPr>
              <w:jc w:val="center"/>
            </w:pPr>
            <w:r>
              <w:rPr>
                <w:color w:val="000000"/>
                <w:sz w:val="24"/>
                <w:szCs w:val="24"/>
              </w:rPr>
              <w:t>0.93%</w:t>
            </w:r>
          </w:p>
        </w:tc>
        <w:tc>
          <w:tcPr>
            <w:tcW w:w="1194" w:type="dxa"/>
            <w:vAlign w:val="center"/>
          </w:tcPr>
          <w:p w:rsidR="009E7FAB" w:rsidRDefault="001B1B83">
            <w:pPr>
              <w:jc w:val="center"/>
            </w:pPr>
            <w:r>
              <w:rPr>
                <w:color w:val="000000"/>
                <w:sz w:val="24"/>
                <w:szCs w:val="24"/>
              </w:rPr>
              <w:t>18.24%</w:t>
            </w:r>
          </w:p>
        </w:tc>
        <w:tc>
          <w:tcPr>
            <w:tcW w:w="1492" w:type="dxa"/>
            <w:vAlign w:val="center"/>
          </w:tcPr>
          <w:p w:rsidR="009E7FAB" w:rsidRDefault="001B1B83">
            <w:pPr>
              <w:jc w:val="center"/>
            </w:pPr>
            <w:r>
              <w:rPr>
                <w:color w:val="000000"/>
                <w:sz w:val="24"/>
                <w:szCs w:val="24"/>
              </w:rPr>
              <w:t>1.00%</w:t>
            </w:r>
          </w:p>
        </w:tc>
        <w:tc>
          <w:tcPr>
            <w:tcW w:w="1194" w:type="dxa"/>
            <w:vAlign w:val="center"/>
          </w:tcPr>
          <w:p w:rsidR="009E7FAB" w:rsidRDefault="001B1B83">
            <w:pPr>
              <w:jc w:val="center"/>
            </w:pPr>
            <w:r>
              <w:rPr>
                <w:color w:val="000000"/>
                <w:sz w:val="24"/>
                <w:szCs w:val="24"/>
              </w:rPr>
              <w:t>11.25%</w:t>
            </w:r>
          </w:p>
        </w:tc>
        <w:tc>
          <w:tcPr>
            <w:tcW w:w="898" w:type="dxa"/>
            <w:vAlign w:val="center"/>
          </w:tcPr>
          <w:p w:rsidR="009E7FAB" w:rsidRDefault="001B1B83">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w:t>
      </w:r>
      <w:proofErr w:type="gramStart"/>
      <w:r w:rsidRPr="00414345">
        <w:rPr>
          <w:color w:val="000000"/>
          <w:sz w:val="24"/>
          <w:szCs w:val="24"/>
        </w:rPr>
        <w:t>施罗德瑞思三年</w:t>
      </w:r>
      <w:proofErr w:type="gramEnd"/>
      <w:r w:rsidRPr="00414345">
        <w:rPr>
          <w:color w:val="000000"/>
          <w:sz w:val="24"/>
          <w:szCs w:val="24"/>
        </w:rPr>
        <w:t>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2020</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7FAB">
        <w:trPr>
          <w:jc w:val="center"/>
        </w:trPr>
        <w:tc>
          <w:tcPr>
            <w:tcW w:w="846" w:type="dxa"/>
            <w:vAlign w:val="center"/>
          </w:tcPr>
          <w:p w:rsidR="009E7FAB" w:rsidRDefault="001B1B83">
            <w:pPr>
              <w:jc w:val="center"/>
            </w:pPr>
            <w:proofErr w:type="gramStart"/>
            <w:r>
              <w:rPr>
                <w:color w:val="000000"/>
                <w:sz w:val="24"/>
                <w:szCs w:val="24"/>
              </w:rPr>
              <w:t>沈楠</w:t>
            </w:r>
            <w:proofErr w:type="gramEnd"/>
          </w:p>
        </w:tc>
        <w:tc>
          <w:tcPr>
            <w:tcW w:w="845" w:type="dxa"/>
            <w:vAlign w:val="center"/>
          </w:tcPr>
          <w:p w:rsidR="009E7FAB" w:rsidRDefault="001B1B83">
            <w:pPr>
              <w:jc w:val="center"/>
            </w:pPr>
            <w:r>
              <w:rPr>
                <w:color w:val="000000"/>
                <w:sz w:val="24"/>
                <w:szCs w:val="24"/>
              </w:rPr>
              <w:t>交</w:t>
            </w:r>
            <w:proofErr w:type="gramStart"/>
            <w:r>
              <w:rPr>
                <w:color w:val="000000"/>
                <w:sz w:val="24"/>
                <w:szCs w:val="24"/>
              </w:rPr>
              <w:t>银主题</w:t>
            </w:r>
            <w:proofErr w:type="gramEnd"/>
            <w:r>
              <w:rPr>
                <w:color w:val="000000"/>
                <w:sz w:val="24"/>
                <w:szCs w:val="24"/>
              </w:rPr>
              <w:t>优选混合、交银国企改革灵活配置混合、交</w:t>
            </w:r>
            <w:proofErr w:type="gramStart"/>
            <w:r>
              <w:rPr>
                <w:color w:val="000000"/>
                <w:sz w:val="24"/>
                <w:szCs w:val="24"/>
              </w:rPr>
              <w:t>银瑞思</w:t>
            </w:r>
            <w:proofErr w:type="gramEnd"/>
            <w:r>
              <w:rPr>
                <w:color w:val="000000"/>
                <w:sz w:val="24"/>
                <w:szCs w:val="24"/>
              </w:rPr>
              <w:t>混合的基金经理</w:t>
            </w:r>
          </w:p>
          <w:p w:rsidR="009E7FAB" w:rsidRDefault="009E7FAB">
            <w:pPr>
              <w:jc w:val="center"/>
            </w:pPr>
          </w:p>
        </w:tc>
        <w:tc>
          <w:tcPr>
            <w:tcW w:w="1549" w:type="dxa"/>
            <w:vAlign w:val="center"/>
          </w:tcPr>
          <w:p w:rsidR="009E7FAB" w:rsidRDefault="001B1B83">
            <w:pPr>
              <w:jc w:val="center"/>
            </w:pPr>
            <w:r>
              <w:rPr>
                <w:color w:val="000000"/>
                <w:sz w:val="24"/>
                <w:szCs w:val="24"/>
              </w:rPr>
              <w:t>2020-02-21</w:t>
            </w:r>
          </w:p>
        </w:tc>
        <w:tc>
          <w:tcPr>
            <w:tcW w:w="1548" w:type="dxa"/>
            <w:vAlign w:val="center"/>
          </w:tcPr>
          <w:p w:rsidR="009E7FAB" w:rsidRDefault="001B1B83">
            <w:pPr>
              <w:jc w:val="center"/>
            </w:pPr>
            <w:r>
              <w:rPr>
                <w:color w:val="000000"/>
                <w:sz w:val="24"/>
                <w:szCs w:val="24"/>
              </w:rPr>
              <w:t>-</w:t>
            </w:r>
          </w:p>
        </w:tc>
        <w:tc>
          <w:tcPr>
            <w:tcW w:w="1407" w:type="dxa"/>
            <w:vAlign w:val="center"/>
          </w:tcPr>
          <w:p w:rsidR="009E7FAB" w:rsidRDefault="001B1B83">
            <w:pPr>
              <w:jc w:val="center"/>
            </w:pPr>
            <w:r>
              <w:rPr>
                <w:color w:val="000000"/>
                <w:sz w:val="24"/>
                <w:szCs w:val="24"/>
              </w:rPr>
              <w:t>11</w:t>
            </w:r>
            <w:r>
              <w:rPr>
                <w:color w:val="000000"/>
                <w:sz w:val="24"/>
                <w:szCs w:val="24"/>
              </w:rPr>
              <w:t>年</w:t>
            </w:r>
          </w:p>
        </w:tc>
        <w:tc>
          <w:tcPr>
            <w:tcW w:w="2673" w:type="dxa"/>
            <w:vAlign w:val="center"/>
          </w:tcPr>
          <w:p w:rsidR="009E7FAB" w:rsidRDefault="001B1B83">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p w:rsidR="009E7FAB" w:rsidRDefault="009E7FAB"/>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7FAB" w:rsidRDefault="001B1B8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9E7FAB" w:rsidRDefault="001B1B8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9E7FAB" w:rsidRDefault="001B1B8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w:t>
      </w:r>
      <w:r>
        <w:rPr>
          <w:color w:val="000000"/>
          <w:sz w:val="24"/>
          <w:szCs w:val="24"/>
        </w:rPr>
        <w:t>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7FAB" w:rsidRDefault="001B1B83">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全球新冠疫情继续反复，欧美实体经济在供给和需求层面均受到一定影响。国内疫情控制较好，带动外需持续强劲复苏。我们认为国内政策在未来一段时间将逐渐回归常态，但伴随实体经济的复苏，市场有望继续呈现较强的结构性行情。</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报告期内，本基金整体维持中性偏高</w:t>
      </w:r>
      <w:proofErr w:type="gramStart"/>
      <w:r>
        <w:rPr>
          <w:color w:val="000000"/>
          <w:sz w:val="24"/>
          <w:szCs w:val="24"/>
        </w:rPr>
        <w:t>仓位</w:t>
      </w:r>
      <w:proofErr w:type="gramEnd"/>
      <w:r>
        <w:rPr>
          <w:color w:val="000000"/>
          <w:sz w:val="24"/>
          <w:szCs w:val="24"/>
        </w:rPr>
        <w:t>，行业配置主要集中在金融地产、高端先进制造及国产替代产业链、食品农业、计算机电子等行业。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年一季度，我们认为随着疫苗的接种，海外自身需求迎来回暖，这对国内市场也将带来积极意义。</w:t>
      </w:r>
      <w:proofErr w:type="gramStart"/>
      <w:r w:rsidRPr="00414345">
        <w:rPr>
          <w:color w:val="000000"/>
          <w:sz w:val="24"/>
          <w:szCs w:val="24"/>
        </w:rPr>
        <w:t>伴随科创板</w:t>
      </w:r>
      <w:proofErr w:type="gramEnd"/>
      <w:r w:rsidRPr="00414345">
        <w:rPr>
          <w:color w:val="000000"/>
          <w:sz w:val="24"/>
          <w:szCs w:val="24"/>
        </w:rPr>
        <w:t>及创业板中更多优质资产登陆资本市场，上市企业的分化会加大，拥有较好现金流以及商业壁垒的平台型企业是我们看好的主要方向，同时积极关注受益外需回暖的领域和上市企业。中长期来看，我们仍将聚焦拥有核心技术壁垒的高端制造业，受益于技术升级的计算机、电子等行业，以及受益内循环的食品、医药等必须消费品，同时关注低估值蓝筹的修复性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5,576,973,885.32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5,576,973,885.32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730,521.92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730,521.92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864,604,463.75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2,612,238.45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6,444,921,109.44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8844FE" w:rsidP="00C15CAC">
      <w:pPr>
        <w:autoSpaceDE w:val="0"/>
        <w:autoSpaceDN w:val="0"/>
        <w:adjustRightInd w:val="0"/>
        <w:spacing w:before="29" w:line="288" w:lineRule="auto"/>
        <w:jc w:val="left"/>
        <w:rPr>
          <w:color w:val="000000"/>
          <w:sz w:val="24"/>
          <w:szCs w:val="24"/>
        </w:rPr>
      </w:pPr>
      <w:r>
        <w:rPr>
          <w:rFonts w:hint="eastAsia"/>
          <w:color w:val="000000"/>
          <w:sz w:val="24"/>
          <w:szCs w:val="24"/>
        </w:rPr>
        <w:t>注</w:t>
      </w:r>
      <w:r>
        <w:rPr>
          <w:color w:val="000000"/>
          <w:sz w:val="24"/>
          <w:szCs w:val="24"/>
        </w:rPr>
        <w:t>：</w:t>
      </w:r>
      <w:bookmarkStart w:id="0" w:name="_GoBack"/>
      <w:bookmarkEnd w:id="0"/>
      <w:r w:rsidR="00844DF6" w:rsidRPr="00844DF6">
        <w:rPr>
          <w:rFonts w:hint="eastAsia"/>
          <w:color w:val="000000"/>
          <w:sz w:val="24"/>
          <w:szCs w:val="24"/>
        </w:rPr>
        <w:t>本基金本报告期末通过港股通机制投资香港股票的公允价值为</w:t>
      </w:r>
      <w:r w:rsidR="00844DF6" w:rsidRPr="00844DF6">
        <w:rPr>
          <w:rFonts w:hint="eastAsia"/>
          <w:color w:val="000000"/>
          <w:sz w:val="24"/>
          <w:szCs w:val="24"/>
        </w:rPr>
        <w:t xml:space="preserve"> 347,267,885.28</w:t>
      </w:r>
      <w:r w:rsidR="00844DF6" w:rsidRPr="00844DF6">
        <w:rPr>
          <w:rFonts w:hint="eastAsia"/>
          <w:color w:val="000000"/>
          <w:sz w:val="24"/>
          <w:szCs w:val="24"/>
        </w:rPr>
        <w:t>元，占基金资产净值比例为</w:t>
      </w:r>
      <w:r w:rsidR="00844DF6" w:rsidRPr="00844DF6">
        <w:rPr>
          <w:rFonts w:hint="eastAsia"/>
          <w:color w:val="000000"/>
          <w:sz w:val="24"/>
          <w:szCs w:val="24"/>
        </w:rPr>
        <w:t>5.42%</w:t>
      </w:r>
      <w:r w:rsidR="00844DF6">
        <w:rPr>
          <w:rFonts w:hint="eastAsia"/>
          <w:color w:val="000000"/>
          <w:sz w:val="24"/>
          <w:szCs w:val="24"/>
        </w:rPr>
        <w:t>。</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105,410,713.66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192,909,338.00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2,081,522,113.48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61,182,496.89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627,838,247.44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67,001,109.55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457,201,929.44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946,142,873.05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413,711,150.14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28,801,832.20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46,438,496.00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201,513,728.27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5,229,706,000.04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81.66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9E7FAB">
        <w:trPr>
          <w:jc w:val="center"/>
        </w:trPr>
        <w:tc>
          <w:tcPr>
            <w:tcW w:w="2397" w:type="dxa"/>
            <w:vAlign w:val="center"/>
          </w:tcPr>
          <w:p w:rsidR="009E7FAB" w:rsidRDefault="001B1B83">
            <w:pPr>
              <w:jc w:val="center"/>
            </w:pPr>
            <w:r>
              <w:rPr>
                <w:color w:val="000000"/>
                <w:sz w:val="24"/>
              </w:rPr>
              <w:t>非日常生活消费品</w:t>
            </w:r>
          </w:p>
        </w:tc>
        <w:tc>
          <w:tcPr>
            <w:tcW w:w="3119" w:type="dxa"/>
            <w:vAlign w:val="center"/>
          </w:tcPr>
          <w:p w:rsidR="009E7FAB" w:rsidRDefault="001B1B83">
            <w:pPr>
              <w:jc w:val="center"/>
            </w:pPr>
            <w:r>
              <w:rPr>
                <w:color w:val="000000"/>
                <w:sz w:val="24"/>
              </w:rPr>
              <w:t>14,978,397.76</w:t>
            </w:r>
          </w:p>
        </w:tc>
        <w:tc>
          <w:tcPr>
            <w:tcW w:w="3118" w:type="dxa"/>
            <w:vAlign w:val="center"/>
          </w:tcPr>
          <w:p w:rsidR="009E7FAB" w:rsidRDefault="001B1B83">
            <w:pPr>
              <w:jc w:val="center"/>
            </w:pPr>
            <w:r>
              <w:rPr>
                <w:color w:val="000000"/>
                <w:sz w:val="24"/>
              </w:rPr>
              <w:t>0.23</w:t>
            </w:r>
          </w:p>
        </w:tc>
      </w:tr>
      <w:tr w:rsidR="009E7FAB">
        <w:trPr>
          <w:jc w:val="center"/>
        </w:trPr>
        <w:tc>
          <w:tcPr>
            <w:tcW w:w="2397" w:type="dxa"/>
            <w:vAlign w:val="center"/>
          </w:tcPr>
          <w:p w:rsidR="009E7FAB" w:rsidRDefault="001B1B83">
            <w:pPr>
              <w:jc w:val="center"/>
            </w:pPr>
            <w:r>
              <w:rPr>
                <w:color w:val="000000"/>
                <w:sz w:val="24"/>
              </w:rPr>
              <w:t>金融</w:t>
            </w:r>
          </w:p>
        </w:tc>
        <w:tc>
          <w:tcPr>
            <w:tcW w:w="3119" w:type="dxa"/>
            <w:vAlign w:val="center"/>
          </w:tcPr>
          <w:p w:rsidR="009E7FAB" w:rsidRDefault="001B1B83">
            <w:pPr>
              <w:jc w:val="center"/>
            </w:pPr>
            <w:r>
              <w:rPr>
                <w:color w:val="000000"/>
                <w:sz w:val="24"/>
              </w:rPr>
              <w:t>54,691,366.32</w:t>
            </w:r>
          </w:p>
        </w:tc>
        <w:tc>
          <w:tcPr>
            <w:tcW w:w="3118" w:type="dxa"/>
            <w:vAlign w:val="center"/>
          </w:tcPr>
          <w:p w:rsidR="009E7FAB" w:rsidRDefault="001B1B83">
            <w:pPr>
              <w:jc w:val="center"/>
            </w:pPr>
            <w:r>
              <w:rPr>
                <w:color w:val="000000"/>
                <w:sz w:val="24"/>
              </w:rPr>
              <w:t>0.85</w:t>
            </w:r>
          </w:p>
        </w:tc>
      </w:tr>
      <w:tr w:rsidR="009E7FAB">
        <w:trPr>
          <w:jc w:val="center"/>
        </w:trPr>
        <w:tc>
          <w:tcPr>
            <w:tcW w:w="2397" w:type="dxa"/>
            <w:vAlign w:val="center"/>
          </w:tcPr>
          <w:p w:rsidR="009E7FAB" w:rsidRDefault="001B1B83">
            <w:pPr>
              <w:jc w:val="center"/>
            </w:pPr>
            <w:r>
              <w:rPr>
                <w:color w:val="000000"/>
                <w:sz w:val="24"/>
              </w:rPr>
              <w:t>通讯服务</w:t>
            </w:r>
          </w:p>
        </w:tc>
        <w:tc>
          <w:tcPr>
            <w:tcW w:w="3119" w:type="dxa"/>
            <w:vAlign w:val="center"/>
          </w:tcPr>
          <w:p w:rsidR="009E7FAB" w:rsidRDefault="001B1B83">
            <w:pPr>
              <w:jc w:val="center"/>
            </w:pPr>
            <w:r>
              <w:rPr>
                <w:color w:val="000000"/>
                <w:sz w:val="24"/>
              </w:rPr>
              <w:t>83,686,958.45</w:t>
            </w:r>
          </w:p>
        </w:tc>
        <w:tc>
          <w:tcPr>
            <w:tcW w:w="3118" w:type="dxa"/>
            <w:vAlign w:val="center"/>
          </w:tcPr>
          <w:p w:rsidR="009E7FAB" w:rsidRDefault="001B1B83">
            <w:pPr>
              <w:jc w:val="center"/>
            </w:pPr>
            <w:r>
              <w:rPr>
                <w:color w:val="000000"/>
                <w:sz w:val="24"/>
              </w:rPr>
              <w:t>1.31</w:t>
            </w:r>
          </w:p>
        </w:tc>
      </w:tr>
      <w:tr w:rsidR="009E7FAB">
        <w:trPr>
          <w:jc w:val="center"/>
        </w:trPr>
        <w:tc>
          <w:tcPr>
            <w:tcW w:w="2397" w:type="dxa"/>
            <w:vAlign w:val="center"/>
          </w:tcPr>
          <w:p w:rsidR="009E7FAB" w:rsidRDefault="001B1B83">
            <w:pPr>
              <w:jc w:val="center"/>
            </w:pPr>
            <w:r>
              <w:rPr>
                <w:color w:val="000000"/>
                <w:sz w:val="24"/>
              </w:rPr>
              <w:t>医疗保健</w:t>
            </w:r>
          </w:p>
        </w:tc>
        <w:tc>
          <w:tcPr>
            <w:tcW w:w="3119" w:type="dxa"/>
            <w:vAlign w:val="center"/>
          </w:tcPr>
          <w:p w:rsidR="009E7FAB" w:rsidRDefault="001B1B83">
            <w:pPr>
              <w:jc w:val="center"/>
            </w:pPr>
            <w:r>
              <w:rPr>
                <w:color w:val="000000"/>
                <w:sz w:val="24"/>
              </w:rPr>
              <w:t>193,911,162.75</w:t>
            </w:r>
          </w:p>
        </w:tc>
        <w:tc>
          <w:tcPr>
            <w:tcW w:w="3118" w:type="dxa"/>
            <w:vAlign w:val="center"/>
          </w:tcPr>
          <w:p w:rsidR="009E7FAB" w:rsidRDefault="001B1B83">
            <w:pPr>
              <w:jc w:val="center"/>
            </w:pPr>
            <w:r>
              <w:rPr>
                <w:color w:val="000000"/>
                <w:sz w:val="24"/>
              </w:rPr>
              <w:t>3.03</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347,267,885.28</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5.42</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E7FAB">
        <w:trPr>
          <w:jc w:val="center"/>
        </w:trPr>
        <w:tc>
          <w:tcPr>
            <w:tcW w:w="855" w:type="dxa"/>
            <w:vAlign w:val="center"/>
          </w:tcPr>
          <w:p w:rsidR="009E7FAB" w:rsidRDefault="001B1B83">
            <w:pPr>
              <w:jc w:val="center"/>
            </w:pPr>
            <w:r>
              <w:rPr>
                <w:color w:val="000000"/>
                <w:sz w:val="24"/>
                <w:szCs w:val="24"/>
              </w:rPr>
              <w:t>1</w:t>
            </w:r>
          </w:p>
        </w:tc>
        <w:tc>
          <w:tcPr>
            <w:tcW w:w="1334" w:type="dxa"/>
            <w:vAlign w:val="center"/>
          </w:tcPr>
          <w:p w:rsidR="009E7FAB" w:rsidRDefault="001B1B83">
            <w:pPr>
              <w:jc w:val="center"/>
            </w:pPr>
            <w:r>
              <w:rPr>
                <w:color w:val="000000"/>
                <w:sz w:val="24"/>
                <w:szCs w:val="24"/>
              </w:rPr>
              <w:t>002352</w:t>
            </w:r>
          </w:p>
        </w:tc>
        <w:tc>
          <w:tcPr>
            <w:tcW w:w="1777" w:type="dxa"/>
            <w:vAlign w:val="center"/>
          </w:tcPr>
          <w:p w:rsidR="009E7FAB" w:rsidRDefault="001B1B83">
            <w:pPr>
              <w:jc w:val="center"/>
            </w:pPr>
            <w:r>
              <w:rPr>
                <w:color w:val="000000"/>
                <w:sz w:val="24"/>
                <w:szCs w:val="24"/>
              </w:rPr>
              <w:t>顺丰控股</w:t>
            </w:r>
          </w:p>
        </w:tc>
        <w:tc>
          <w:tcPr>
            <w:tcW w:w="1334" w:type="dxa"/>
            <w:vAlign w:val="center"/>
          </w:tcPr>
          <w:p w:rsidR="009E7FAB" w:rsidRDefault="001B1B83">
            <w:pPr>
              <w:jc w:val="right"/>
            </w:pPr>
            <w:r>
              <w:rPr>
                <w:color w:val="000000"/>
                <w:sz w:val="24"/>
                <w:szCs w:val="24"/>
              </w:rPr>
              <w:t>4,212,861</w:t>
            </w:r>
          </w:p>
        </w:tc>
        <w:tc>
          <w:tcPr>
            <w:tcW w:w="1924" w:type="dxa"/>
            <w:vAlign w:val="center"/>
          </w:tcPr>
          <w:p w:rsidR="009E7FAB" w:rsidRDefault="001B1B83">
            <w:pPr>
              <w:jc w:val="right"/>
            </w:pPr>
            <w:r>
              <w:rPr>
                <w:color w:val="000000"/>
                <w:sz w:val="24"/>
                <w:szCs w:val="24"/>
              </w:rPr>
              <w:t>371,700,726.03</w:t>
            </w:r>
          </w:p>
        </w:tc>
        <w:tc>
          <w:tcPr>
            <w:tcW w:w="1644" w:type="dxa"/>
            <w:vAlign w:val="center"/>
          </w:tcPr>
          <w:p w:rsidR="009E7FAB" w:rsidRDefault="001B1B83">
            <w:pPr>
              <w:jc w:val="right"/>
            </w:pPr>
            <w:r>
              <w:rPr>
                <w:color w:val="000000"/>
                <w:sz w:val="24"/>
                <w:szCs w:val="24"/>
              </w:rPr>
              <w:t>5.80</w:t>
            </w:r>
          </w:p>
        </w:tc>
      </w:tr>
      <w:tr w:rsidR="009E7FAB">
        <w:trPr>
          <w:jc w:val="center"/>
        </w:trPr>
        <w:tc>
          <w:tcPr>
            <w:tcW w:w="855" w:type="dxa"/>
            <w:vAlign w:val="center"/>
          </w:tcPr>
          <w:p w:rsidR="009E7FAB" w:rsidRDefault="001B1B83">
            <w:pPr>
              <w:jc w:val="center"/>
            </w:pPr>
            <w:r>
              <w:rPr>
                <w:color w:val="000000"/>
                <w:sz w:val="24"/>
                <w:szCs w:val="24"/>
              </w:rPr>
              <w:t>2</w:t>
            </w:r>
          </w:p>
        </w:tc>
        <w:tc>
          <w:tcPr>
            <w:tcW w:w="1334" w:type="dxa"/>
            <w:vAlign w:val="center"/>
          </w:tcPr>
          <w:p w:rsidR="009E7FAB" w:rsidRDefault="001B1B83">
            <w:pPr>
              <w:jc w:val="center"/>
            </w:pPr>
            <w:r>
              <w:rPr>
                <w:color w:val="000000"/>
                <w:sz w:val="24"/>
                <w:szCs w:val="24"/>
              </w:rPr>
              <w:t>600690</w:t>
            </w:r>
          </w:p>
        </w:tc>
        <w:tc>
          <w:tcPr>
            <w:tcW w:w="1777" w:type="dxa"/>
            <w:vAlign w:val="center"/>
          </w:tcPr>
          <w:p w:rsidR="009E7FAB" w:rsidRDefault="001B1B83">
            <w:pPr>
              <w:jc w:val="center"/>
            </w:pPr>
            <w:r>
              <w:rPr>
                <w:color w:val="000000"/>
                <w:sz w:val="24"/>
                <w:szCs w:val="24"/>
              </w:rPr>
              <w:t>海尔智家</w:t>
            </w:r>
          </w:p>
        </w:tc>
        <w:tc>
          <w:tcPr>
            <w:tcW w:w="1334" w:type="dxa"/>
            <w:vAlign w:val="center"/>
          </w:tcPr>
          <w:p w:rsidR="009E7FAB" w:rsidRDefault="001B1B83">
            <w:pPr>
              <w:jc w:val="right"/>
            </w:pPr>
            <w:r>
              <w:rPr>
                <w:color w:val="000000"/>
                <w:sz w:val="24"/>
                <w:szCs w:val="24"/>
              </w:rPr>
              <w:t>8,996,657</w:t>
            </w:r>
          </w:p>
        </w:tc>
        <w:tc>
          <w:tcPr>
            <w:tcW w:w="1924" w:type="dxa"/>
            <w:vAlign w:val="center"/>
          </w:tcPr>
          <w:p w:rsidR="009E7FAB" w:rsidRDefault="001B1B83">
            <w:pPr>
              <w:jc w:val="right"/>
            </w:pPr>
            <w:r>
              <w:rPr>
                <w:color w:val="000000"/>
                <w:sz w:val="24"/>
                <w:szCs w:val="24"/>
              </w:rPr>
              <w:t>262,792,350.97</w:t>
            </w:r>
          </w:p>
        </w:tc>
        <w:tc>
          <w:tcPr>
            <w:tcW w:w="1644" w:type="dxa"/>
            <w:vAlign w:val="center"/>
          </w:tcPr>
          <w:p w:rsidR="009E7FAB" w:rsidRDefault="001B1B83">
            <w:pPr>
              <w:jc w:val="right"/>
            </w:pPr>
            <w:r>
              <w:rPr>
                <w:color w:val="000000"/>
                <w:sz w:val="24"/>
                <w:szCs w:val="24"/>
              </w:rPr>
              <w:t>4.10</w:t>
            </w:r>
          </w:p>
        </w:tc>
      </w:tr>
      <w:tr w:rsidR="009E7FAB">
        <w:trPr>
          <w:jc w:val="center"/>
        </w:trPr>
        <w:tc>
          <w:tcPr>
            <w:tcW w:w="855" w:type="dxa"/>
            <w:vAlign w:val="center"/>
          </w:tcPr>
          <w:p w:rsidR="009E7FAB" w:rsidRDefault="001B1B83">
            <w:pPr>
              <w:jc w:val="center"/>
            </w:pPr>
            <w:r>
              <w:rPr>
                <w:color w:val="000000"/>
                <w:sz w:val="24"/>
                <w:szCs w:val="24"/>
              </w:rPr>
              <w:t>3</w:t>
            </w:r>
          </w:p>
        </w:tc>
        <w:tc>
          <w:tcPr>
            <w:tcW w:w="1334" w:type="dxa"/>
            <w:vAlign w:val="center"/>
          </w:tcPr>
          <w:p w:rsidR="009E7FAB" w:rsidRDefault="001B1B83">
            <w:pPr>
              <w:jc w:val="center"/>
            </w:pPr>
            <w:r>
              <w:rPr>
                <w:color w:val="000000"/>
                <w:sz w:val="24"/>
                <w:szCs w:val="24"/>
              </w:rPr>
              <w:t>601318</w:t>
            </w:r>
          </w:p>
        </w:tc>
        <w:tc>
          <w:tcPr>
            <w:tcW w:w="1777" w:type="dxa"/>
            <w:vAlign w:val="center"/>
          </w:tcPr>
          <w:p w:rsidR="009E7FAB" w:rsidRDefault="001B1B83">
            <w:pPr>
              <w:jc w:val="center"/>
            </w:pPr>
            <w:r>
              <w:rPr>
                <w:color w:val="000000"/>
                <w:sz w:val="24"/>
                <w:szCs w:val="24"/>
              </w:rPr>
              <w:t>中国平安</w:t>
            </w:r>
          </w:p>
        </w:tc>
        <w:tc>
          <w:tcPr>
            <w:tcW w:w="1334" w:type="dxa"/>
            <w:vAlign w:val="center"/>
          </w:tcPr>
          <w:p w:rsidR="009E7FAB" w:rsidRDefault="001B1B83">
            <w:pPr>
              <w:jc w:val="right"/>
            </w:pPr>
            <w:r>
              <w:rPr>
                <w:color w:val="000000"/>
                <w:sz w:val="24"/>
                <w:szCs w:val="24"/>
              </w:rPr>
              <w:t>2,643,049</w:t>
            </w:r>
          </w:p>
        </w:tc>
        <w:tc>
          <w:tcPr>
            <w:tcW w:w="1924" w:type="dxa"/>
            <w:vAlign w:val="center"/>
          </w:tcPr>
          <w:p w:rsidR="009E7FAB" w:rsidRDefault="001B1B83">
            <w:pPr>
              <w:jc w:val="right"/>
            </w:pPr>
            <w:r>
              <w:rPr>
                <w:color w:val="000000"/>
                <w:sz w:val="24"/>
                <w:szCs w:val="24"/>
              </w:rPr>
              <w:t>229,892,402.02</w:t>
            </w:r>
          </w:p>
        </w:tc>
        <w:tc>
          <w:tcPr>
            <w:tcW w:w="1644" w:type="dxa"/>
            <w:vAlign w:val="center"/>
          </w:tcPr>
          <w:p w:rsidR="009E7FAB" w:rsidRDefault="001B1B83">
            <w:pPr>
              <w:jc w:val="right"/>
            </w:pPr>
            <w:r>
              <w:rPr>
                <w:color w:val="000000"/>
                <w:sz w:val="24"/>
                <w:szCs w:val="24"/>
              </w:rPr>
              <w:t>3.59</w:t>
            </w:r>
          </w:p>
        </w:tc>
      </w:tr>
      <w:tr w:rsidR="009E7FAB">
        <w:trPr>
          <w:jc w:val="center"/>
        </w:trPr>
        <w:tc>
          <w:tcPr>
            <w:tcW w:w="855" w:type="dxa"/>
            <w:vAlign w:val="center"/>
          </w:tcPr>
          <w:p w:rsidR="009E7FAB" w:rsidRDefault="001B1B83">
            <w:pPr>
              <w:jc w:val="center"/>
            </w:pPr>
            <w:r>
              <w:rPr>
                <w:color w:val="000000"/>
                <w:sz w:val="24"/>
                <w:szCs w:val="24"/>
              </w:rPr>
              <w:t>4</w:t>
            </w:r>
          </w:p>
        </w:tc>
        <w:tc>
          <w:tcPr>
            <w:tcW w:w="1334" w:type="dxa"/>
            <w:vAlign w:val="center"/>
          </w:tcPr>
          <w:p w:rsidR="009E7FAB" w:rsidRDefault="001B1B83">
            <w:pPr>
              <w:jc w:val="center"/>
            </w:pPr>
            <w:r>
              <w:rPr>
                <w:color w:val="000000"/>
                <w:sz w:val="24"/>
                <w:szCs w:val="24"/>
              </w:rPr>
              <w:t>601166</w:t>
            </w:r>
          </w:p>
        </w:tc>
        <w:tc>
          <w:tcPr>
            <w:tcW w:w="1777" w:type="dxa"/>
            <w:vAlign w:val="center"/>
          </w:tcPr>
          <w:p w:rsidR="009E7FAB" w:rsidRDefault="001B1B83">
            <w:pPr>
              <w:jc w:val="center"/>
            </w:pPr>
            <w:r>
              <w:rPr>
                <w:color w:val="000000"/>
                <w:sz w:val="24"/>
                <w:szCs w:val="24"/>
              </w:rPr>
              <w:t>兴业银行</w:t>
            </w:r>
          </w:p>
        </w:tc>
        <w:tc>
          <w:tcPr>
            <w:tcW w:w="1334" w:type="dxa"/>
            <w:vAlign w:val="center"/>
          </w:tcPr>
          <w:p w:rsidR="009E7FAB" w:rsidRDefault="001B1B83">
            <w:pPr>
              <w:jc w:val="right"/>
            </w:pPr>
            <w:r>
              <w:rPr>
                <w:color w:val="000000"/>
                <w:sz w:val="24"/>
                <w:szCs w:val="24"/>
              </w:rPr>
              <w:t>11,004,759</w:t>
            </w:r>
          </w:p>
        </w:tc>
        <w:tc>
          <w:tcPr>
            <w:tcW w:w="1924" w:type="dxa"/>
            <w:vAlign w:val="center"/>
          </w:tcPr>
          <w:p w:rsidR="009E7FAB" w:rsidRDefault="001B1B83">
            <w:pPr>
              <w:jc w:val="right"/>
            </w:pPr>
            <w:r>
              <w:rPr>
                <w:color w:val="000000"/>
                <w:sz w:val="24"/>
                <w:szCs w:val="24"/>
              </w:rPr>
              <w:t>229,669,320.33</w:t>
            </w:r>
          </w:p>
        </w:tc>
        <w:tc>
          <w:tcPr>
            <w:tcW w:w="1644" w:type="dxa"/>
            <w:vAlign w:val="center"/>
          </w:tcPr>
          <w:p w:rsidR="009E7FAB" w:rsidRDefault="001B1B83">
            <w:pPr>
              <w:jc w:val="right"/>
            </w:pPr>
            <w:r>
              <w:rPr>
                <w:color w:val="000000"/>
                <w:sz w:val="24"/>
                <w:szCs w:val="24"/>
              </w:rPr>
              <w:t>3.59</w:t>
            </w:r>
          </w:p>
        </w:tc>
      </w:tr>
      <w:tr w:rsidR="009E7FAB">
        <w:trPr>
          <w:jc w:val="center"/>
        </w:trPr>
        <w:tc>
          <w:tcPr>
            <w:tcW w:w="855" w:type="dxa"/>
            <w:vAlign w:val="center"/>
          </w:tcPr>
          <w:p w:rsidR="009E7FAB" w:rsidRDefault="001B1B83">
            <w:pPr>
              <w:jc w:val="center"/>
            </w:pPr>
            <w:r>
              <w:rPr>
                <w:color w:val="000000"/>
                <w:sz w:val="24"/>
                <w:szCs w:val="24"/>
              </w:rPr>
              <w:t>5</w:t>
            </w:r>
          </w:p>
        </w:tc>
        <w:tc>
          <w:tcPr>
            <w:tcW w:w="1334" w:type="dxa"/>
            <w:vAlign w:val="center"/>
          </w:tcPr>
          <w:p w:rsidR="009E7FAB" w:rsidRDefault="001B1B83">
            <w:pPr>
              <w:jc w:val="center"/>
            </w:pPr>
            <w:r>
              <w:rPr>
                <w:color w:val="000000"/>
                <w:sz w:val="24"/>
                <w:szCs w:val="24"/>
              </w:rPr>
              <w:t>600030</w:t>
            </w:r>
          </w:p>
        </w:tc>
        <w:tc>
          <w:tcPr>
            <w:tcW w:w="1777" w:type="dxa"/>
            <w:vAlign w:val="center"/>
          </w:tcPr>
          <w:p w:rsidR="009E7FAB" w:rsidRDefault="001B1B83">
            <w:pPr>
              <w:jc w:val="center"/>
            </w:pPr>
            <w:r>
              <w:rPr>
                <w:color w:val="000000"/>
                <w:sz w:val="24"/>
                <w:szCs w:val="24"/>
              </w:rPr>
              <w:t>中信证券</w:t>
            </w:r>
          </w:p>
        </w:tc>
        <w:tc>
          <w:tcPr>
            <w:tcW w:w="1334" w:type="dxa"/>
            <w:vAlign w:val="center"/>
          </w:tcPr>
          <w:p w:rsidR="009E7FAB" w:rsidRDefault="001B1B83">
            <w:pPr>
              <w:jc w:val="right"/>
            </w:pPr>
            <w:r>
              <w:rPr>
                <w:color w:val="000000"/>
                <w:sz w:val="24"/>
                <w:szCs w:val="24"/>
              </w:rPr>
              <w:t>4,417,000</w:t>
            </w:r>
          </w:p>
        </w:tc>
        <w:tc>
          <w:tcPr>
            <w:tcW w:w="1924" w:type="dxa"/>
            <w:vAlign w:val="center"/>
          </w:tcPr>
          <w:p w:rsidR="009E7FAB" w:rsidRDefault="001B1B83">
            <w:pPr>
              <w:jc w:val="right"/>
            </w:pPr>
            <w:r>
              <w:rPr>
                <w:color w:val="000000"/>
                <w:sz w:val="24"/>
                <w:szCs w:val="24"/>
              </w:rPr>
              <w:t>129,859,800.00</w:t>
            </w:r>
          </w:p>
        </w:tc>
        <w:tc>
          <w:tcPr>
            <w:tcW w:w="1644" w:type="dxa"/>
            <w:vAlign w:val="center"/>
          </w:tcPr>
          <w:p w:rsidR="009E7FAB" w:rsidRDefault="001B1B83">
            <w:pPr>
              <w:jc w:val="right"/>
            </w:pPr>
            <w:r>
              <w:rPr>
                <w:color w:val="000000"/>
                <w:sz w:val="24"/>
                <w:szCs w:val="24"/>
              </w:rPr>
              <w:t>2.03</w:t>
            </w:r>
          </w:p>
        </w:tc>
      </w:tr>
      <w:tr w:rsidR="009E7FAB">
        <w:trPr>
          <w:jc w:val="center"/>
        </w:trPr>
        <w:tc>
          <w:tcPr>
            <w:tcW w:w="855" w:type="dxa"/>
            <w:vAlign w:val="center"/>
          </w:tcPr>
          <w:p w:rsidR="009E7FAB" w:rsidRDefault="001B1B83">
            <w:pPr>
              <w:jc w:val="center"/>
            </w:pPr>
            <w:r>
              <w:rPr>
                <w:color w:val="000000"/>
                <w:sz w:val="24"/>
                <w:szCs w:val="24"/>
              </w:rPr>
              <w:t>5</w:t>
            </w:r>
          </w:p>
        </w:tc>
        <w:tc>
          <w:tcPr>
            <w:tcW w:w="1334" w:type="dxa"/>
            <w:vAlign w:val="center"/>
          </w:tcPr>
          <w:p w:rsidR="009E7FAB" w:rsidRDefault="001B1B83">
            <w:pPr>
              <w:jc w:val="center"/>
            </w:pPr>
            <w:r>
              <w:rPr>
                <w:color w:val="000000"/>
                <w:sz w:val="24"/>
                <w:szCs w:val="24"/>
              </w:rPr>
              <w:t>06030.HK</w:t>
            </w:r>
          </w:p>
        </w:tc>
        <w:tc>
          <w:tcPr>
            <w:tcW w:w="1777" w:type="dxa"/>
            <w:vAlign w:val="center"/>
          </w:tcPr>
          <w:p w:rsidR="009E7FAB" w:rsidRDefault="001B1B83">
            <w:pPr>
              <w:jc w:val="center"/>
            </w:pPr>
            <w:r>
              <w:rPr>
                <w:color w:val="000000"/>
                <w:sz w:val="24"/>
                <w:szCs w:val="24"/>
              </w:rPr>
              <w:t>中信证券</w:t>
            </w:r>
          </w:p>
        </w:tc>
        <w:tc>
          <w:tcPr>
            <w:tcW w:w="1334" w:type="dxa"/>
            <w:vAlign w:val="center"/>
          </w:tcPr>
          <w:p w:rsidR="009E7FAB" w:rsidRDefault="001B1B83">
            <w:pPr>
              <w:jc w:val="right"/>
            </w:pPr>
            <w:r>
              <w:rPr>
                <w:color w:val="000000"/>
                <w:sz w:val="24"/>
                <w:szCs w:val="24"/>
              </w:rPr>
              <w:t>3,717,500</w:t>
            </w:r>
          </w:p>
        </w:tc>
        <w:tc>
          <w:tcPr>
            <w:tcW w:w="1924" w:type="dxa"/>
            <w:vAlign w:val="center"/>
          </w:tcPr>
          <w:p w:rsidR="009E7FAB" w:rsidRDefault="001B1B83">
            <w:pPr>
              <w:jc w:val="right"/>
            </w:pPr>
            <w:r>
              <w:rPr>
                <w:color w:val="000000"/>
                <w:sz w:val="24"/>
                <w:szCs w:val="24"/>
              </w:rPr>
              <w:t>54,691,366.32</w:t>
            </w:r>
          </w:p>
        </w:tc>
        <w:tc>
          <w:tcPr>
            <w:tcW w:w="1644" w:type="dxa"/>
            <w:vAlign w:val="center"/>
          </w:tcPr>
          <w:p w:rsidR="009E7FAB" w:rsidRDefault="001B1B83">
            <w:pPr>
              <w:jc w:val="right"/>
            </w:pPr>
            <w:r>
              <w:rPr>
                <w:color w:val="000000"/>
                <w:sz w:val="24"/>
                <w:szCs w:val="24"/>
              </w:rPr>
              <w:t>0.85</w:t>
            </w:r>
          </w:p>
        </w:tc>
      </w:tr>
      <w:tr w:rsidR="009E7FAB">
        <w:trPr>
          <w:jc w:val="center"/>
        </w:trPr>
        <w:tc>
          <w:tcPr>
            <w:tcW w:w="855" w:type="dxa"/>
            <w:vAlign w:val="center"/>
          </w:tcPr>
          <w:p w:rsidR="009E7FAB" w:rsidRDefault="001B1B83">
            <w:pPr>
              <w:jc w:val="center"/>
            </w:pPr>
            <w:r>
              <w:rPr>
                <w:color w:val="000000"/>
                <w:sz w:val="24"/>
                <w:szCs w:val="24"/>
              </w:rPr>
              <w:lastRenderedPageBreak/>
              <w:t>6</w:t>
            </w:r>
          </w:p>
        </w:tc>
        <w:tc>
          <w:tcPr>
            <w:tcW w:w="1334" w:type="dxa"/>
            <w:vAlign w:val="center"/>
          </w:tcPr>
          <w:p w:rsidR="009E7FAB" w:rsidRDefault="001B1B83">
            <w:pPr>
              <w:jc w:val="center"/>
            </w:pPr>
            <w:r>
              <w:rPr>
                <w:color w:val="000000"/>
                <w:sz w:val="24"/>
                <w:szCs w:val="24"/>
              </w:rPr>
              <w:t>01066.HK</w:t>
            </w:r>
          </w:p>
        </w:tc>
        <w:tc>
          <w:tcPr>
            <w:tcW w:w="1777" w:type="dxa"/>
            <w:vAlign w:val="center"/>
          </w:tcPr>
          <w:p w:rsidR="009E7FAB" w:rsidRDefault="001B1B83">
            <w:pPr>
              <w:jc w:val="center"/>
            </w:pPr>
            <w:r>
              <w:rPr>
                <w:color w:val="000000"/>
                <w:sz w:val="24"/>
                <w:szCs w:val="24"/>
              </w:rPr>
              <w:t>威高股份</w:t>
            </w:r>
          </w:p>
        </w:tc>
        <w:tc>
          <w:tcPr>
            <w:tcW w:w="1334" w:type="dxa"/>
            <w:vAlign w:val="center"/>
          </w:tcPr>
          <w:p w:rsidR="009E7FAB" w:rsidRDefault="001B1B83">
            <w:pPr>
              <w:jc w:val="right"/>
            </w:pPr>
            <w:r>
              <w:rPr>
                <w:color w:val="000000"/>
                <w:sz w:val="24"/>
                <w:szCs w:val="24"/>
              </w:rPr>
              <w:t>11,340,000</w:t>
            </w:r>
          </w:p>
        </w:tc>
        <w:tc>
          <w:tcPr>
            <w:tcW w:w="1924" w:type="dxa"/>
            <w:vAlign w:val="center"/>
          </w:tcPr>
          <w:p w:rsidR="009E7FAB" w:rsidRDefault="001B1B83">
            <w:pPr>
              <w:jc w:val="right"/>
            </w:pPr>
            <w:r>
              <w:rPr>
                <w:color w:val="000000"/>
                <w:sz w:val="24"/>
                <w:szCs w:val="24"/>
              </w:rPr>
              <w:t>167,214,341.95</w:t>
            </w:r>
          </w:p>
        </w:tc>
        <w:tc>
          <w:tcPr>
            <w:tcW w:w="1644" w:type="dxa"/>
            <w:vAlign w:val="center"/>
          </w:tcPr>
          <w:p w:rsidR="009E7FAB" w:rsidRDefault="001B1B83">
            <w:pPr>
              <w:jc w:val="right"/>
            </w:pPr>
            <w:r>
              <w:rPr>
                <w:color w:val="000000"/>
                <w:sz w:val="24"/>
                <w:szCs w:val="24"/>
              </w:rPr>
              <w:t>2.61</w:t>
            </w:r>
          </w:p>
        </w:tc>
      </w:tr>
      <w:tr w:rsidR="009E7FAB">
        <w:trPr>
          <w:jc w:val="center"/>
        </w:trPr>
        <w:tc>
          <w:tcPr>
            <w:tcW w:w="855" w:type="dxa"/>
            <w:vAlign w:val="center"/>
          </w:tcPr>
          <w:p w:rsidR="009E7FAB" w:rsidRDefault="001B1B83">
            <w:pPr>
              <w:jc w:val="center"/>
            </w:pPr>
            <w:r>
              <w:rPr>
                <w:color w:val="000000"/>
                <w:sz w:val="24"/>
                <w:szCs w:val="24"/>
              </w:rPr>
              <w:t>7</w:t>
            </w:r>
          </w:p>
        </w:tc>
        <w:tc>
          <w:tcPr>
            <w:tcW w:w="1334" w:type="dxa"/>
            <w:vAlign w:val="center"/>
          </w:tcPr>
          <w:p w:rsidR="009E7FAB" w:rsidRDefault="001B1B83">
            <w:pPr>
              <w:jc w:val="center"/>
            </w:pPr>
            <w:r>
              <w:rPr>
                <w:color w:val="000000"/>
                <w:sz w:val="24"/>
                <w:szCs w:val="24"/>
              </w:rPr>
              <w:t>002841</w:t>
            </w:r>
          </w:p>
        </w:tc>
        <w:tc>
          <w:tcPr>
            <w:tcW w:w="1777" w:type="dxa"/>
            <w:vAlign w:val="center"/>
          </w:tcPr>
          <w:p w:rsidR="009E7FAB" w:rsidRDefault="001B1B83">
            <w:pPr>
              <w:jc w:val="center"/>
            </w:pPr>
            <w:proofErr w:type="gramStart"/>
            <w:r>
              <w:rPr>
                <w:color w:val="000000"/>
                <w:sz w:val="24"/>
                <w:szCs w:val="24"/>
              </w:rPr>
              <w:t>视源股份</w:t>
            </w:r>
            <w:proofErr w:type="gramEnd"/>
          </w:p>
        </w:tc>
        <w:tc>
          <w:tcPr>
            <w:tcW w:w="1334" w:type="dxa"/>
            <w:vAlign w:val="center"/>
          </w:tcPr>
          <w:p w:rsidR="009E7FAB" w:rsidRDefault="001B1B83">
            <w:pPr>
              <w:jc w:val="right"/>
            </w:pPr>
            <w:r>
              <w:rPr>
                <w:color w:val="000000"/>
                <w:sz w:val="24"/>
                <w:szCs w:val="24"/>
              </w:rPr>
              <w:t>1,394,681</w:t>
            </w:r>
          </w:p>
        </w:tc>
        <w:tc>
          <w:tcPr>
            <w:tcW w:w="1924" w:type="dxa"/>
            <w:vAlign w:val="center"/>
          </w:tcPr>
          <w:p w:rsidR="009E7FAB" w:rsidRDefault="001B1B83">
            <w:pPr>
              <w:jc w:val="right"/>
            </w:pPr>
            <w:r>
              <w:rPr>
                <w:color w:val="000000"/>
                <w:sz w:val="24"/>
                <w:szCs w:val="24"/>
              </w:rPr>
              <w:t>160,430,155.43</w:t>
            </w:r>
          </w:p>
        </w:tc>
        <w:tc>
          <w:tcPr>
            <w:tcW w:w="1644" w:type="dxa"/>
            <w:vAlign w:val="center"/>
          </w:tcPr>
          <w:p w:rsidR="009E7FAB" w:rsidRDefault="001B1B83">
            <w:pPr>
              <w:jc w:val="right"/>
            </w:pPr>
            <w:r>
              <w:rPr>
                <w:color w:val="000000"/>
                <w:sz w:val="24"/>
                <w:szCs w:val="24"/>
              </w:rPr>
              <w:t>2.51</w:t>
            </w:r>
          </w:p>
        </w:tc>
      </w:tr>
      <w:tr w:rsidR="009E7FAB">
        <w:trPr>
          <w:jc w:val="center"/>
        </w:trPr>
        <w:tc>
          <w:tcPr>
            <w:tcW w:w="855" w:type="dxa"/>
            <w:vAlign w:val="center"/>
          </w:tcPr>
          <w:p w:rsidR="009E7FAB" w:rsidRDefault="001B1B83">
            <w:pPr>
              <w:jc w:val="center"/>
            </w:pPr>
            <w:r>
              <w:rPr>
                <w:color w:val="000000"/>
                <w:sz w:val="24"/>
                <w:szCs w:val="24"/>
              </w:rPr>
              <w:t>8</w:t>
            </w:r>
          </w:p>
        </w:tc>
        <w:tc>
          <w:tcPr>
            <w:tcW w:w="1334" w:type="dxa"/>
            <w:vAlign w:val="center"/>
          </w:tcPr>
          <w:p w:rsidR="009E7FAB" w:rsidRDefault="001B1B83">
            <w:pPr>
              <w:jc w:val="center"/>
            </w:pPr>
            <w:r>
              <w:rPr>
                <w:color w:val="000000"/>
                <w:sz w:val="24"/>
                <w:szCs w:val="24"/>
              </w:rPr>
              <w:t>600383</w:t>
            </w:r>
          </w:p>
        </w:tc>
        <w:tc>
          <w:tcPr>
            <w:tcW w:w="1777" w:type="dxa"/>
            <w:vAlign w:val="center"/>
          </w:tcPr>
          <w:p w:rsidR="009E7FAB" w:rsidRDefault="001B1B83">
            <w:pPr>
              <w:jc w:val="center"/>
            </w:pPr>
            <w:r>
              <w:rPr>
                <w:color w:val="000000"/>
                <w:sz w:val="24"/>
                <w:szCs w:val="24"/>
              </w:rPr>
              <w:t>金地集团</w:t>
            </w:r>
          </w:p>
        </w:tc>
        <w:tc>
          <w:tcPr>
            <w:tcW w:w="1334" w:type="dxa"/>
            <w:vAlign w:val="center"/>
          </w:tcPr>
          <w:p w:rsidR="009E7FAB" w:rsidRDefault="001B1B83">
            <w:pPr>
              <w:jc w:val="right"/>
            </w:pPr>
            <w:r>
              <w:rPr>
                <w:color w:val="000000"/>
                <w:sz w:val="24"/>
                <w:szCs w:val="24"/>
              </w:rPr>
              <w:t>10,678,934</w:t>
            </w:r>
          </w:p>
        </w:tc>
        <w:tc>
          <w:tcPr>
            <w:tcW w:w="1924" w:type="dxa"/>
            <w:vAlign w:val="center"/>
          </w:tcPr>
          <w:p w:rsidR="009E7FAB" w:rsidRDefault="001B1B83">
            <w:pPr>
              <w:jc w:val="right"/>
            </w:pPr>
            <w:r>
              <w:rPr>
                <w:color w:val="000000"/>
                <w:sz w:val="24"/>
                <w:szCs w:val="24"/>
              </w:rPr>
              <w:t>144,165,609.00</w:t>
            </w:r>
          </w:p>
        </w:tc>
        <w:tc>
          <w:tcPr>
            <w:tcW w:w="1644" w:type="dxa"/>
            <w:vAlign w:val="center"/>
          </w:tcPr>
          <w:p w:rsidR="009E7FAB" w:rsidRDefault="001B1B83">
            <w:pPr>
              <w:jc w:val="right"/>
            </w:pPr>
            <w:r>
              <w:rPr>
                <w:color w:val="000000"/>
                <w:sz w:val="24"/>
                <w:szCs w:val="24"/>
              </w:rPr>
              <w:t>2.25</w:t>
            </w:r>
          </w:p>
        </w:tc>
      </w:tr>
      <w:tr w:rsidR="009E7FAB">
        <w:trPr>
          <w:jc w:val="center"/>
        </w:trPr>
        <w:tc>
          <w:tcPr>
            <w:tcW w:w="855" w:type="dxa"/>
            <w:vAlign w:val="center"/>
          </w:tcPr>
          <w:p w:rsidR="009E7FAB" w:rsidRDefault="001B1B83">
            <w:pPr>
              <w:jc w:val="center"/>
            </w:pPr>
            <w:r>
              <w:rPr>
                <w:color w:val="000000"/>
                <w:sz w:val="24"/>
                <w:szCs w:val="24"/>
              </w:rPr>
              <w:t>9</w:t>
            </w:r>
          </w:p>
        </w:tc>
        <w:tc>
          <w:tcPr>
            <w:tcW w:w="1334" w:type="dxa"/>
            <w:vAlign w:val="center"/>
          </w:tcPr>
          <w:p w:rsidR="009E7FAB" w:rsidRDefault="001B1B83">
            <w:pPr>
              <w:jc w:val="center"/>
            </w:pPr>
            <w:r>
              <w:rPr>
                <w:color w:val="000000"/>
                <w:sz w:val="24"/>
                <w:szCs w:val="24"/>
              </w:rPr>
              <w:t>002928</w:t>
            </w:r>
          </w:p>
        </w:tc>
        <w:tc>
          <w:tcPr>
            <w:tcW w:w="1777" w:type="dxa"/>
            <w:vAlign w:val="center"/>
          </w:tcPr>
          <w:p w:rsidR="009E7FAB" w:rsidRDefault="001B1B83">
            <w:pPr>
              <w:jc w:val="center"/>
            </w:pPr>
            <w:r>
              <w:rPr>
                <w:color w:val="000000"/>
                <w:sz w:val="24"/>
                <w:szCs w:val="24"/>
              </w:rPr>
              <w:t>华夏航空</w:t>
            </w:r>
          </w:p>
        </w:tc>
        <w:tc>
          <w:tcPr>
            <w:tcW w:w="1334" w:type="dxa"/>
            <w:vAlign w:val="center"/>
          </w:tcPr>
          <w:p w:rsidR="009E7FAB" w:rsidRDefault="001B1B83">
            <w:pPr>
              <w:jc w:val="right"/>
            </w:pPr>
            <w:r>
              <w:rPr>
                <w:color w:val="000000"/>
                <w:sz w:val="24"/>
                <w:szCs w:val="24"/>
              </w:rPr>
              <w:t>9,891,267</w:t>
            </w:r>
          </w:p>
        </w:tc>
        <w:tc>
          <w:tcPr>
            <w:tcW w:w="1924" w:type="dxa"/>
            <w:vAlign w:val="center"/>
          </w:tcPr>
          <w:p w:rsidR="009E7FAB" w:rsidRDefault="001B1B83">
            <w:pPr>
              <w:jc w:val="right"/>
            </w:pPr>
            <w:r>
              <w:rPr>
                <w:color w:val="000000"/>
                <w:sz w:val="24"/>
                <w:szCs w:val="24"/>
              </w:rPr>
              <w:t>125,124,527.55</w:t>
            </w:r>
          </w:p>
        </w:tc>
        <w:tc>
          <w:tcPr>
            <w:tcW w:w="1644" w:type="dxa"/>
            <w:vAlign w:val="center"/>
          </w:tcPr>
          <w:p w:rsidR="009E7FAB" w:rsidRDefault="001B1B83">
            <w:pPr>
              <w:jc w:val="right"/>
            </w:pPr>
            <w:r>
              <w:rPr>
                <w:color w:val="000000"/>
                <w:sz w:val="24"/>
                <w:szCs w:val="24"/>
              </w:rPr>
              <w:t>1.95</w:t>
            </w:r>
          </w:p>
        </w:tc>
      </w:tr>
      <w:tr w:rsidR="009E7FAB">
        <w:trPr>
          <w:jc w:val="center"/>
        </w:trPr>
        <w:tc>
          <w:tcPr>
            <w:tcW w:w="855" w:type="dxa"/>
            <w:vAlign w:val="center"/>
          </w:tcPr>
          <w:p w:rsidR="009E7FAB" w:rsidRDefault="001B1B83">
            <w:pPr>
              <w:jc w:val="center"/>
            </w:pPr>
            <w:r>
              <w:rPr>
                <w:color w:val="000000"/>
                <w:sz w:val="24"/>
                <w:szCs w:val="24"/>
              </w:rPr>
              <w:t>10</w:t>
            </w:r>
          </w:p>
        </w:tc>
        <w:tc>
          <w:tcPr>
            <w:tcW w:w="1334" w:type="dxa"/>
            <w:vAlign w:val="center"/>
          </w:tcPr>
          <w:p w:rsidR="009E7FAB" w:rsidRDefault="001B1B83">
            <w:pPr>
              <w:jc w:val="center"/>
            </w:pPr>
            <w:r>
              <w:rPr>
                <w:color w:val="000000"/>
                <w:sz w:val="24"/>
                <w:szCs w:val="24"/>
              </w:rPr>
              <w:t>002555</w:t>
            </w:r>
          </w:p>
        </w:tc>
        <w:tc>
          <w:tcPr>
            <w:tcW w:w="1777" w:type="dxa"/>
            <w:vAlign w:val="center"/>
          </w:tcPr>
          <w:p w:rsidR="009E7FAB" w:rsidRDefault="001B1B83">
            <w:pPr>
              <w:jc w:val="center"/>
            </w:pPr>
            <w:proofErr w:type="gramStart"/>
            <w:r>
              <w:rPr>
                <w:color w:val="000000"/>
                <w:sz w:val="24"/>
                <w:szCs w:val="24"/>
              </w:rPr>
              <w:t>三七互娱</w:t>
            </w:r>
            <w:proofErr w:type="gramEnd"/>
          </w:p>
        </w:tc>
        <w:tc>
          <w:tcPr>
            <w:tcW w:w="1334" w:type="dxa"/>
            <w:vAlign w:val="center"/>
          </w:tcPr>
          <w:p w:rsidR="009E7FAB" w:rsidRDefault="001B1B83">
            <w:pPr>
              <w:jc w:val="right"/>
            </w:pPr>
            <w:r>
              <w:rPr>
                <w:color w:val="000000"/>
                <w:sz w:val="24"/>
                <w:szCs w:val="24"/>
              </w:rPr>
              <w:t>3,909,655</w:t>
            </w:r>
          </w:p>
        </w:tc>
        <w:tc>
          <w:tcPr>
            <w:tcW w:w="1924" w:type="dxa"/>
            <w:vAlign w:val="center"/>
          </w:tcPr>
          <w:p w:rsidR="009E7FAB" w:rsidRDefault="001B1B83">
            <w:pPr>
              <w:jc w:val="right"/>
            </w:pPr>
            <w:r>
              <w:rPr>
                <w:color w:val="000000"/>
                <w:sz w:val="24"/>
                <w:szCs w:val="24"/>
              </w:rPr>
              <w:t>122,098,525.65</w:t>
            </w:r>
          </w:p>
        </w:tc>
        <w:tc>
          <w:tcPr>
            <w:tcW w:w="1644" w:type="dxa"/>
            <w:vAlign w:val="center"/>
          </w:tcPr>
          <w:p w:rsidR="009E7FAB" w:rsidRDefault="001B1B83">
            <w:pPr>
              <w:jc w:val="right"/>
            </w:pPr>
            <w:r>
              <w:rPr>
                <w:color w:val="000000"/>
                <w:sz w:val="24"/>
                <w:szCs w:val="24"/>
              </w:rPr>
              <w:t>1.91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730,521.92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730,521.92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E7FAB">
        <w:trPr>
          <w:jc w:val="center"/>
        </w:trPr>
        <w:tc>
          <w:tcPr>
            <w:tcW w:w="850" w:type="dxa"/>
            <w:vAlign w:val="center"/>
          </w:tcPr>
          <w:p w:rsidR="009E7FAB" w:rsidRDefault="001B1B83">
            <w:pPr>
              <w:jc w:val="center"/>
            </w:pPr>
            <w:r>
              <w:rPr>
                <w:color w:val="000000"/>
                <w:sz w:val="24"/>
                <w:szCs w:val="24"/>
              </w:rPr>
              <w:t>1</w:t>
            </w:r>
          </w:p>
        </w:tc>
        <w:tc>
          <w:tcPr>
            <w:tcW w:w="1475" w:type="dxa"/>
            <w:vAlign w:val="center"/>
          </w:tcPr>
          <w:p w:rsidR="009E7FAB" w:rsidRDefault="001B1B83">
            <w:pPr>
              <w:jc w:val="center"/>
            </w:pPr>
            <w:r>
              <w:rPr>
                <w:color w:val="000000"/>
                <w:sz w:val="24"/>
                <w:szCs w:val="24"/>
              </w:rPr>
              <w:t>128136</w:t>
            </w:r>
          </w:p>
        </w:tc>
        <w:tc>
          <w:tcPr>
            <w:tcW w:w="1769" w:type="dxa"/>
            <w:vAlign w:val="center"/>
          </w:tcPr>
          <w:p w:rsidR="009E7FAB" w:rsidRDefault="001B1B83">
            <w:pPr>
              <w:jc w:val="center"/>
            </w:pPr>
            <w:proofErr w:type="gramStart"/>
            <w:r>
              <w:rPr>
                <w:color w:val="000000"/>
                <w:sz w:val="24"/>
                <w:szCs w:val="24"/>
              </w:rPr>
              <w:t>立讯转债</w:t>
            </w:r>
            <w:proofErr w:type="gramEnd"/>
          </w:p>
        </w:tc>
        <w:tc>
          <w:tcPr>
            <w:tcW w:w="1387" w:type="dxa"/>
            <w:vAlign w:val="center"/>
          </w:tcPr>
          <w:p w:rsidR="009E7FAB" w:rsidRDefault="001B1B83">
            <w:pPr>
              <w:jc w:val="right"/>
            </w:pPr>
            <w:r>
              <w:rPr>
                <w:color w:val="000000"/>
                <w:sz w:val="24"/>
                <w:szCs w:val="24"/>
              </w:rPr>
              <w:t>5,744</w:t>
            </w:r>
          </w:p>
        </w:tc>
        <w:tc>
          <w:tcPr>
            <w:tcW w:w="2150" w:type="dxa"/>
            <w:vAlign w:val="center"/>
          </w:tcPr>
          <w:p w:rsidR="009E7FAB" w:rsidRDefault="001B1B83">
            <w:pPr>
              <w:jc w:val="right"/>
            </w:pPr>
            <w:r>
              <w:rPr>
                <w:color w:val="000000"/>
                <w:sz w:val="24"/>
                <w:szCs w:val="24"/>
              </w:rPr>
              <w:t>730,521.92</w:t>
            </w:r>
          </w:p>
        </w:tc>
        <w:tc>
          <w:tcPr>
            <w:tcW w:w="1237" w:type="dxa"/>
            <w:vAlign w:val="center"/>
          </w:tcPr>
          <w:p w:rsidR="009E7FAB" w:rsidRDefault="001B1B83">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1,211,326.56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1,043,369.89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144,633.71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212,908.29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2,612,238.45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w:t>
      </w:r>
      <w:proofErr w:type="gramStart"/>
      <w:r w:rsidRPr="00414345">
        <w:rPr>
          <w:color w:val="000000"/>
          <w:sz w:val="24"/>
          <w:szCs w:val="24"/>
        </w:rPr>
        <w:t>份额含跨系统</w:t>
      </w:r>
      <w:proofErr w:type="gramEnd"/>
      <w:r w:rsidRPr="00414345">
        <w:rPr>
          <w:color w:val="000000"/>
          <w:sz w:val="24"/>
          <w:szCs w:val="24"/>
        </w:rPr>
        <w:t>转托</w:t>
      </w:r>
      <w:proofErr w:type="gramStart"/>
      <w:r w:rsidRPr="00414345">
        <w:rPr>
          <w:color w:val="000000"/>
          <w:sz w:val="24"/>
          <w:szCs w:val="24"/>
        </w:rPr>
        <w:t>管导致</w:t>
      </w:r>
      <w:proofErr w:type="gramEnd"/>
      <w:r w:rsidRPr="00414345">
        <w:rPr>
          <w:color w:val="000000"/>
          <w:sz w:val="24"/>
          <w:szCs w:val="24"/>
        </w:rPr>
        <w:t>强制赎回的份额。</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w:t>
      </w:r>
      <w:proofErr w:type="gramStart"/>
      <w:r w:rsidRPr="004F4D27">
        <w:rPr>
          <w:rFonts w:ascii="宋体" w:hAnsi="宋体"/>
          <w:color w:val="000000"/>
        </w:rPr>
        <w:t>基金基金</w:t>
      </w:r>
      <w:proofErr w:type="gramEnd"/>
      <w:r w:rsidRPr="004F4D27">
        <w:rPr>
          <w:rFonts w:ascii="宋体" w:hAnsi="宋体"/>
          <w:color w:val="000000"/>
        </w:rPr>
        <w:t>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E7FAB" w:rsidRDefault="001B1B8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w:t>
      </w:r>
      <w:proofErr w:type="gramStart"/>
      <w:r>
        <w:rPr>
          <w:color w:val="000000"/>
          <w:sz w:val="24"/>
          <w:szCs w:val="24"/>
        </w:rPr>
        <w:t>施罗德瑞思三年</w:t>
      </w:r>
      <w:proofErr w:type="gramEnd"/>
      <w:r>
        <w:rPr>
          <w:color w:val="000000"/>
          <w:sz w:val="24"/>
          <w:szCs w:val="24"/>
        </w:rPr>
        <w:t>封闭运作混合型证券投资基金募集注册的文件；</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、《交银施罗德瑞思三年封闭运作混合型证券投资基金基金合同》；</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、《交银施罗德瑞思三年封闭运作混合型证券投资基金招募说明书》；</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、《交银施罗德瑞思三年封闭运作混合型证券投资基金托管协议》；</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w:t>
      </w:r>
      <w:proofErr w:type="gramStart"/>
      <w:r>
        <w:rPr>
          <w:color w:val="000000"/>
          <w:sz w:val="24"/>
          <w:szCs w:val="24"/>
        </w:rPr>
        <w:t>施罗德瑞思三年</w:t>
      </w:r>
      <w:proofErr w:type="gramEnd"/>
      <w:r>
        <w:rPr>
          <w:color w:val="000000"/>
          <w:sz w:val="24"/>
          <w:szCs w:val="24"/>
        </w:rPr>
        <w:t>封闭运作混合型证券投资基金的法律意见书；</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E7FAB" w:rsidRDefault="001B1B8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w:t>
      </w:r>
      <w:proofErr w:type="gramStart"/>
      <w:r w:rsidRPr="00414345">
        <w:rPr>
          <w:color w:val="000000"/>
          <w:sz w:val="24"/>
          <w:szCs w:val="24"/>
        </w:rPr>
        <w:t>施罗德瑞思三年</w:t>
      </w:r>
      <w:proofErr w:type="gramEnd"/>
      <w:r w:rsidRPr="00414345">
        <w:rPr>
          <w:color w:val="000000"/>
          <w:sz w:val="24"/>
          <w:szCs w:val="24"/>
        </w:rPr>
        <w:t>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E7FAB" w:rsidRDefault="001B1B83">
      <w:pPr>
        <w:spacing w:before="29" w:line="288" w:lineRule="auto"/>
        <w:ind w:firstLineChars="200" w:firstLine="480"/>
        <w:rPr>
          <w:color w:val="000000"/>
          <w:sz w:val="24"/>
          <w:szCs w:val="24"/>
        </w:rPr>
      </w:pPr>
      <w:r>
        <w:rPr>
          <w:color w:val="000000"/>
          <w:sz w:val="24"/>
          <w:szCs w:val="24"/>
        </w:rPr>
        <w:t>投资者可在办公时间内至基金管理人的办公场所免费查阅备</w:t>
      </w:r>
      <w:r>
        <w:rPr>
          <w:color w:val="000000"/>
          <w:sz w:val="24"/>
          <w:szCs w:val="24"/>
        </w:rPr>
        <w:t>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83" w:rsidRDefault="001B1B83" w:rsidP="00876D65">
      <w:r>
        <w:separator/>
      </w:r>
    </w:p>
  </w:endnote>
  <w:endnote w:type="continuationSeparator" w:id="0">
    <w:p w:rsidR="001B1B83" w:rsidRDefault="001B1B8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844FE">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8844F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83" w:rsidRDefault="001B1B83" w:rsidP="00876D65">
      <w:r>
        <w:separator/>
      </w:r>
    </w:p>
  </w:footnote>
  <w:footnote w:type="continuationSeparator" w:id="0">
    <w:p w:rsidR="001B1B83" w:rsidRDefault="001B1B8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w:t>
    </w:r>
    <w:proofErr w:type="gramStart"/>
    <w:r w:rsidRPr="003E676C">
      <w:rPr>
        <w:sz w:val="24"/>
        <w:szCs w:val="24"/>
      </w:rPr>
      <w:t>施罗德瑞思三年</w:t>
    </w:r>
    <w:proofErr w:type="gramEnd"/>
    <w:r w:rsidRPr="003E676C">
      <w:rPr>
        <w:sz w:val="24"/>
        <w:szCs w:val="24"/>
      </w:rPr>
      <w:t>封闭运作混合型证券投资基金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1B83"/>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4DF6"/>
    <w:rsid w:val="00846739"/>
    <w:rsid w:val="00853140"/>
    <w:rsid w:val="00854537"/>
    <w:rsid w:val="00855F31"/>
    <w:rsid w:val="008606B6"/>
    <w:rsid w:val="00861E6D"/>
    <w:rsid w:val="008700EC"/>
    <w:rsid w:val="008749A7"/>
    <w:rsid w:val="00875DAC"/>
    <w:rsid w:val="00876D65"/>
    <w:rsid w:val="008837D3"/>
    <w:rsid w:val="00883B3C"/>
    <w:rsid w:val="00883D7C"/>
    <w:rsid w:val="008844FE"/>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E7FAB"/>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42E4-C841-40A5-96F4-4B5C1A19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1118</Words>
  <Characters>6374</Characters>
  <Application>Microsoft Office Word</Application>
  <DocSecurity>0</DocSecurity>
  <Lines>53</Lines>
  <Paragraphs>14</Paragraphs>
  <ScaleCrop>false</ScaleCrop>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2021-01-18T09:04:00Z</dcterms:modified>
</cp:coreProperties>
</file>