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交银施罗德天鑫宝货币市场基金</w:t>
      </w:r>
    </w:p>
    <w:p w:rsidR="00B60E27" w:rsidRPr="001E1B20" w:rsidRDefault="00B60E27" w:rsidP="00281564">
      <w:pPr>
        <w:spacing w:before="29" w:line="288" w:lineRule="auto"/>
        <w:jc w:val="center"/>
        <w:rPr>
          <w:b/>
          <w:sz w:val="36"/>
          <w:szCs w:val="36"/>
        </w:rPr>
      </w:pPr>
      <w:r w:rsidRPr="001E1B20">
        <w:rPr>
          <w:b/>
          <w:sz w:val="36"/>
          <w:szCs w:val="36"/>
        </w:rPr>
        <w:t>2020</w:t>
      </w:r>
      <w:r w:rsidRPr="001E1B20">
        <w:rPr>
          <w:b/>
          <w:sz w:val="36"/>
          <w:szCs w:val="36"/>
        </w:rPr>
        <w:t>年第</w:t>
      </w:r>
      <w:r w:rsidRPr="001E1B20">
        <w:rPr>
          <w:b/>
          <w:sz w:val="36"/>
          <w:szCs w:val="36"/>
        </w:rPr>
        <w:t>4</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2020</w:t>
      </w:r>
      <w:r w:rsidRPr="001E1B20">
        <w:rPr>
          <w:b/>
          <w:sz w:val="36"/>
          <w:szCs w:val="36"/>
        </w:rPr>
        <w:t>年</w:t>
      </w:r>
      <w:r w:rsidRPr="001E1B20">
        <w:rPr>
          <w:b/>
          <w:sz w:val="36"/>
          <w:szCs w:val="36"/>
        </w:rPr>
        <w:t>12</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兴业银行股份有限公司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二〇二一年一月二十一日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FC4E7C" w:rsidRDefault="005A1445">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FC4E7C" w:rsidRDefault="005A1445">
      <w:pPr>
        <w:adjustRightInd w:val="0"/>
        <w:spacing w:before="29" w:line="288" w:lineRule="auto"/>
        <w:ind w:firstLineChars="200" w:firstLine="480"/>
        <w:rPr>
          <w:color w:val="000000"/>
          <w:sz w:val="24"/>
        </w:rPr>
      </w:pPr>
      <w:r>
        <w:rPr>
          <w:color w:val="000000"/>
          <w:sz w:val="24"/>
        </w:rPr>
        <w:t>基金托管人兴业银行股份有限公司根据本基金合同规定，于</w:t>
      </w:r>
      <w:r>
        <w:rPr>
          <w:color w:val="000000"/>
          <w:sz w:val="24"/>
        </w:rPr>
        <w:t>2021</w:t>
      </w:r>
      <w:r>
        <w:rPr>
          <w:color w:val="000000"/>
          <w:sz w:val="24"/>
        </w:rPr>
        <w:t>年</w:t>
      </w:r>
      <w:r>
        <w:rPr>
          <w:color w:val="000000"/>
          <w:sz w:val="24"/>
        </w:rPr>
        <w:t>1</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FC4E7C" w:rsidRDefault="005A1445">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C4E7C" w:rsidRDefault="005A1445">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FC4E7C" w:rsidRDefault="005A1445">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2020</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12</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交银天鑫宝货币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003482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12</w:t>
            </w:r>
            <w:r w:rsidRPr="000E4C40">
              <w:rPr>
                <w:color w:val="000000"/>
                <w:kern w:val="0"/>
                <w:sz w:val="24"/>
              </w:rPr>
              <w:t>月</w:t>
            </w:r>
            <w:r w:rsidRPr="000E4C40">
              <w:rPr>
                <w:color w:val="000000"/>
                <w:kern w:val="0"/>
                <w:sz w:val="24"/>
              </w:rPr>
              <w:t>7</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20,541,915,682.00</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兴业银行股份有限公司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交银天鑫宝货币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交银天鑫宝货币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003482</w:t>
            </w:r>
          </w:p>
        </w:tc>
        <w:tc>
          <w:tcPr>
            <w:tcW w:w="2923" w:type="dxa"/>
            <w:vAlign w:val="center"/>
          </w:tcPr>
          <w:p w:rsidR="00A805BC" w:rsidRPr="000E4C40" w:rsidRDefault="00A805BC" w:rsidP="00281564">
            <w:pPr>
              <w:spacing w:before="29" w:line="288" w:lineRule="auto"/>
              <w:jc w:val="left"/>
              <w:rPr>
                <w:sz w:val="24"/>
              </w:rPr>
            </w:pPr>
            <w:r w:rsidRPr="000E4C40">
              <w:rPr>
                <w:sz w:val="24"/>
              </w:rPr>
              <w:t>003483</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16,711,691.33</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20,525,203,990.67</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(2020</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w:t>
            </w:r>
            <w:r w:rsidRPr="000E4C40">
              <w:rPr>
                <w:color w:val="000000"/>
                <w:sz w:val="24"/>
              </w:rPr>
              <w:t>-2020</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交银天鑫宝货币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交银天鑫宝货币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108,181.11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145,788,057.61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108,181.11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145,788,057.61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16,711,691.33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20,525,203,990.67</w:t>
            </w:r>
          </w:p>
        </w:tc>
      </w:tr>
    </w:tbl>
    <w:p w:rsidR="00FC4E7C" w:rsidRDefault="005A144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交银天鑫宝货币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FC4E7C">
        <w:trPr>
          <w:jc w:val="center"/>
        </w:trPr>
        <w:tc>
          <w:tcPr>
            <w:tcW w:w="1266" w:type="dxa"/>
            <w:vAlign w:val="center"/>
          </w:tcPr>
          <w:p w:rsidR="00FC4E7C" w:rsidRDefault="005A1445">
            <w:pPr>
              <w:jc w:val="left"/>
            </w:pPr>
            <w:r>
              <w:rPr>
                <w:color w:val="000000"/>
              </w:rPr>
              <w:lastRenderedPageBreak/>
              <w:t>过去三个月</w:t>
            </w:r>
          </w:p>
        </w:tc>
        <w:tc>
          <w:tcPr>
            <w:tcW w:w="1267" w:type="dxa"/>
            <w:vAlign w:val="center"/>
          </w:tcPr>
          <w:p w:rsidR="00FC4E7C" w:rsidRDefault="005A1445">
            <w:pPr>
              <w:jc w:val="center"/>
            </w:pPr>
            <w:r>
              <w:rPr>
                <w:color w:val="000000"/>
              </w:rPr>
              <w:t>0.5873%</w:t>
            </w:r>
          </w:p>
        </w:tc>
        <w:tc>
          <w:tcPr>
            <w:tcW w:w="1267" w:type="dxa"/>
            <w:vAlign w:val="center"/>
          </w:tcPr>
          <w:p w:rsidR="00FC4E7C" w:rsidRDefault="005A1445">
            <w:pPr>
              <w:jc w:val="center"/>
            </w:pPr>
            <w:r>
              <w:rPr>
                <w:color w:val="000000"/>
              </w:rPr>
              <w:t>0.0007%</w:t>
            </w:r>
          </w:p>
        </w:tc>
        <w:tc>
          <w:tcPr>
            <w:tcW w:w="1267" w:type="dxa"/>
            <w:vAlign w:val="center"/>
          </w:tcPr>
          <w:p w:rsidR="00FC4E7C" w:rsidRDefault="005A1445">
            <w:pPr>
              <w:jc w:val="center"/>
            </w:pPr>
            <w:r>
              <w:rPr>
                <w:color w:val="000000"/>
              </w:rPr>
              <w:t>0.0882%</w:t>
            </w:r>
          </w:p>
        </w:tc>
        <w:tc>
          <w:tcPr>
            <w:tcW w:w="1267" w:type="dxa"/>
            <w:vAlign w:val="center"/>
          </w:tcPr>
          <w:p w:rsidR="00FC4E7C" w:rsidRDefault="005A1445">
            <w:pPr>
              <w:jc w:val="center"/>
            </w:pPr>
            <w:r>
              <w:rPr>
                <w:color w:val="000000"/>
              </w:rPr>
              <w:t>0.0000%</w:t>
            </w:r>
          </w:p>
        </w:tc>
        <w:tc>
          <w:tcPr>
            <w:tcW w:w="1267" w:type="dxa"/>
            <w:vAlign w:val="center"/>
          </w:tcPr>
          <w:p w:rsidR="00FC4E7C" w:rsidRDefault="005A1445">
            <w:pPr>
              <w:jc w:val="center"/>
            </w:pPr>
            <w:r>
              <w:rPr>
                <w:color w:val="000000"/>
              </w:rPr>
              <w:t>0.4991%</w:t>
            </w:r>
          </w:p>
        </w:tc>
        <w:tc>
          <w:tcPr>
            <w:tcW w:w="1267" w:type="dxa"/>
            <w:vAlign w:val="center"/>
          </w:tcPr>
          <w:p w:rsidR="00FC4E7C" w:rsidRDefault="005A1445">
            <w:pPr>
              <w:jc w:val="center"/>
            </w:pPr>
            <w:r>
              <w:rPr>
                <w:color w:val="000000"/>
              </w:rPr>
              <w:t>0.0007%</w:t>
            </w:r>
          </w:p>
        </w:tc>
      </w:tr>
      <w:tr w:rsidR="00FC4E7C">
        <w:trPr>
          <w:jc w:val="center"/>
        </w:trPr>
        <w:tc>
          <w:tcPr>
            <w:tcW w:w="1266" w:type="dxa"/>
            <w:vAlign w:val="center"/>
          </w:tcPr>
          <w:p w:rsidR="00FC4E7C" w:rsidRDefault="005A1445">
            <w:pPr>
              <w:jc w:val="left"/>
            </w:pPr>
            <w:r>
              <w:rPr>
                <w:color w:val="000000"/>
              </w:rPr>
              <w:t>过去六个月</w:t>
            </w:r>
          </w:p>
        </w:tc>
        <w:tc>
          <w:tcPr>
            <w:tcW w:w="1267" w:type="dxa"/>
            <w:vAlign w:val="center"/>
          </w:tcPr>
          <w:p w:rsidR="00FC4E7C" w:rsidRDefault="005A1445">
            <w:pPr>
              <w:jc w:val="center"/>
            </w:pPr>
            <w:r>
              <w:rPr>
                <w:color w:val="000000"/>
              </w:rPr>
              <w:t>1.0738%</w:t>
            </w:r>
          </w:p>
        </w:tc>
        <w:tc>
          <w:tcPr>
            <w:tcW w:w="1267" w:type="dxa"/>
            <w:vAlign w:val="center"/>
          </w:tcPr>
          <w:p w:rsidR="00FC4E7C" w:rsidRDefault="005A1445">
            <w:pPr>
              <w:jc w:val="center"/>
            </w:pPr>
            <w:r>
              <w:rPr>
                <w:color w:val="000000"/>
              </w:rPr>
              <w:t>0.0009%</w:t>
            </w:r>
          </w:p>
        </w:tc>
        <w:tc>
          <w:tcPr>
            <w:tcW w:w="1267" w:type="dxa"/>
            <w:vAlign w:val="center"/>
          </w:tcPr>
          <w:p w:rsidR="00FC4E7C" w:rsidRDefault="005A1445">
            <w:pPr>
              <w:jc w:val="center"/>
            </w:pPr>
            <w:r>
              <w:rPr>
                <w:color w:val="000000"/>
              </w:rPr>
              <w:t>0.1764%</w:t>
            </w:r>
          </w:p>
        </w:tc>
        <w:tc>
          <w:tcPr>
            <w:tcW w:w="1267" w:type="dxa"/>
            <w:vAlign w:val="center"/>
          </w:tcPr>
          <w:p w:rsidR="00FC4E7C" w:rsidRDefault="005A1445">
            <w:pPr>
              <w:jc w:val="center"/>
            </w:pPr>
            <w:r>
              <w:rPr>
                <w:color w:val="000000"/>
              </w:rPr>
              <w:t>0.0000%</w:t>
            </w:r>
          </w:p>
        </w:tc>
        <w:tc>
          <w:tcPr>
            <w:tcW w:w="1267" w:type="dxa"/>
            <w:vAlign w:val="center"/>
          </w:tcPr>
          <w:p w:rsidR="00FC4E7C" w:rsidRDefault="005A1445">
            <w:pPr>
              <w:jc w:val="center"/>
            </w:pPr>
            <w:r>
              <w:rPr>
                <w:color w:val="000000"/>
              </w:rPr>
              <w:t>0.8974%</w:t>
            </w:r>
          </w:p>
        </w:tc>
        <w:tc>
          <w:tcPr>
            <w:tcW w:w="1267" w:type="dxa"/>
            <w:vAlign w:val="center"/>
          </w:tcPr>
          <w:p w:rsidR="00FC4E7C" w:rsidRDefault="005A1445">
            <w:pPr>
              <w:jc w:val="center"/>
            </w:pPr>
            <w:r>
              <w:rPr>
                <w:color w:val="000000"/>
              </w:rPr>
              <w:t>0.0009%</w:t>
            </w:r>
          </w:p>
        </w:tc>
      </w:tr>
      <w:tr w:rsidR="00FC4E7C">
        <w:trPr>
          <w:jc w:val="center"/>
        </w:trPr>
        <w:tc>
          <w:tcPr>
            <w:tcW w:w="1266" w:type="dxa"/>
            <w:vAlign w:val="center"/>
          </w:tcPr>
          <w:p w:rsidR="00FC4E7C" w:rsidRDefault="005A1445">
            <w:pPr>
              <w:jc w:val="left"/>
            </w:pPr>
            <w:r>
              <w:rPr>
                <w:color w:val="000000"/>
              </w:rPr>
              <w:t>过去一年</w:t>
            </w:r>
          </w:p>
        </w:tc>
        <w:tc>
          <w:tcPr>
            <w:tcW w:w="1267" w:type="dxa"/>
            <w:vAlign w:val="center"/>
          </w:tcPr>
          <w:p w:rsidR="00FC4E7C" w:rsidRDefault="005A1445">
            <w:pPr>
              <w:jc w:val="center"/>
            </w:pPr>
            <w:r>
              <w:rPr>
                <w:color w:val="000000"/>
              </w:rPr>
              <w:t>2.2156%</w:t>
            </w:r>
          </w:p>
        </w:tc>
        <w:tc>
          <w:tcPr>
            <w:tcW w:w="1267" w:type="dxa"/>
            <w:vAlign w:val="center"/>
          </w:tcPr>
          <w:p w:rsidR="00FC4E7C" w:rsidRDefault="005A1445">
            <w:pPr>
              <w:jc w:val="center"/>
            </w:pPr>
            <w:r>
              <w:rPr>
                <w:color w:val="000000"/>
              </w:rPr>
              <w:t>0.0010%</w:t>
            </w:r>
          </w:p>
        </w:tc>
        <w:tc>
          <w:tcPr>
            <w:tcW w:w="1267" w:type="dxa"/>
            <w:vAlign w:val="center"/>
          </w:tcPr>
          <w:p w:rsidR="00FC4E7C" w:rsidRDefault="005A1445">
            <w:pPr>
              <w:jc w:val="center"/>
            </w:pPr>
            <w:r>
              <w:rPr>
                <w:color w:val="000000"/>
              </w:rPr>
              <w:t>0.3510%</w:t>
            </w:r>
          </w:p>
        </w:tc>
        <w:tc>
          <w:tcPr>
            <w:tcW w:w="1267" w:type="dxa"/>
            <w:vAlign w:val="center"/>
          </w:tcPr>
          <w:p w:rsidR="00FC4E7C" w:rsidRDefault="005A1445">
            <w:pPr>
              <w:jc w:val="center"/>
            </w:pPr>
            <w:r>
              <w:rPr>
                <w:color w:val="000000"/>
              </w:rPr>
              <w:t>0.0000%</w:t>
            </w:r>
          </w:p>
        </w:tc>
        <w:tc>
          <w:tcPr>
            <w:tcW w:w="1267" w:type="dxa"/>
            <w:vAlign w:val="center"/>
          </w:tcPr>
          <w:p w:rsidR="00FC4E7C" w:rsidRDefault="005A1445">
            <w:pPr>
              <w:jc w:val="center"/>
            </w:pPr>
            <w:r>
              <w:rPr>
                <w:color w:val="000000"/>
              </w:rPr>
              <w:t>1.8646%</w:t>
            </w:r>
          </w:p>
        </w:tc>
        <w:tc>
          <w:tcPr>
            <w:tcW w:w="1267" w:type="dxa"/>
            <w:vAlign w:val="center"/>
          </w:tcPr>
          <w:p w:rsidR="00FC4E7C" w:rsidRDefault="005A1445">
            <w:pPr>
              <w:jc w:val="center"/>
            </w:pPr>
            <w:r>
              <w:rPr>
                <w:color w:val="000000"/>
              </w:rPr>
              <w:t>0.0010%</w:t>
            </w:r>
          </w:p>
        </w:tc>
      </w:tr>
      <w:tr w:rsidR="00FC4E7C">
        <w:trPr>
          <w:jc w:val="center"/>
        </w:trPr>
        <w:tc>
          <w:tcPr>
            <w:tcW w:w="1266" w:type="dxa"/>
            <w:vAlign w:val="center"/>
          </w:tcPr>
          <w:p w:rsidR="00FC4E7C" w:rsidRDefault="005A1445">
            <w:pPr>
              <w:jc w:val="left"/>
            </w:pPr>
            <w:r>
              <w:rPr>
                <w:color w:val="000000"/>
              </w:rPr>
              <w:t>过去三年</w:t>
            </w:r>
          </w:p>
        </w:tc>
        <w:tc>
          <w:tcPr>
            <w:tcW w:w="1267" w:type="dxa"/>
            <w:vAlign w:val="center"/>
          </w:tcPr>
          <w:p w:rsidR="00FC4E7C" w:rsidRDefault="005A1445">
            <w:pPr>
              <w:jc w:val="center"/>
            </w:pPr>
            <w:r>
              <w:rPr>
                <w:color w:val="000000"/>
              </w:rPr>
              <w:t>8.4984%</w:t>
            </w:r>
          </w:p>
        </w:tc>
        <w:tc>
          <w:tcPr>
            <w:tcW w:w="1267" w:type="dxa"/>
            <w:vAlign w:val="center"/>
          </w:tcPr>
          <w:p w:rsidR="00FC4E7C" w:rsidRDefault="005A1445">
            <w:pPr>
              <w:jc w:val="center"/>
            </w:pPr>
            <w:r>
              <w:rPr>
                <w:color w:val="000000"/>
              </w:rPr>
              <w:t>0.0021%</w:t>
            </w:r>
          </w:p>
        </w:tc>
        <w:tc>
          <w:tcPr>
            <w:tcW w:w="1267" w:type="dxa"/>
            <w:vAlign w:val="center"/>
          </w:tcPr>
          <w:p w:rsidR="00FC4E7C" w:rsidRDefault="005A1445">
            <w:pPr>
              <w:jc w:val="center"/>
            </w:pPr>
            <w:r>
              <w:rPr>
                <w:color w:val="000000"/>
              </w:rPr>
              <w:t>1.0510%</w:t>
            </w:r>
          </w:p>
        </w:tc>
        <w:tc>
          <w:tcPr>
            <w:tcW w:w="1267" w:type="dxa"/>
            <w:vAlign w:val="center"/>
          </w:tcPr>
          <w:p w:rsidR="00FC4E7C" w:rsidRDefault="005A1445">
            <w:pPr>
              <w:jc w:val="center"/>
            </w:pPr>
            <w:r>
              <w:rPr>
                <w:color w:val="000000"/>
              </w:rPr>
              <w:t>0.0000%</w:t>
            </w:r>
          </w:p>
        </w:tc>
        <w:tc>
          <w:tcPr>
            <w:tcW w:w="1267" w:type="dxa"/>
            <w:vAlign w:val="center"/>
          </w:tcPr>
          <w:p w:rsidR="00FC4E7C" w:rsidRDefault="005A1445">
            <w:pPr>
              <w:jc w:val="center"/>
            </w:pPr>
            <w:r>
              <w:rPr>
                <w:color w:val="000000"/>
              </w:rPr>
              <w:t>7.4474%</w:t>
            </w:r>
          </w:p>
        </w:tc>
        <w:tc>
          <w:tcPr>
            <w:tcW w:w="1267" w:type="dxa"/>
            <w:vAlign w:val="center"/>
          </w:tcPr>
          <w:p w:rsidR="00FC4E7C" w:rsidRDefault="005A1445">
            <w:pPr>
              <w:jc w:val="center"/>
            </w:pPr>
            <w:r>
              <w:rPr>
                <w:color w:val="000000"/>
              </w:rPr>
              <w:t>0.0021%</w:t>
            </w:r>
          </w:p>
        </w:tc>
      </w:tr>
      <w:tr w:rsidR="00FC4E7C">
        <w:trPr>
          <w:jc w:val="center"/>
        </w:trPr>
        <w:tc>
          <w:tcPr>
            <w:tcW w:w="1266" w:type="dxa"/>
            <w:vAlign w:val="center"/>
          </w:tcPr>
          <w:p w:rsidR="00FC4E7C" w:rsidRDefault="005A1445">
            <w:pPr>
              <w:jc w:val="left"/>
            </w:pPr>
            <w:r>
              <w:rPr>
                <w:color w:val="000000"/>
              </w:rPr>
              <w:t>自基金合同生效起至今</w:t>
            </w:r>
          </w:p>
        </w:tc>
        <w:tc>
          <w:tcPr>
            <w:tcW w:w="1267" w:type="dxa"/>
            <w:vAlign w:val="center"/>
          </w:tcPr>
          <w:p w:rsidR="00FC4E7C" w:rsidRDefault="005A1445">
            <w:pPr>
              <w:jc w:val="center"/>
            </w:pPr>
            <w:r>
              <w:rPr>
                <w:color w:val="000000"/>
              </w:rPr>
              <w:t>12.7477%</w:t>
            </w:r>
          </w:p>
        </w:tc>
        <w:tc>
          <w:tcPr>
            <w:tcW w:w="1267" w:type="dxa"/>
            <w:vAlign w:val="center"/>
          </w:tcPr>
          <w:p w:rsidR="00FC4E7C" w:rsidRDefault="005A1445">
            <w:pPr>
              <w:jc w:val="center"/>
            </w:pPr>
            <w:r>
              <w:rPr>
                <w:color w:val="000000"/>
              </w:rPr>
              <w:t>0.0027%</w:t>
            </w:r>
          </w:p>
        </w:tc>
        <w:tc>
          <w:tcPr>
            <w:tcW w:w="1267" w:type="dxa"/>
            <w:vAlign w:val="center"/>
          </w:tcPr>
          <w:p w:rsidR="00FC4E7C" w:rsidRDefault="005A1445">
            <w:pPr>
              <w:jc w:val="center"/>
            </w:pPr>
            <w:r>
              <w:rPr>
                <w:color w:val="000000"/>
              </w:rPr>
              <w:t>1.4249%</w:t>
            </w:r>
          </w:p>
        </w:tc>
        <w:tc>
          <w:tcPr>
            <w:tcW w:w="1267" w:type="dxa"/>
            <w:vAlign w:val="center"/>
          </w:tcPr>
          <w:p w:rsidR="00FC4E7C" w:rsidRDefault="005A1445">
            <w:pPr>
              <w:jc w:val="center"/>
            </w:pPr>
            <w:r>
              <w:rPr>
                <w:color w:val="000000"/>
              </w:rPr>
              <w:t>0.0000%</w:t>
            </w:r>
          </w:p>
        </w:tc>
        <w:tc>
          <w:tcPr>
            <w:tcW w:w="1267" w:type="dxa"/>
            <w:vAlign w:val="center"/>
          </w:tcPr>
          <w:p w:rsidR="00FC4E7C" w:rsidRDefault="005A1445">
            <w:pPr>
              <w:jc w:val="center"/>
            </w:pPr>
            <w:r>
              <w:rPr>
                <w:color w:val="000000"/>
              </w:rPr>
              <w:t>11.3228%</w:t>
            </w:r>
          </w:p>
        </w:tc>
        <w:tc>
          <w:tcPr>
            <w:tcW w:w="1267" w:type="dxa"/>
            <w:vAlign w:val="center"/>
          </w:tcPr>
          <w:p w:rsidR="00FC4E7C" w:rsidRDefault="005A1445">
            <w:pPr>
              <w:jc w:val="center"/>
            </w:pPr>
            <w:r>
              <w:rPr>
                <w:color w:val="000000"/>
              </w:rPr>
              <w:t>0.0027%</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交银天鑫宝货币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FC4E7C">
        <w:trPr>
          <w:jc w:val="center"/>
        </w:trPr>
        <w:tc>
          <w:tcPr>
            <w:tcW w:w="1266" w:type="dxa"/>
            <w:vAlign w:val="center"/>
          </w:tcPr>
          <w:p w:rsidR="00FC4E7C" w:rsidRDefault="005A1445">
            <w:pPr>
              <w:jc w:val="left"/>
            </w:pPr>
            <w:r>
              <w:rPr>
                <w:color w:val="000000"/>
              </w:rPr>
              <w:t>过去三个月</w:t>
            </w:r>
          </w:p>
        </w:tc>
        <w:tc>
          <w:tcPr>
            <w:tcW w:w="1267" w:type="dxa"/>
            <w:vAlign w:val="center"/>
          </w:tcPr>
          <w:p w:rsidR="00FC4E7C" w:rsidRDefault="005A1445">
            <w:pPr>
              <w:jc w:val="center"/>
            </w:pPr>
            <w:r>
              <w:rPr>
                <w:color w:val="000000"/>
              </w:rPr>
              <w:t>0.6484%</w:t>
            </w:r>
          </w:p>
        </w:tc>
        <w:tc>
          <w:tcPr>
            <w:tcW w:w="1267" w:type="dxa"/>
            <w:vAlign w:val="center"/>
          </w:tcPr>
          <w:p w:rsidR="00FC4E7C" w:rsidRDefault="005A1445">
            <w:pPr>
              <w:jc w:val="center"/>
            </w:pPr>
            <w:r>
              <w:rPr>
                <w:color w:val="000000"/>
              </w:rPr>
              <w:t>0.0007%</w:t>
            </w:r>
          </w:p>
        </w:tc>
        <w:tc>
          <w:tcPr>
            <w:tcW w:w="1267" w:type="dxa"/>
            <w:vAlign w:val="center"/>
          </w:tcPr>
          <w:p w:rsidR="00FC4E7C" w:rsidRDefault="005A1445">
            <w:pPr>
              <w:jc w:val="center"/>
            </w:pPr>
            <w:r>
              <w:rPr>
                <w:color w:val="000000"/>
              </w:rPr>
              <w:t>0.0882%</w:t>
            </w:r>
          </w:p>
        </w:tc>
        <w:tc>
          <w:tcPr>
            <w:tcW w:w="1267" w:type="dxa"/>
            <w:vAlign w:val="center"/>
          </w:tcPr>
          <w:p w:rsidR="00FC4E7C" w:rsidRDefault="005A1445">
            <w:pPr>
              <w:jc w:val="center"/>
            </w:pPr>
            <w:r>
              <w:rPr>
                <w:color w:val="000000"/>
              </w:rPr>
              <w:t>0.0000%</w:t>
            </w:r>
          </w:p>
        </w:tc>
        <w:tc>
          <w:tcPr>
            <w:tcW w:w="1267" w:type="dxa"/>
            <w:vAlign w:val="center"/>
          </w:tcPr>
          <w:p w:rsidR="00FC4E7C" w:rsidRDefault="005A1445">
            <w:pPr>
              <w:jc w:val="center"/>
            </w:pPr>
            <w:r>
              <w:rPr>
                <w:color w:val="000000"/>
              </w:rPr>
              <w:t>0.5602%</w:t>
            </w:r>
          </w:p>
        </w:tc>
        <w:tc>
          <w:tcPr>
            <w:tcW w:w="1267" w:type="dxa"/>
            <w:vAlign w:val="center"/>
          </w:tcPr>
          <w:p w:rsidR="00FC4E7C" w:rsidRDefault="005A1445">
            <w:pPr>
              <w:jc w:val="center"/>
            </w:pPr>
            <w:r>
              <w:rPr>
                <w:color w:val="000000"/>
              </w:rPr>
              <w:t>0.0007%</w:t>
            </w:r>
          </w:p>
        </w:tc>
      </w:tr>
      <w:tr w:rsidR="00FC4E7C">
        <w:trPr>
          <w:jc w:val="center"/>
        </w:trPr>
        <w:tc>
          <w:tcPr>
            <w:tcW w:w="1266" w:type="dxa"/>
            <w:vAlign w:val="center"/>
          </w:tcPr>
          <w:p w:rsidR="00FC4E7C" w:rsidRDefault="005A1445">
            <w:pPr>
              <w:jc w:val="left"/>
            </w:pPr>
            <w:r>
              <w:rPr>
                <w:color w:val="000000"/>
              </w:rPr>
              <w:t>过去六个月</w:t>
            </w:r>
          </w:p>
        </w:tc>
        <w:tc>
          <w:tcPr>
            <w:tcW w:w="1267" w:type="dxa"/>
            <w:vAlign w:val="center"/>
          </w:tcPr>
          <w:p w:rsidR="00FC4E7C" w:rsidRDefault="005A1445">
            <w:pPr>
              <w:jc w:val="center"/>
            </w:pPr>
            <w:r>
              <w:rPr>
                <w:color w:val="000000"/>
              </w:rPr>
              <w:t>1.2031%</w:t>
            </w:r>
          </w:p>
        </w:tc>
        <w:tc>
          <w:tcPr>
            <w:tcW w:w="1267" w:type="dxa"/>
            <w:vAlign w:val="center"/>
          </w:tcPr>
          <w:p w:rsidR="00FC4E7C" w:rsidRDefault="005A1445">
            <w:pPr>
              <w:jc w:val="center"/>
            </w:pPr>
            <w:r>
              <w:rPr>
                <w:color w:val="000000"/>
              </w:rPr>
              <w:t>0.0008%</w:t>
            </w:r>
          </w:p>
        </w:tc>
        <w:tc>
          <w:tcPr>
            <w:tcW w:w="1267" w:type="dxa"/>
            <w:vAlign w:val="center"/>
          </w:tcPr>
          <w:p w:rsidR="00FC4E7C" w:rsidRDefault="005A1445">
            <w:pPr>
              <w:jc w:val="center"/>
            </w:pPr>
            <w:r>
              <w:rPr>
                <w:color w:val="000000"/>
              </w:rPr>
              <w:t>0.1764%</w:t>
            </w:r>
          </w:p>
        </w:tc>
        <w:tc>
          <w:tcPr>
            <w:tcW w:w="1267" w:type="dxa"/>
            <w:vAlign w:val="center"/>
          </w:tcPr>
          <w:p w:rsidR="00FC4E7C" w:rsidRDefault="005A1445">
            <w:pPr>
              <w:jc w:val="center"/>
            </w:pPr>
            <w:r>
              <w:rPr>
                <w:color w:val="000000"/>
              </w:rPr>
              <w:t>0.0000%</w:t>
            </w:r>
          </w:p>
        </w:tc>
        <w:tc>
          <w:tcPr>
            <w:tcW w:w="1267" w:type="dxa"/>
            <w:vAlign w:val="center"/>
          </w:tcPr>
          <w:p w:rsidR="00FC4E7C" w:rsidRDefault="005A1445">
            <w:pPr>
              <w:jc w:val="center"/>
            </w:pPr>
            <w:r>
              <w:rPr>
                <w:color w:val="000000"/>
              </w:rPr>
              <w:t>1.0267%</w:t>
            </w:r>
          </w:p>
        </w:tc>
        <w:tc>
          <w:tcPr>
            <w:tcW w:w="1267" w:type="dxa"/>
            <w:vAlign w:val="center"/>
          </w:tcPr>
          <w:p w:rsidR="00FC4E7C" w:rsidRDefault="005A1445">
            <w:pPr>
              <w:jc w:val="center"/>
            </w:pPr>
            <w:r>
              <w:rPr>
                <w:color w:val="000000"/>
              </w:rPr>
              <w:t>0.0008%</w:t>
            </w:r>
          </w:p>
        </w:tc>
      </w:tr>
      <w:tr w:rsidR="00FC4E7C">
        <w:trPr>
          <w:jc w:val="center"/>
        </w:trPr>
        <w:tc>
          <w:tcPr>
            <w:tcW w:w="1266" w:type="dxa"/>
            <w:vAlign w:val="center"/>
          </w:tcPr>
          <w:p w:rsidR="00FC4E7C" w:rsidRDefault="005A1445">
            <w:pPr>
              <w:jc w:val="left"/>
            </w:pPr>
            <w:r>
              <w:rPr>
                <w:color w:val="000000"/>
              </w:rPr>
              <w:t>过去一年</w:t>
            </w:r>
          </w:p>
        </w:tc>
        <w:tc>
          <w:tcPr>
            <w:tcW w:w="1267" w:type="dxa"/>
            <w:vAlign w:val="center"/>
          </w:tcPr>
          <w:p w:rsidR="00FC4E7C" w:rsidRDefault="005A1445">
            <w:pPr>
              <w:jc w:val="center"/>
            </w:pPr>
            <w:r>
              <w:rPr>
                <w:color w:val="000000"/>
              </w:rPr>
              <w:t>2.4706%</w:t>
            </w:r>
          </w:p>
        </w:tc>
        <w:tc>
          <w:tcPr>
            <w:tcW w:w="1267" w:type="dxa"/>
            <w:vAlign w:val="center"/>
          </w:tcPr>
          <w:p w:rsidR="00FC4E7C" w:rsidRDefault="005A1445">
            <w:pPr>
              <w:jc w:val="center"/>
            </w:pPr>
            <w:r>
              <w:rPr>
                <w:color w:val="000000"/>
              </w:rPr>
              <w:t>0.0009%</w:t>
            </w:r>
          </w:p>
        </w:tc>
        <w:tc>
          <w:tcPr>
            <w:tcW w:w="1267" w:type="dxa"/>
            <w:vAlign w:val="center"/>
          </w:tcPr>
          <w:p w:rsidR="00FC4E7C" w:rsidRDefault="005A1445">
            <w:pPr>
              <w:jc w:val="center"/>
            </w:pPr>
            <w:r>
              <w:rPr>
                <w:color w:val="000000"/>
              </w:rPr>
              <w:t>0.3510%</w:t>
            </w:r>
          </w:p>
        </w:tc>
        <w:tc>
          <w:tcPr>
            <w:tcW w:w="1267" w:type="dxa"/>
            <w:vAlign w:val="center"/>
          </w:tcPr>
          <w:p w:rsidR="00FC4E7C" w:rsidRDefault="005A1445">
            <w:pPr>
              <w:jc w:val="center"/>
            </w:pPr>
            <w:r>
              <w:rPr>
                <w:color w:val="000000"/>
              </w:rPr>
              <w:t>0.0000%</w:t>
            </w:r>
          </w:p>
        </w:tc>
        <w:tc>
          <w:tcPr>
            <w:tcW w:w="1267" w:type="dxa"/>
            <w:vAlign w:val="center"/>
          </w:tcPr>
          <w:p w:rsidR="00FC4E7C" w:rsidRDefault="005A1445">
            <w:pPr>
              <w:jc w:val="center"/>
            </w:pPr>
            <w:r>
              <w:rPr>
                <w:color w:val="000000"/>
              </w:rPr>
              <w:t>2.1196%</w:t>
            </w:r>
          </w:p>
        </w:tc>
        <w:tc>
          <w:tcPr>
            <w:tcW w:w="1267" w:type="dxa"/>
            <w:vAlign w:val="center"/>
          </w:tcPr>
          <w:p w:rsidR="00FC4E7C" w:rsidRDefault="005A1445">
            <w:pPr>
              <w:jc w:val="center"/>
            </w:pPr>
            <w:r>
              <w:rPr>
                <w:color w:val="000000"/>
              </w:rPr>
              <w:t>0.0009%</w:t>
            </w:r>
          </w:p>
        </w:tc>
      </w:tr>
      <w:tr w:rsidR="00FC4E7C">
        <w:trPr>
          <w:jc w:val="center"/>
        </w:trPr>
        <w:tc>
          <w:tcPr>
            <w:tcW w:w="1266" w:type="dxa"/>
            <w:vAlign w:val="center"/>
          </w:tcPr>
          <w:p w:rsidR="00FC4E7C" w:rsidRDefault="005A1445">
            <w:pPr>
              <w:jc w:val="left"/>
            </w:pPr>
            <w:r>
              <w:rPr>
                <w:color w:val="000000"/>
              </w:rPr>
              <w:t>过去三年</w:t>
            </w:r>
          </w:p>
        </w:tc>
        <w:tc>
          <w:tcPr>
            <w:tcW w:w="1267" w:type="dxa"/>
            <w:vAlign w:val="center"/>
          </w:tcPr>
          <w:p w:rsidR="00FC4E7C" w:rsidRDefault="005A1445">
            <w:pPr>
              <w:jc w:val="center"/>
            </w:pPr>
            <w:r>
              <w:rPr>
                <w:color w:val="000000"/>
              </w:rPr>
              <w:t>9.2948%</w:t>
            </w:r>
          </w:p>
        </w:tc>
        <w:tc>
          <w:tcPr>
            <w:tcW w:w="1267" w:type="dxa"/>
            <w:vAlign w:val="center"/>
          </w:tcPr>
          <w:p w:rsidR="00FC4E7C" w:rsidRDefault="005A1445">
            <w:pPr>
              <w:jc w:val="center"/>
            </w:pPr>
            <w:r>
              <w:rPr>
                <w:color w:val="000000"/>
              </w:rPr>
              <w:t>0.0020%</w:t>
            </w:r>
          </w:p>
        </w:tc>
        <w:tc>
          <w:tcPr>
            <w:tcW w:w="1267" w:type="dxa"/>
            <w:vAlign w:val="center"/>
          </w:tcPr>
          <w:p w:rsidR="00FC4E7C" w:rsidRDefault="005A1445">
            <w:pPr>
              <w:jc w:val="center"/>
            </w:pPr>
            <w:r>
              <w:rPr>
                <w:color w:val="000000"/>
              </w:rPr>
              <w:t>1.0510%</w:t>
            </w:r>
          </w:p>
        </w:tc>
        <w:tc>
          <w:tcPr>
            <w:tcW w:w="1267" w:type="dxa"/>
            <w:vAlign w:val="center"/>
          </w:tcPr>
          <w:p w:rsidR="00FC4E7C" w:rsidRDefault="005A1445">
            <w:pPr>
              <w:jc w:val="center"/>
            </w:pPr>
            <w:r>
              <w:rPr>
                <w:color w:val="000000"/>
              </w:rPr>
              <w:t>0.0000%</w:t>
            </w:r>
          </w:p>
        </w:tc>
        <w:tc>
          <w:tcPr>
            <w:tcW w:w="1267" w:type="dxa"/>
            <w:vAlign w:val="center"/>
          </w:tcPr>
          <w:p w:rsidR="00FC4E7C" w:rsidRDefault="005A1445">
            <w:pPr>
              <w:jc w:val="center"/>
            </w:pPr>
            <w:r>
              <w:rPr>
                <w:color w:val="000000"/>
              </w:rPr>
              <w:t>8.2438%</w:t>
            </w:r>
          </w:p>
        </w:tc>
        <w:tc>
          <w:tcPr>
            <w:tcW w:w="1267" w:type="dxa"/>
            <w:vAlign w:val="center"/>
          </w:tcPr>
          <w:p w:rsidR="00FC4E7C" w:rsidRDefault="005A1445">
            <w:pPr>
              <w:jc w:val="center"/>
            </w:pPr>
            <w:r>
              <w:rPr>
                <w:color w:val="000000"/>
              </w:rPr>
              <w:t>0.0020%</w:t>
            </w:r>
          </w:p>
        </w:tc>
      </w:tr>
      <w:tr w:rsidR="00FC4E7C">
        <w:trPr>
          <w:jc w:val="center"/>
        </w:trPr>
        <w:tc>
          <w:tcPr>
            <w:tcW w:w="1266" w:type="dxa"/>
            <w:vAlign w:val="center"/>
          </w:tcPr>
          <w:p w:rsidR="00FC4E7C" w:rsidRDefault="005A1445">
            <w:pPr>
              <w:jc w:val="left"/>
            </w:pPr>
            <w:r>
              <w:rPr>
                <w:color w:val="000000"/>
              </w:rPr>
              <w:t>自基金合同生效起至今</w:t>
            </w:r>
          </w:p>
        </w:tc>
        <w:tc>
          <w:tcPr>
            <w:tcW w:w="1267" w:type="dxa"/>
            <w:vAlign w:val="center"/>
          </w:tcPr>
          <w:p w:rsidR="00FC4E7C" w:rsidRDefault="005A1445">
            <w:pPr>
              <w:jc w:val="center"/>
            </w:pPr>
            <w:r>
              <w:rPr>
                <w:color w:val="000000"/>
              </w:rPr>
              <w:t>13.8647%</w:t>
            </w:r>
          </w:p>
        </w:tc>
        <w:tc>
          <w:tcPr>
            <w:tcW w:w="1267" w:type="dxa"/>
            <w:vAlign w:val="center"/>
          </w:tcPr>
          <w:p w:rsidR="00FC4E7C" w:rsidRDefault="005A1445">
            <w:pPr>
              <w:jc w:val="center"/>
            </w:pPr>
            <w:r>
              <w:rPr>
                <w:color w:val="000000"/>
              </w:rPr>
              <w:t>0.0026%</w:t>
            </w:r>
          </w:p>
        </w:tc>
        <w:tc>
          <w:tcPr>
            <w:tcW w:w="1267" w:type="dxa"/>
            <w:vAlign w:val="center"/>
          </w:tcPr>
          <w:p w:rsidR="00FC4E7C" w:rsidRDefault="005A1445">
            <w:pPr>
              <w:jc w:val="center"/>
            </w:pPr>
            <w:r>
              <w:rPr>
                <w:color w:val="000000"/>
              </w:rPr>
              <w:t>1.4249%</w:t>
            </w:r>
          </w:p>
        </w:tc>
        <w:tc>
          <w:tcPr>
            <w:tcW w:w="1267" w:type="dxa"/>
            <w:vAlign w:val="center"/>
          </w:tcPr>
          <w:p w:rsidR="00FC4E7C" w:rsidRDefault="005A1445">
            <w:pPr>
              <w:jc w:val="center"/>
            </w:pPr>
            <w:r>
              <w:rPr>
                <w:color w:val="000000"/>
              </w:rPr>
              <w:t>0.0000%</w:t>
            </w:r>
          </w:p>
        </w:tc>
        <w:tc>
          <w:tcPr>
            <w:tcW w:w="1267" w:type="dxa"/>
            <w:vAlign w:val="center"/>
          </w:tcPr>
          <w:p w:rsidR="00FC4E7C" w:rsidRDefault="005A1445">
            <w:pPr>
              <w:jc w:val="center"/>
            </w:pPr>
            <w:r>
              <w:rPr>
                <w:color w:val="000000"/>
              </w:rPr>
              <w:t>12.4398%</w:t>
            </w:r>
          </w:p>
        </w:tc>
        <w:tc>
          <w:tcPr>
            <w:tcW w:w="1267" w:type="dxa"/>
            <w:vAlign w:val="center"/>
          </w:tcPr>
          <w:p w:rsidR="00FC4E7C" w:rsidRDefault="005A1445">
            <w:pPr>
              <w:jc w:val="center"/>
            </w:pPr>
            <w:r>
              <w:rPr>
                <w:color w:val="000000"/>
              </w:rPr>
              <w:t>0.0026%</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交银施罗德天鑫宝货币市场基金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12</w:t>
      </w:r>
      <w:r w:rsidR="00D87D00" w:rsidRPr="000E4C40">
        <w:rPr>
          <w:color w:val="000000"/>
          <w:kern w:val="0"/>
          <w:sz w:val="24"/>
        </w:rPr>
        <w:t>月</w:t>
      </w:r>
      <w:r w:rsidR="00D87D00" w:rsidRPr="000E4C40">
        <w:rPr>
          <w:color w:val="000000"/>
          <w:kern w:val="0"/>
          <w:sz w:val="24"/>
        </w:rPr>
        <w:t>7</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2020</w:t>
      </w:r>
      <w:r w:rsidR="00A7219D" w:rsidRPr="000E4C40">
        <w:rPr>
          <w:color w:val="000000"/>
          <w:kern w:val="0"/>
          <w:sz w:val="24"/>
        </w:rPr>
        <w:t>年</w:t>
      </w:r>
      <w:r w:rsidR="00A7219D" w:rsidRPr="000E4C40">
        <w:rPr>
          <w:color w:val="000000"/>
          <w:kern w:val="0"/>
          <w:sz w:val="24"/>
        </w:rPr>
        <w:t>12</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交银天鑫宝货币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交银天鑫宝货币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w:t>
      </w:r>
      <w:r w:rsidRPr="000E4C40">
        <w:rPr>
          <w:color w:val="000000"/>
          <w:sz w:val="24"/>
        </w:rPr>
        <w:lastRenderedPageBreak/>
        <w:t>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FC4E7C">
        <w:trPr>
          <w:jc w:val="center"/>
        </w:trPr>
        <w:tc>
          <w:tcPr>
            <w:tcW w:w="945" w:type="dxa"/>
            <w:vAlign w:val="center"/>
          </w:tcPr>
          <w:p w:rsidR="00FC4E7C" w:rsidRDefault="005A1445">
            <w:pPr>
              <w:jc w:val="center"/>
            </w:pPr>
            <w:r>
              <w:rPr>
                <w:color w:val="000000"/>
                <w:sz w:val="24"/>
              </w:rPr>
              <w:t>季参平</w:t>
            </w:r>
          </w:p>
        </w:tc>
        <w:tc>
          <w:tcPr>
            <w:tcW w:w="1589" w:type="dxa"/>
            <w:vAlign w:val="center"/>
          </w:tcPr>
          <w:p w:rsidR="00FC4E7C" w:rsidRDefault="005A1445">
            <w:pPr>
              <w:jc w:val="center"/>
            </w:pPr>
            <w:r>
              <w:rPr>
                <w:color w:val="000000"/>
                <w:sz w:val="24"/>
              </w:rPr>
              <w:t>交银货币、交银裕通纯债债券、交银现金宝货币、交银天鑫宝货币、交银裕祥纯债债券、交银中债</w:t>
            </w:r>
            <w:r>
              <w:rPr>
                <w:color w:val="000000"/>
                <w:sz w:val="24"/>
              </w:rPr>
              <w:t>1-3</w:t>
            </w:r>
            <w:r>
              <w:rPr>
                <w:color w:val="000000"/>
                <w:sz w:val="24"/>
              </w:rPr>
              <w:t>年政金债指数的基金经理</w:t>
            </w:r>
          </w:p>
        </w:tc>
        <w:tc>
          <w:tcPr>
            <w:tcW w:w="1478" w:type="dxa"/>
            <w:vAlign w:val="center"/>
          </w:tcPr>
          <w:p w:rsidR="00FC4E7C" w:rsidRDefault="005A1445">
            <w:pPr>
              <w:jc w:val="center"/>
            </w:pPr>
            <w:r>
              <w:rPr>
                <w:color w:val="000000"/>
                <w:sz w:val="24"/>
              </w:rPr>
              <w:t>2019-07-26</w:t>
            </w:r>
          </w:p>
        </w:tc>
        <w:tc>
          <w:tcPr>
            <w:tcW w:w="1478" w:type="dxa"/>
            <w:vAlign w:val="center"/>
          </w:tcPr>
          <w:p w:rsidR="00FC4E7C" w:rsidRDefault="005A1445">
            <w:pPr>
              <w:jc w:val="center"/>
            </w:pPr>
            <w:r>
              <w:rPr>
                <w:color w:val="000000"/>
                <w:sz w:val="24"/>
              </w:rPr>
              <w:t>-</w:t>
            </w:r>
          </w:p>
        </w:tc>
        <w:tc>
          <w:tcPr>
            <w:tcW w:w="986" w:type="dxa"/>
            <w:vAlign w:val="center"/>
          </w:tcPr>
          <w:p w:rsidR="00FC4E7C" w:rsidRDefault="005A1445">
            <w:pPr>
              <w:jc w:val="center"/>
            </w:pPr>
            <w:r>
              <w:rPr>
                <w:color w:val="000000"/>
                <w:sz w:val="24"/>
              </w:rPr>
              <w:t>8</w:t>
            </w:r>
            <w:r>
              <w:rPr>
                <w:color w:val="000000"/>
                <w:sz w:val="24"/>
              </w:rPr>
              <w:t>年</w:t>
            </w:r>
          </w:p>
        </w:tc>
        <w:tc>
          <w:tcPr>
            <w:tcW w:w="2392" w:type="dxa"/>
            <w:vAlign w:val="center"/>
          </w:tcPr>
          <w:p w:rsidR="00FC4E7C" w:rsidRDefault="005A1445">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年加入交银施罗德基金管理有限公司，历任基金经理助理。</w:t>
            </w:r>
            <w:r>
              <w:rPr>
                <w:color w:val="000000"/>
                <w:sz w:val="24"/>
              </w:rPr>
              <w:t>2019</w:t>
            </w:r>
            <w:r>
              <w:rPr>
                <w:color w:val="000000"/>
                <w:sz w:val="24"/>
              </w:rPr>
              <w:t>年</w:t>
            </w:r>
            <w:r>
              <w:rPr>
                <w:color w:val="000000"/>
                <w:sz w:val="24"/>
              </w:rPr>
              <w:t>7</w:t>
            </w:r>
            <w:r>
              <w:rPr>
                <w:color w:val="000000"/>
                <w:sz w:val="24"/>
              </w:rPr>
              <w:t>月</w:t>
            </w:r>
            <w:r>
              <w:rPr>
                <w:color w:val="000000"/>
                <w:sz w:val="24"/>
              </w:rPr>
              <w:t>26</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18</w:t>
            </w:r>
            <w:r>
              <w:rPr>
                <w:color w:val="000000"/>
                <w:sz w:val="24"/>
              </w:rPr>
              <w:t>日担任交银施罗德天运宝货币市场基金的基金经理。</w:t>
            </w:r>
          </w:p>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FC4E7C" w:rsidRDefault="005A144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FC4E7C" w:rsidRDefault="005A1445">
      <w:pPr>
        <w:spacing w:before="29" w:line="288" w:lineRule="auto"/>
        <w:ind w:firstLineChars="200" w:firstLine="480"/>
        <w:rPr>
          <w:color w:val="000000"/>
          <w:sz w:val="24"/>
        </w:rPr>
      </w:pPr>
      <w:r>
        <w:rPr>
          <w:color w:val="000000"/>
          <w:sz w:val="24"/>
        </w:rPr>
        <w:lastRenderedPageBreak/>
        <w:t>公司建立资源共享的投资研究信息平台，确保各投资组合在获得投</w:t>
      </w:r>
      <w:r>
        <w:rPr>
          <w:color w:val="000000"/>
          <w:sz w:val="24"/>
        </w:rPr>
        <w:t>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FC4E7C" w:rsidRDefault="005A144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w:t>
      </w:r>
      <w:r>
        <w:rPr>
          <w:color w:val="000000"/>
          <w:sz w:val="24"/>
        </w:rPr>
        <w:t>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FC4E7C" w:rsidRDefault="005A1445">
      <w:pPr>
        <w:spacing w:before="29" w:line="288" w:lineRule="auto"/>
        <w:ind w:firstLineChars="200" w:firstLine="480"/>
        <w:rPr>
          <w:color w:val="000000"/>
          <w:sz w:val="24"/>
        </w:rPr>
      </w:pPr>
      <w:r>
        <w:rPr>
          <w:color w:val="000000"/>
          <w:sz w:val="24"/>
        </w:rPr>
        <w:t>本报告期内，货币市场流动性从结构性紧平衡逐步转向宽松的态势，货币市场工具收益率冲高回落。具体来看，十月央行超额续作</w:t>
      </w:r>
      <w:r>
        <w:rPr>
          <w:color w:val="000000"/>
          <w:sz w:val="24"/>
        </w:rPr>
        <w:t>3000</w:t>
      </w:r>
      <w:r>
        <w:rPr>
          <w:color w:val="000000"/>
          <w:sz w:val="24"/>
        </w:rPr>
        <w:t>亿</w:t>
      </w:r>
      <w:r>
        <w:rPr>
          <w:color w:val="000000"/>
          <w:sz w:val="24"/>
        </w:rPr>
        <w:t>MLF</w:t>
      </w:r>
      <w:r>
        <w:rPr>
          <w:color w:val="000000"/>
          <w:sz w:val="24"/>
        </w:rPr>
        <w:t>，并重启逆回购操作，但受缴税以及双十一银行提升备付金等扰动因素，资金利率持续走高，月底</w:t>
      </w:r>
      <w:r>
        <w:rPr>
          <w:color w:val="000000"/>
          <w:sz w:val="24"/>
        </w:rPr>
        <w:t>R001</w:t>
      </w:r>
      <w:r>
        <w:rPr>
          <w:color w:val="000000"/>
          <w:sz w:val="24"/>
        </w:rPr>
        <w:t>和</w:t>
      </w:r>
      <w:r>
        <w:rPr>
          <w:color w:val="000000"/>
          <w:sz w:val="24"/>
        </w:rPr>
        <w:t>R007</w:t>
      </w:r>
      <w:r>
        <w:rPr>
          <w:color w:val="000000"/>
          <w:sz w:val="24"/>
        </w:rPr>
        <w:t>分别提升至</w:t>
      </w:r>
      <w:r>
        <w:rPr>
          <w:color w:val="000000"/>
          <w:sz w:val="24"/>
        </w:rPr>
        <w:t>2.92%</w:t>
      </w:r>
      <w:r>
        <w:rPr>
          <w:color w:val="000000"/>
          <w:sz w:val="24"/>
        </w:rPr>
        <w:t>和</w:t>
      </w:r>
      <w:r>
        <w:rPr>
          <w:color w:val="000000"/>
          <w:sz w:val="24"/>
        </w:rPr>
        <w:t>3.37%</w:t>
      </w:r>
      <w:r>
        <w:rPr>
          <w:color w:val="000000"/>
          <w:sz w:val="24"/>
        </w:rPr>
        <w:t>。十一月，部分信用债违约事件爆发，对流动性造成冲击，</w:t>
      </w:r>
      <w:r>
        <w:rPr>
          <w:color w:val="000000"/>
          <w:sz w:val="24"/>
        </w:rPr>
        <w:t>13</w:t>
      </w:r>
      <w:r>
        <w:rPr>
          <w:color w:val="000000"/>
          <w:sz w:val="24"/>
        </w:rPr>
        <w:t>日</w:t>
      </w:r>
      <w:r>
        <w:rPr>
          <w:color w:val="000000"/>
          <w:sz w:val="24"/>
        </w:rPr>
        <w:t>DR001</w:t>
      </w:r>
      <w:r>
        <w:rPr>
          <w:color w:val="000000"/>
          <w:sz w:val="24"/>
        </w:rPr>
        <w:t>上行至月内高点</w:t>
      </w:r>
      <w:r>
        <w:rPr>
          <w:color w:val="000000"/>
          <w:sz w:val="24"/>
        </w:rPr>
        <w:t>2.53%</w:t>
      </w:r>
      <w:r>
        <w:rPr>
          <w:color w:val="000000"/>
          <w:sz w:val="24"/>
        </w:rPr>
        <w:t>，直至</w:t>
      </w:r>
      <w:r>
        <w:rPr>
          <w:color w:val="000000"/>
          <w:sz w:val="24"/>
        </w:rPr>
        <w:t>16</w:t>
      </w:r>
      <w:r>
        <w:rPr>
          <w:color w:val="000000"/>
          <w:sz w:val="24"/>
        </w:rPr>
        <w:t>日央行超额续作</w:t>
      </w:r>
      <w:r>
        <w:rPr>
          <w:color w:val="000000"/>
          <w:sz w:val="24"/>
        </w:rPr>
        <w:t>2000</w:t>
      </w:r>
      <w:r>
        <w:rPr>
          <w:color w:val="000000"/>
          <w:sz w:val="24"/>
        </w:rPr>
        <w:t>亿</w:t>
      </w:r>
      <w:r>
        <w:rPr>
          <w:color w:val="000000"/>
          <w:sz w:val="24"/>
        </w:rPr>
        <w:t>MLF</w:t>
      </w:r>
      <w:r>
        <w:rPr>
          <w:color w:val="000000"/>
          <w:sz w:val="24"/>
        </w:rPr>
        <w:t>后，资金利率开始回落。步入下旬后，央行</w:t>
      </w:r>
      <w:r>
        <w:rPr>
          <w:color w:val="000000"/>
          <w:sz w:val="24"/>
        </w:rPr>
        <w:t>OMO</w:t>
      </w:r>
      <w:r>
        <w:rPr>
          <w:color w:val="000000"/>
          <w:sz w:val="24"/>
        </w:rPr>
        <w:t>净投放规模增加，并于</w:t>
      </w:r>
      <w:r>
        <w:rPr>
          <w:color w:val="000000"/>
          <w:sz w:val="24"/>
        </w:rPr>
        <w:t>30</w:t>
      </w:r>
      <w:r>
        <w:rPr>
          <w:color w:val="000000"/>
          <w:sz w:val="24"/>
        </w:rPr>
        <w:t>日开展了</w:t>
      </w:r>
      <w:r>
        <w:rPr>
          <w:color w:val="000000"/>
          <w:sz w:val="24"/>
        </w:rPr>
        <w:t>2000</w:t>
      </w:r>
      <w:r>
        <w:rPr>
          <w:color w:val="000000"/>
          <w:sz w:val="24"/>
        </w:rPr>
        <w:t>亿</w:t>
      </w:r>
      <w:r>
        <w:rPr>
          <w:color w:val="000000"/>
          <w:sz w:val="24"/>
        </w:rPr>
        <w:t>MLF</w:t>
      </w:r>
      <w:r>
        <w:rPr>
          <w:color w:val="000000"/>
          <w:sz w:val="24"/>
        </w:rPr>
        <w:t>和</w:t>
      </w:r>
      <w:r>
        <w:rPr>
          <w:color w:val="000000"/>
          <w:sz w:val="24"/>
        </w:rPr>
        <w:t>1500</w:t>
      </w:r>
      <w:r>
        <w:rPr>
          <w:color w:val="000000"/>
          <w:sz w:val="24"/>
        </w:rPr>
        <w:t>亿</w:t>
      </w:r>
      <w:r>
        <w:rPr>
          <w:color w:val="000000"/>
          <w:sz w:val="24"/>
        </w:rPr>
        <w:t>7</w:t>
      </w:r>
      <w:r>
        <w:rPr>
          <w:color w:val="000000"/>
          <w:sz w:val="24"/>
        </w:rPr>
        <w:t>天逆回购</w:t>
      </w:r>
      <w:r>
        <w:rPr>
          <w:color w:val="000000"/>
          <w:sz w:val="24"/>
        </w:rPr>
        <w:t>，超市场预期。十二月，</w:t>
      </w:r>
      <w:r>
        <w:rPr>
          <w:color w:val="000000"/>
          <w:sz w:val="24"/>
        </w:rPr>
        <w:t>15</w:t>
      </w:r>
      <w:r>
        <w:rPr>
          <w:color w:val="000000"/>
          <w:sz w:val="24"/>
        </w:rPr>
        <w:t>日央行超额续作</w:t>
      </w:r>
      <w:r>
        <w:rPr>
          <w:color w:val="000000"/>
          <w:sz w:val="24"/>
        </w:rPr>
        <w:t>9500</w:t>
      </w:r>
      <w:r>
        <w:rPr>
          <w:color w:val="000000"/>
          <w:sz w:val="24"/>
        </w:rPr>
        <w:t>亿</w:t>
      </w:r>
      <w:r>
        <w:rPr>
          <w:color w:val="000000"/>
          <w:sz w:val="24"/>
        </w:rPr>
        <w:t>MLF</w:t>
      </w:r>
      <w:r>
        <w:rPr>
          <w:color w:val="000000"/>
          <w:sz w:val="24"/>
        </w:rPr>
        <w:t>，并从</w:t>
      </w:r>
      <w:r>
        <w:rPr>
          <w:color w:val="000000"/>
          <w:sz w:val="24"/>
        </w:rPr>
        <w:t>21</w:t>
      </w:r>
      <w:r>
        <w:rPr>
          <w:color w:val="000000"/>
          <w:sz w:val="24"/>
        </w:rPr>
        <w:t>日起连续三日投放</w:t>
      </w:r>
      <w:r>
        <w:rPr>
          <w:color w:val="000000"/>
          <w:sz w:val="24"/>
        </w:rPr>
        <w:t>14</w:t>
      </w:r>
      <w:r>
        <w:rPr>
          <w:color w:val="000000"/>
          <w:sz w:val="24"/>
        </w:rPr>
        <w:t>天逆回购资金，流动性宽裕跨年的预期逐步抬升，同时带动三个月股份制银行存单大幅下行，从</w:t>
      </w:r>
      <w:r>
        <w:rPr>
          <w:color w:val="000000"/>
          <w:sz w:val="24"/>
        </w:rPr>
        <w:t>12</w:t>
      </w:r>
      <w:r>
        <w:rPr>
          <w:color w:val="000000"/>
          <w:sz w:val="24"/>
        </w:rPr>
        <w:t>月初的</w:t>
      </w:r>
      <w:r>
        <w:rPr>
          <w:color w:val="000000"/>
          <w:sz w:val="24"/>
        </w:rPr>
        <w:t>3.06%</w:t>
      </w:r>
      <w:r>
        <w:rPr>
          <w:color w:val="000000"/>
          <w:sz w:val="24"/>
        </w:rPr>
        <w:t>水平下行到月底的</w:t>
      </w:r>
      <w:r>
        <w:rPr>
          <w:color w:val="000000"/>
          <w:sz w:val="24"/>
        </w:rPr>
        <w:t>2.65%</w:t>
      </w:r>
      <w:r>
        <w:rPr>
          <w:color w:val="000000"/>
          <w:sz w:val="24"/>
        </w:rPr>
        <w:t>附近，月内下行幅度在</w:t>
      </w:r>
      <w:r>
        <w:rPr>
          <w:color w:val="000000"/>
          <w:sz w:val="24"/>
        </w:rPr>
        <w:t>30BP</w:t>
      </w:r>
      <w:r>
        <w:rPr>
          <w:color w:val="000000"/>
          <w:sz w:val="24"/>
        </w:rPr>
        <w:t>以上。报告期内，三个月</w:t>
      </w:r>
      <w:r>
        <w:rPr>
          <w:color w:val="000000"/>
          <w:sz w:val="24"/>
        </w:rPr>
        <w:t>SHIBOR</w:t>
      </w:r>
      <w:r>
        <w:rPr>
          <w:color w:val="000000"/>
          <w:sz w:val="24"/>
        </w:rPr>
        <w:t>利率上行约</w:t>
      </w:r>
      <w:r>
        <w:rPr>
          <w:color w:val="000000"/>
          <w:sz w:val="24"/>
        </w:rPr>
        <w:t>7BP</w:t>
      </w:r>
      <w:r>
        <w:rPr>
          <w:color w:val="000000"/>
          <w:sz w:val="24"/>
        </w:rPr>
        <w:t>到</w:t>
      </w:r>
      <w:r w:rsidR="00444CDA">
        <w:rPr>
          <w:color w:val="000000"/>
          <w:sz w:val="24"/>
        </w:rPr>
        <w:t>2.7</w:t>
      </w:r>
      <w:bookmarkStart w:id="0" w:name="_GoBack"/>
      <w:bookmarkEnd w:id="0"/>
      <w:r>
        <w:rPr>
          <w:color w:val="000000"/>
          <w:sz w:val="24"/>
        </w:rPr>
        <w:t>6%</w:t>
      </w:r>
      <w:r>
        <w:rPr>
          <w:color w:val="000000"/>
          <w:sz w:val="24"/>
        </w:rPr>
        <w:t>。</w:t>
      </w:r>
    </w:p>
    <w:p w:rsidR="00FC4E7C" w:rsidRDefault="005A1445">
      <w:pPr>
        <w:spacing w:before="29" w:line="288" w:lineRule="auto"/>
        <w:ind w:firstLineChars="200" w:firstLine="480"/>
        <w:rPr>
          <w:color w:val="000000"/>
          <w:sz w:val="24"/>
        </w:rPr>
      </w:pPr>
      <w:r>
        <w:rPr>
          <w:color w:val="000000"/>
          <w:sz w:val="24"/>
        </w:rPr>
        <w:t>基金操作方面，我们维持低杠杆、短久期的操作思路，多投资于估值波动较小的银行存款与回购等，组合整体流动性良好。十二月末我们视组合流动性和市场情况，增配了高评级的同业存单、同业存款等，提高组合收益水平。</w:t>
      </w:r>
    </w:p>
    <w:p w:rsidR="00FC4E7C" w:rsidRDefault="005A1445">
      <w:pPr>
        <w:spacing w:before="29" w:line="288" w:lineRule="auto"/>
        <w:ind w:firstLineChars="200" w:firstLine="480"/>
        <w:rPr>
          <w:color w:val="000000"/>
          <w:sz w:val="24"/>
        </w:rPr>
      </w:pPr>
      <w:r>
        <w:rPr>
          <w:color w:val="000000"/>
          <w:sz w:val="24"/>
        </w:rPr>
        <w:t>展望</w:t>
      </w:r>
      <w:r>
        <w:rPr>
          <w:color w:val="000000"/>
          <w:sz w:val="24"/>
        </w:rPr>
        <w:t>2021</w:t>
      </w:r>
      <w:r>
        <w:rPr>
          <w:color w:val="000000"/>
          <w:sz w:val="24"/>
        </w:rPr>
        <w:t>年一季度，我们将密切关注短期跨年投放的超额流动性的回笼情况以及春节前央行的再次投放操作，观察信用债违约事件后续对信用市场一级发行的负面影响是否逐步被消化，并对强劲的国内经济复苏情况进行持续跟踪。我们认为，在中央经济</w:t>
      </w:r>
      <w:r>
        <w:rPr>
          <w:color w:val="000000"/>
          <w:sz w:val="24"/>
        </w:rPr>
        <w:lastRenderedPageBreak/>
        <w:t>工作会议提出的货币政策灵活精准、合理适度的基调下，短期的银行间狭义流动性仍然具有不确定性。</w:t>
      </w:r>
    </w:p>
    <w:p w:rsidR="00C4627A" w:rsidRPr="000E4C40" w:rsidRDefault="00C4627A" w:rsidP="00281564">
      <w:pPr>
        <w:spacing w:before="29" w:line="288" w:lineRule="auto"/>
        <w:ind w:firstLineChars="200" w:firstLine="480"/>
        <w:rPr>
          <w:color w:val="000000"/>
          <w:sz w:val="24"/>
        </w:rPr>
      </w:pPr>
      <w:r w:rsidRPr="000E4C40">
        <w:rPr>
          <w:color w:val="000000"/>
          <w:sz w:val="24"/>
        </w:rPr>
        <w:t>本基金将根据不同资产收益率的动态变化，适时调整组合结构，同时根据期限利差动态调整组合杠杆率，通过对市场利率的前瞻性判断进行合理有效的剩余期限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本基金（各类）份额净值及业绩表现请见</w:t>
      </w:r>
      <w:r w:rsidRPr="000E4C40">
        <w:rPr>
          <w:color w:val="000000"/>
          <w:sz w:val="24"/>
        </w:rPr>
        <w:t>“3.1</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 xml:space="preserve">“3.2.1 </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Default="00902E3F" w:rsidP="00281564">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R="000F4B69" w:rsidRPr="000F4B69" w:rsidRDefault="000F4B69" w:rsidP="000F4B69">
      <w:pPr>
        <w:spacing w:before="29" w:line="288" w:lineRule="auto"/>
        <w:jc w:val="right"/>
        <w:rPr>
          <w:color w:val="000000"/>
          <w:kern w:val="0"/>
          <w:sz w:val="24"/>
        </w:rPr>
      </w:pPr>
      <w:r w:rsidRPr="000F4B69">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9,175,595,937.07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40.56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8,910,595,937.07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39.38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265,000,000.00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1.17</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2,294,093,601.13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10.14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11,050,613,952.53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48.84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104,415,990.69</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0.46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22,624,719,481.42</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12.15</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8E3415">
            <w:pPr>
              <w:spacing w:before="29" w:line="288" w:lineRule="auto"/>
              <w:jc w:val="center"/>
              <w:rPr>
                <w:sz w:val="24"/>
              </w:rPr>
            </w:pPr>
            <w:r w:rsidRPr="000E4C40">
              <w:rPr>
                <w:rFonts w:hAnsi="宋体"/>
                <w:sz w:val="24"/>
              </w:rPr>
              <w:t>金额</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2,076,297,325.62</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10.11</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92</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92</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52</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32.59</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10.11</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14.74</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lastRenderedPageBreak/>
              <w:t>3</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20.87</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5.06</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36.37</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center"/>
              <w:rPr>
                <w:color w:val="000000"/>
                <w:sz w:val="24"/>
              </w:rPr>
            </w:pPr>
            <w:r>
              <w:rPr>
                <w:rFonts w:hint="eastAsia"/>
                <w:color w:val="000000"/>
                <w:sz w:val="24"/>
              </w:rPr>
              <w:t>6</w:t>
            </w:r>
          </w:p>
        </w:tc>
        <w:tc>
          <w:tcPr>
            <w:tcW w:w="3240"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109.63</w:t>
            </w:r>
          </w:p>
        </w:tc>
        <w:tc>
          <w:tcPr>
            <w:tcW w:w="2352"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10.11</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R="00FE3EEE" w:rsidRPr="00FE3EEE" w:rsidRDefault="00FE3EEE" w:rsidP="00FE3EEE">
      <w:pPr>
        <w:spacing w:before="29" w:line="288" w:lineRule="auto"/>
        <w:jc w:val="right"/>
        <w:rPr>
          <w:color w:val="000000"/>
          <w:kern w:val="0"/>
          <w:sz w:val="24"/>
        </w:rPr>
      </w:pPr>
      <w:r w:rsidRPr="00FE3EEE">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FE3EEE" w:rsidP="00281564">
            <w:pPr>
              <w:spacing w:before="29" w:line="288" w:lineRule="auto"/>
              <w:ind w:left="17"/>
              <w:jc w:val="center"/>
              <w:rPr>
                <w:color w:val="000000"/>
                <w:sz w:val="24"/>
              </w:rPr>
            </w:pPr>
            <w:r>
              <w:rPr>
                <w:rFonts w:hAnsi="宋体"/>
                <w:sz w:val="24"/>
              </w:rPr>
              <w:t>摊余成本</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99,538,981.16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0.48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1,000,310,378.61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4.87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1,000,310,378.61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4.87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FE3EEE">
        <w:trPr>
          <w:jc w:val="center"/>
        </w:trPr>
        <w:tc>
          <w:tcPr>
            <w:tcW w:w="786" w:type="dxa"/>
            <w:vAlign w:val="center"/>
          </w:tcPr>
          <w:p w:rsidR="00F41AA6" w:rsidRPr="00432A2C" w:rsidRDefault="00F41AA6" w:rsidP="00FE3EEE">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FE3EEE">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7,810,746,577.30</w:t>
            </w:r>
          </w:p>
        </w:tc>
        <w:tc>
          <w:tcPr>
            <w:tcW w:w="1889"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38.02</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8,910,595,937.07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43.38</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R="00E5775C" w:rsidRPr="00E5775C" w:rsidRDefault="00E5775C" w:rsidP="00E5775C">
      <w:pPr>
        <w:spacing w:before="29" w:line="288" w:lineRule="auto"/>
        <w:jc w:val="right"/>
        <w:rPr>
          <w:color w:val="000000"/>
          <w:kern w:val="0"/>
          <w:sz w:val="24"/>
        </w:rPr>
      </w:pPr>
      <w:r w:rsidRPr="00E5775C">
        <w:rPr>
          <w:rFonts w:hint="eastAsia"/>
          <w:color w:val="000000"/>
          <w:kern w:val="0"/>
          <w:sz w:val="24"/>
        </w:rPr>
        <w:lastRenderedPageBreak/>
        <w:t>金额单位：人民币元</w:t>
      </w:r>
    </w:p>
    <w:tbl>
      <w:tblPr>
        <w:tblStyle w:val="aa"/>
        <w:tblW w:w="9302" w:type="dxa"/>
        <w:jc w:val="center"/>
        <w:tblCellMar>
          <w:top w:w="57" w:type="dxa"/>
          <w:bottom w:w="57" w:type="dxa"/>
        </w:tblCellMar>
        <w:tblLook w:val="04A0" w:firstRow="1" w:lastRow="0" w:firstColumn="1" w:lastColumn="0" w:noHBand="0" w:noVBand="1"/>
      </w:tblPr>
      <w:tblGrid>
        <w:gridCol w:w="877"/>
        <w:gridCol w:w="1351"/>
        <w:gridCol w:w="2201"/>
        <w:gridCol w:w="1501"/>
        <w:gridCol w:w="1716"/>
        <w:gridCol w:w="1656"/>
      </w:tblGrid>
      <w:tr w:rsidR="00FC3236" w:rsidRPr="000E4C40" w:rsidTr="00FC3236">
        <w:trPr>
          <w:jc w:val="center"/>
        </w:trPr>
        <w:tc>
          <w:tcPr>
            <w:tcW w:w="118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39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35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745" w:type="dxa"/>
            <w:vAlign w:val="center"/>
          </w:tcPr>
          <w:p w:rsidR="00343648" w:rsidRPr="000E4C40" w:rsidRDefault="00343648" w:rsidP="00FC3236">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w="1435" w:type="dxa"/>
            <w:vAlign w:val="center"/>
          </w:tcPr>
          <w:p w:rsidR="00343648" w:rsidRPr="000E4C40" w:rsidRDefault="00501830"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w="2186"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FC4E7C">
        <w:trPr>
          <w:jc w:val="center"/>
        </w:trPr>
        <w:tc>
          <w:tcPr>
            <w:tcW w:w="0" w:type="auto"/>
            <w:vAlign w:val="center"/>
          </w:tcPr>
          <w:p w:rsidR="00FC4E7C" w:rsidRDefault="005A1445">
            <w:pPr>
              <w:jc w:val="center"/>
            </w:pPr>
            <w:r>
              <w:rPr>
                <w:color w:val="000000"/>
                <w:sz w:val="24"/>
              </w:rPr>
              <w:t>1</w:t>
            </w:r>
          </w:p>
        </w:tc>
        <w:tc>
          <w:tcPr>
            <w:tcW w:w="0" w:type="auto"/>
            <w:vAlign w:val="center"/>
          </w:tcPr>
          <w:p w:rsidR="00FC4E7C" w:rsidRDefault="005A1445">
            <w:pPr>
              <w:jc w:val="center"/>
            </w:pPr>
            <w:r>
              <w:rPr>
                <w:color w:val="000000"/>
                <w:sz w:val="24"/>
              </w:rPr>
              <w:t>200306</w:t>
            </w:r>
          </w:p>
        </w:tc>
        <w:tc>
          <w:tcPr>
            <w:tcW w:w="0" w:type="auto"/>
            <w:vAlign w:val="center"/>
          </w:tcPr>
          <w:p w:rsidR="00FC4E7C" w:rsidRDefault="005A1445">
            <w:pPr>
              <w:jc w:val="center"/>
            </w:pPr>
            <w:r>
              <w:rPr>
                <w:color w:val="000000"/>
                <w:sz w:val="24"/>
              </w:rPr>
              <w:t>20</w:t>
            </w:r>
            <w:r>
              <w:rPr>
                <w:color w:val="000000"/>
                <w:sz w:val="24"/>
              </w:rPr>
              <w:t>进出</w:t>
            </w:r>
            <w:r>
              <w:rPr>
                <w:color w:val="000000"/>
                <w:sz w:val="24"/>
              </w:rPr>
              <w:t>06</w:t>
            </w:r>
          </w:p>
        </w:tc>
        <w:tc>
          <w:tcPr>
            <w:tcW w:w="0" w:type="auto"/>
            <w:vAlign w:val="center"/>
          </w:tcPr>
          <w:p w:rsidR="00FC4E7C" w:rsidRDefault="005A1445">
            <w:pPr>
              <w:jc w:val="right"/>
            </w:pPr>
            <w:r>
              <w:rPr>
                <w:color w:val="000000"/>
                <w:sz w:val="24"/>
              </w:rPr>
              <w:t>3,400,000</w:t>
            </w:r>
          </w:p>
        </w:tc>
        <w:tc>
          <w:tcPr>
            <w:tcW w:w="0" w:type="auto"/>
            <w:vAlign w:val="center"/>
          </w:tcPr>
          <w:p w:rsidR="00FC4E7C" w:rsidRDefault="005A1445">
            <w:pPr>
              <w:jc w:val="right"/>
            </w:pPr>
            <w:r>
              <w:rPr>
                <w:color w:val="000000"/>
                <w:sz w:val="24"/>
              </w:rPr>
              <w:t>339,071,469.14</w:t>
            </w:r>
          </w:p>
        </w:tc>
        <w:tc>
          <w:tcPr>
            <w:tcW w:w="0" w:type="auto"/>
            <w:vAlign w:val="center"/>
          </w:tcPr>
          <w:p w:rsidR="00FC4E7C" w:rsidRDefault="005A1445">
            <w:pPr>
              <w:jc w:val="right"/>
            </w:pPr>
            <w:r>
              <w:rPr>
                <w:color w:val="000000"/>
                <w:sz w:val="24"/>
              </w:rPr>
              <w:t>1.65</w:t>
            </w:r>
          </w:p>
        </w:tc>
      </w:tr>
      <w:tr w:rsidR="00FC4E7C">
        <w:trPr>
          <w:jc w:val="center"/>
        </w:trPr>
        <w:tc>
          <w:tcPr>
            <w:tcW w:w="0" w:type="auto"/>
            <w:vAlign w:val="center"/>
          </w:tcPr>
          <w:p w:rsidR="00FC4E7C" w:rsidRDefault="005A1445">
            <w:pPr>
              <w:jc w:val="center"/>
            </w:pPr>
            <w:r>
              <w:rPr>
                <w:color w:val="000000"/>
                <w:sz w:val="24"/>
              </w:rPr>
              <w:t>2</w:t>
            </w:r>
          </w:p>
        </w:tc>
        <w:tc>
          <w:tcPr>
            <w:tcW w:w="0" w:type="auto"/>
            <w:vAlign w:val="center"/>
          </w:tcPr>
          <w:p w:rsidR="00FC4E7C" w:rsidRDefault="005A1445">
            <w:pPr>
              <w:jc w:val="center"/>
            </w:pPr>
            <w:r>
              <w:rPr>
                <w:color w:val="000000"/>
                <w:sz w:val="24"/>
              </w:rPr>
              <w:t>160411</w:t>
            </w:r>
          </w:p>
        </w:tc>
        <w:tc>
          <w:tcPr>
            <w:tcW w:w="0" w:type="auto"/>
            <w:vAlign w:val="center"/>
          </w:tcPr>
          <w:p w:rsidR="00FC4E7C" w:rsidRDefault="005A1445">
            <w:pPr>
              <w:jc w:val="center"/>
            </w:pPr>
            <w:r>
              <w:rPr>
                <w:color w:val="000000"/>
                <w:sz w:val="24"/>
              </w:rPr>
              <w:t>16</w:t>
            </w:r>
            <w:r>
              <w:rPr>
                <w:color w:val="000000"/>
                <w:sz w:val="24"/>
              </w:rPr>
              <w:t>农发</w:t>
            </w:r>
            <w:r>
              <w:rPr>
                <w:color w:val="000000"/>
                <w:sz w:val="24"/>
              </w:rPr>
              <w:t>11</w:t>
            </w:r>
          </w:p>
        </w:tc>
        <w:tc>
          <w:tcPr>
            <w:tcW w:w="0" w:type="auto"/>
            <w:vAlign w:val="center"/>
          </w:tcPr>
          <w:p w:rsidR="00FC4E7C" w:rsidRDefault="005A1445">
            <w:pPr>
              <w:jc w:val="right"/>
            </w:pPr>
            <w:r>
              <w:rPr>
                <w:color w:val="000000"/>
                <w:sz w:val="24"/>
              </w:rPr>
              <w:t>3,000,000</w:t>
            </w:r>
          </w:p>
        </w:tc>
        <w:tc>
          <w:tcPr>
            <w:tcW w:w="0" w:type="auto"/>
            <w:vAlign w:val="center"/>
          </w:tcPr>
          <w:p w:rsidR="00FC4E7C" w:rsidRDefault="005A1445">
            <w:pPr>
              <w:jc w:val="right"/>
            </w:pPr>
            <w:r>
              <w:rPr>
                <w:color w:val="000000"/>
                <w:sz w:val="24"/>
              </w:rPr>
              <w:t>300,231,685.41</w:t>
            </w:r>
          </w:p>
        </w:tc>
        <w:tc>
          <w:tcPr>
            <w:tcW w:w="0" w:type="auto"/>
            <w:vAlign w:val="center"/>
          </w:tcPr>
          <w:p w:rsidR="00FC4E7C" w:rsidRDefault="005A1445">
            <w:pPr>
              <w:jc w:val="right"/>
            </w:pPr>
            <w:r>
              <w:rPr>
                <w:color w:val="000000"/>
                <w:sz w:val="24"/>
              </w:rPr>
              <w:t>1.46</w:t>
            </w:r>
          </w:p>
        </w:tc>
      </w:tr>
      <w:tr w:rsidR="00FC4E7C">
        <w:trPr>
          <w:jc w:val="center"/>
        </w:trPr>
        <w:tc>
          <w:tcPr>
            <w:tcW w:w="0" w:type="auto"/>
            <w:vAlign w:val="center"/>
          </w:tcPr>
          <w:p w:rsidR="00FC4E7C" w:rsidRDefault="005A1445">
            <w:pPr>
              <w:jc w:val="center"/>
            </w:pPr>
            <w:r>
              <w:rPr>
                <w:color w:val="000000"/>
                <w:sz w:val="24"/>
              </w:rPr>
              <w:t>3</w:t>
            </w:r>
          </w:p>
        </w:tc>
        <w:tc>
          <w:tcPr>
            <w:tcW w:w="0" w:type="auto"/>
            <w:vAlign w:val="center"/>
          </w:tcPr>
          <w:p w:rsidR="00FC4E7C" w:rsidRDefault="005A1445">
            <w:pPr>
              <w:jc w:val="center"/>
            </w:pPr>
            <w:r>
              <w:rPr>
                <w:color w:val="000000"/>
                <w:sz w:val="24"/>
              </w:rPr>
              <w:t>112021148</w:t>
            </w:r>
          </w:p>
        </w:tc>
        <w:tc>
          <w:tcPr>
            <w:tcW w:w="0" w:type="auto"/>
            <w:vAlign w:val="center"/>
          </w:tcPr>
          <w:p w:rsidR="00FC4E7C" w:rsidRDefault="005A1445">
            <w:pPr>
              <w:jc w:val="center"/>
            </w:pPr>
            <w:r>
              <w:rPr>
                <w:color w:val="000000"/>
                <w:sz w:val="24"/>
              </w:rPr>
              <w:t>20</w:t>
            </w:r>
            <w:r>
              <w:rPr>
                <w:color w:val="000000"/>
                <w:sz w:val="24"/>
              </w:rPr>
              <w:t>渤海银行</w:t>
            </w:r>
            <w:r>
              <w:rPr>
                <w:color w:val="000000"/>
                <w:sz w:val="24"/>
              </w:rPr>
              <w:t>CD148</w:t>
            </w:r>
          </w:p>
        </w:tc>
        <w:tc>
          <w:tcPr>
            <w:tcW w:w="0" w:type="auto"/>
            <w:vAlign w:val="center"/>
          </w:tcPr>
          <w:p w:rsidR="00FC4E7C" w:rsidRDefault="005A1445">
            <w:pPr>
              <w:jc w:val="right"/>
            </w:pPr>
            <w:r>
              <w:rPr>
                <w:color w:val="000000"/>
                <w:sz w:val="24"/>
              </w:rPr>
              <w:t>3,000,000</w:t>
            </w:r>
          </w:p>
        </w:tc>
        <w:tc>
          <w:tcPr>
            <w:tcW w:w="0" w:type="auto"/>
            <w:vAlign w:val="center"/>
          </w:tcPr>
          <w:p w:rsidR="00FC4E7C" w:rsidRDefault="005A1445">
            <w:pPr>
              <w:jc w:val="right"/>
            </w:pPr>
            <w:r>
              <w:rPr>
                <w:color w:val="000000"/>
                <w:sz w:val="24"/>
              </w:rPr>
              <w:t>299,736,327.28</w:t>
            </w:r>
          </w:p>
        </w:tc>
        <w:tc>
          <w:tcPr>
            <w:tcW w:w="0" w:type="auto"/>
            <w:vAlign w:val="center"/>
          </w:tcPr>
          <w:p w:rsidR="00FC4E7C" w:rsidRDefault="005A1445">
            <w:pPr>
              <w:jc w:val="right"/>
            </w:pPr>
            <w:r>
              <w:rPr>
                <w:color w:val="000000"/>
                <w:sz w:val="24"/>
              </w:rPr>
              <w:t>1.46</w:t>
            </w:r>
          </w:p>
        </w:tc>
      </w:tr>
      <w:tr w:rsidR="00FC4E7C">
        <w:trPr>
          <w:jc w:val="center"/>
        </w:trPr>
        <w:tc>
          <w:tcPr>
            <w:tcW w:w="0" w:type="auto"/>
            <w:vAlign w:val="center"/>
          </w:tcPr>
          <w:p w:rsidR="00FC4E7C" w:rsidRDefault="005A1445">
            <w:pPr>
              <w:jc w:val="center"/>
            </w:pPr>
            <w:r>
              <w:rPr>
                <w:color w:val="000000"/>
                <w:sz w:val="24"/>
              </w:rPr>
              <w:t>4</w:t>
            </w:r>
          </w:p>
        </w:tc>
        <w:tc>
          <w:tcPr>
            <w:tcW w:w="0" w:type="auto"/>
            <w:vAlign w:val="center"/>
          </w:tcPr>
          <w:p w:rsidR="00FC4E7C" w:rsidRDefault="005A1445">
            <w:pPr>
              <w:jc w:val="center"/>
            </w:pPr>
            <w:r>
              <w:rPr>
                <w:color w:val="000000"/>
                <w:sz w:val="24"/>
              </w:rPr>
              <w:t>180203</w:t>
            </w:r>
          </w:p>
        </w:tc>
        <w:tc>
          <w:tcPr>
            <w:tcW w:w="0" w:type="auto"/>
            <w:vAlign w:val="center"/>
          </w:tcPr>
          <w:p w:rsidR="00FC4E7C" w:rsidRDefault="005A1445">
            <w:pPr>
              <w:jc w:val="center"/>
            </w:pPr>
            <w:r>
              <w:rPr>
                <w:color w:val="000000"/>
                <w:sz w:val="24"/>
              </w:rPr>
              <w:t>18</w:t>
            </w:r>
            <w:r>
              <w:rPr>
                <w:color w:val="000000"/>
                <w:sz w:val="24"/>
              </w:rPr>
              <w:t>国开</w:t>
            </w:r>
            <w:r>
              <w:rPr>
                <w:color w:val="000000"/>
                <w:sz w:val="24"/>
              </w:rPr>
              <w:t>03</w:t>
            </w:r>
          </w:p>
        </w:tc>
        <w:tc>
          <w:tcPr>
            <w:tcW w:w="0" w:type="auto"/>
            <w:vAlign w:val="center"/>
          </w:tcPr>
          <w:p w:rsidR="00FC4E7C" w:rsidRDefault="005A1445">
            <w:pPr>
              <w:jc w:val="right"/>
            </w:pPr>
            <w:r>
              <w:rPr>
                <w:color w:val="000000"/>
                <w:sz w:val="24"/>
              </w:rPr>
              <w:t>2,900,000</w:t>
            </w:r>
          </w:p>
        </w:tc>
        <w:tc>
          <w:tcPr>
            <w:tcW w:w="0" w:type="auto"/>
            <w:vAlign w:val="center"/>
          </w:tcPr>
          <w:p w:rsidR="00FC4E7C" w:rsidRDefault="005A1445">
            <w:pPr>
              <w:jc w:val="right"/>
            </w:pPr>
            <w:r>
              <w:rPr>
                <w:color w:val="000000"/>
                <w:sz w:val="24"/>
              </w:rPr>
              <w:t>290,984,519.24</w:t>
            </w:r>
          </w:p>
        </w:tc>
        <w:tc>
          <w:tcPr>
            <w:tcW w:w="0" w:type="auto"/>
            <w:vAlign w:val="center"/>
          </w:tcPr>
          <w:p w:rsidR="00FC4E7C" w:rsidRDefault="005A1445">
            <w:pPr>
              <w:jc w:val="right"/>
            </w:pPr>
            <w:r>
              <w:rPr>
                <w:color w:val="000000"/>
                <w:sz w:val="24"/>
              </w:rPr>
              <w:t>1.42</w:t>
            </w:r>
          </w:p>
        </w:tc>
      </w:tr>
      <w:tr w:rsidR="00FC4E7C">
        <w:trPr>
          <w:jc w:val="center"/>
        </w:trPr>
        <w:tc>
          <w:tcPr>
            <w:tcW w:w="0" w:type="auto"/>
            <w:vAlign w:val="center"/>
          </w:tcPr>
          <w:p w:rsidR="00FC4E7C" w:rsidRDefault="005A1445">
            <w:pPr>
              <w:jc w:val="center"/>
            </w:pPr>
            <w:r>
              <w:rPr>
                <w:color w:val="000000"/>
                <w:sz w:val="24"/>
              </w:rPr>
              <w:t>5</w:t>
            </w:r>
          </w:p>
        </w:tc>
        <w:tc>
          <w:tcPr>
            <w:tcW w:w="0" w:type="auto"/>
            <w:vAlign w:val="center"/>
          </w:tcPr>
          <w:p w:rsidR="00FC4E7C" w:rsidRDefault="005A1445">
            <w:pPr>
              <w:jc w:val="center"/>
            </w:pPr>
            <w:r>
              <w:rPr>
                <w:color w:val="000000"/>
                <w:sz w:val="24"/>
              </w:rPr>
              <w:t>112074415</w:t>
            </w:r>
          </w:p>
        </w:tc>
        <w:tc>
          <w:tcPr>
            <w:tcW w:w="0" w:type="auto"/>
            <w:vAlign w:val="center"/>
          </w:tcPr>
          <w:p w:rsidR="00FC4E7C" w:rsidRDefault="005A1445">
            <w:pPr>
              <w:jc w:val="center"/>
            </w:pPr>
            <w:r>
              <w:rPr>
                <w:color w:val="000000"/>
                <w:sz w:val="24"/>
              </w:rPr>
              <w:t>20</w:t>
            </w:r>
            <w:r>
              <w:rPr>
                <w:color w:val="000000"/>
                <w:sz w:val="24"/>
              </w:rPr>
              <w:t>贵阳银行</w:t>
            </w:r>
            <w:r>
              <w:rPr>
                <w:color w:val="000000"/>
                <w:sz w:val="24"/>
              </w:rPr>
              <w:t>CD168</w:t>
            </w:r>
          </w:p>
        </w:tc>
        <w:tc>
          <w:tcPr>
            <w:tcW w:w="0" w:type="auto"/>
            <w:vAlign w:val="center"/>
          </w:tcPr>
          <w:p w:rsidR="00FC4E7C" w:rsidRDefault="005A1445">
            <w:pPr>
              <w:jc w:val="right"/>
            </w:pPr>
            <w:r>
              <w:rPr>
                <w:color w:val="000000"/>
                <w:sz w:val="24"/>
              </w:rPr>
              <w:t>2,500,000</w:t>
            </w:r>
          </w:p>
        </w:tc>
        <w:tc>
          <w:tcPr>
            <w:tcW w:w="0" w:type="auto"/>
            <w:vAlign w:val="center"/>
          </w:tcPr>
          <w:p w:rsidR="00FC4E7C" w:rsidRDefault="005A1445">
            <w:pPr>
              <w:jc w:val="right"/>
            </w:pPr>
            <w:r>
              <w:rPr>
                <w:color w:val="000000"/>
                <w:sz w:val="24"/>
              </w:rPr>
              <w:t>246,482,897.29</w:t>
            </w:r>
          </w:p>
        </w:tc>
        <w:tc>
          <w:tcPr>
            <w:tcW w:w="0" w:type="auto"/>
            <w:vAlign w:val="center"/>
          </w:tcPr>
          <w:p w:rsidR="00FC4E7C" w:rsidRDefault="005A1445">
            <w:pPr>
              <w:jc w:val="right"/>
            </w:pPr>
            <w:r>
              <w:rPr>
                <w:color w:val="000000"/>
                <w:sz w:val="24"/>
              </w:rPr>
              <w:t>1.20</w:t>
            </w:r>
          </w:p>
        </w:tc>
      </w:tr>
      <w:tr w:rsidR="00FC4E7C">
        <w:trPr>
          <w:jc w:val="center"/>
        </w:trPr>
        <w:tc>
          <w:tcPr>
            <w:tcW w:w="0" w:type="auto"/>
            <w:vAlign w:val="center"/>
          </w:tcPr>
          <w:p w:rsidR="00FC4E7C" w:rsidRDefault="005A1445">
            <w:pPr>
              <w:jc w:val="center"/>
            </w:pPr>
            <w:r>
              <w:rPr>
                <w:color w:val="000000"/>
                <w:sz w:val="24"/>
              </w:rPr>
              <w:t>6</w:t>
            </w:r>
          </w:p>
        </w:tc>
        <w:tc>
          <w:tcPr>
            <w:tcW w:w="0" w:type="auto"/>
            <w:vAlign w:val="center"/>
          </w:tcPr>
          <w:p w:rsidR="00FC4E7C" w:rsidRDefault="005A1445">
            <w:pPr>
              <w:jc w:val="center"/>
            </w:pPr>
            <w:r>
              <w:rPr>
                <w:color w:val="000000"/>
                <w:sz w:val="24"/>
              </w:rPr>
              <w:t>112076353</w:t>
            </w:r>
          </w:p>
        </w:tc>
        <w:tc>
          <w:tcPr>
            <w:tcW w:w="0" w:type="auto"/>
            <w:vAlign w:val="center"/>
          </w:tcPr>
          <w:p w:rsidR="00FC4E7C" w:rsidRDefault="005A1445">
            <w:pPr>
              <w:jc w:val="center"/>
            </w:pPr>
            <w:r>
              <w:rPr>
                <w:color w:val="000000"/>
                <w:sz w:val="24"/>
              </w:rPr>
              <w:t>20</w:t>
            </w:r>
            <w:r>
              <w:rPr>
                <w:color w:val="000000"/>
                <w:sz w:val="24"/>
              </w:rPr>
              <w:t>瑞穗银行</w:t>
            </w:r>
            <w:r>
              <w:rPr>
                <w:color w:val="000000"/>
                <w:sz w:val="24"/>
              </w:rPr>
              <w:t>CD029</w:t>
            </w:r>
          </w:p>
        </w:tc>
        <w:tc>
          <w:tcPr>
            <w:tcW w:w="0" w:type="auto"/>
            <w:vAlign w:val="center"/>
          </w:tcPr>
          <w:p w:rsidR="00FC4E7C" w:rsidRDefault="005A1445">
            <w:pPr>
              <w:jc w:val="right"/>
            </w:pPr>
            <w:r>
              <w:rPr>
                <w:color w:val="000000"/>
                <w:sz w:val="24"/>
              </w:rPr>
              <w:t>2,500,000</w:t>
            </w:r>
          </w:p>
        </w:tc>
        <w:tc>
          <w:tcPr>
            <w:tcW w:w="0" w:type="auto"/>
            <w:vAlign w:val="center"/>
          </w:tcPr>
          <w:p w:rsidR="00FC4E7C" w:rsidRDefault="005A1445">
            <w:pPr>
              <w:jc w:val="right"/>
            </w:pPr>
            <w:r>
              <w:rPr>
                <w:color w:val="000000"/>
                <w:sz w:val="24"/>
              </w:rPr>
              <w:t>244,266,666.18</w:t>
            </w:r>
          </w:p>
        </w:tc>
        <w:tc>
          <w:tcPr>
            <w:tcW w:w="0" w:type="auto"/>
            <w:vAlign w:val="center"/>
          </w:tcPr>
          <w:p w:rsidR="00FC4E7C" w:rsidRDefault="005A1445">
            <w:pPr>
              <w:jc w:val="right"/>
            </w:pPr>
            <w:r>
              <w:rPr>
                <w:color w:val="000000"/>
                <w:sz w:val="24"/>
              </w:rPr>
              <w:t>1.19</w:t>
            </w:r>
          </w:p>
        </w:tc>
      </w:tr>
      <w:tr w:rsidR="00FC4E7C">
        <w:trPr>
          <w:jc w:val="center"/>
        </w:trPr>
        <w:tc>
          <w:tcPr>
            <w:tcW w:w="0" w:type="auto"/>
            <w:vAlign w:val="center"/>
          </w:tcPr>
          <w:p w:rsidR="00FC4E7C" w:rsidRDefault="005A1445">
            <w:pPr>
              <w:jc w:val="center"/>
            </w:pPr>
            <w:r>
              <w:rPr>
                <w:color w:val="000000"/>
                <w:sz w:val="24"/>
              </w:rPr>
              <w:t>7</w:t>
            </w:r>
          </w:p>
        </w:tc>
        <w:tc>
          <w:tcPr>
            <w:tcW w:w="0" w:type="auto"/>
            <w:vAlign w:val="center"/>
          </w:tcPr>
          <w:p w:rsidR="00FC4E7C" w:rsidRDefault="005A1445">
            <w:pPr>
              <w:jc w:val="center"/>
            </w:pPr>
            <w:r>
              <w:rPr>
                <w:color w:val="000000"/>
                <w:sz w:val="24"/>
              </w:rPr>
              <w:t>112021172</w:t>
            </w:r>
          </w:p>
        </w:tc>
        <w:tc>
          <w:tcPr>
            <w:tcW w:w="0" w:type="auto"/>
            <w:vAlign w:val="center"/>
          </w:tcPr>
          <w:p w:rsidR="00FC4E7C" w:rsidRDefault="005A1445">
            <w:pPr>
              <w:jc w:val="center"/>
            </w:pPr>
            <w:r>
              <w:rPr>
                <w:color w:val="000000"/>
                <w:sz w:val="24"/>
              </w:rPr>
              <w:t>20</w:t>
            </w:r>
            <w:r>
              <w:rPr>
                <w:color w:val="000000"/>
                <w:sz w:val="24"/>
              </w:rPr>
              <w:t>渤海银行</w:t>
            </w:r>
            <w:r>
              <w:rPr>
                <w:color w:val="000000"/>
                <w:sz w:val="24"/>
              </w:rPr>
              <w:t>CD172</w:t>
            </w:r>
          </w:p>
        </w:tc>
        <w:tc>
          <w:tcPr>
            <w:tcW w:w="0" w:type="auto"/>
            <w:vAlign w:val="center"/>
          </w:tcPr>
          <w:p w:rsidR="00FC4E7C" w:rsidRDefault="005A1445">
            <w:pPr>
              <w:jc w:val="right"/>
            </w:pPr>
            <w:r>
              <w:rPr>
                <w:color w:val="000000"/>
                <w:sz w:val="24"/>
              </w:rPr>
              <w:t>2,000,000</w:t>
            </w:r>
          </w:p>
        </w:tc>
        <w:tc>
          <w:tcPr>
            <w:tcW w:w="0" w:type="auto"/>
            <w:vAlign w:val="center"/>
          </w:tcPr>
          <w:p w:rsidR="00FC4E7C" w:rsidRDefault="005A1445">
            <w:pPr>
              <w:jc w:val="right"/>
            </w:pPr>
            <w:r>
              <w:rPr>
                <w:color w:val="000000"/>
                <w:sz w:val="24"/>
              </w:rPr>
              <w:t>199,741,007.15</w:t>
            </w:r>
          </w:p>
        </w:tc>
        <w:tc>
          <w:tcPr>
            <w:tcW w:w="0" w:type="auto"/>
            <w:vAlign w:val="center"/>
          </w:tcPr>
          <w:p w:rsidR="00FC4E7C" w:rsidRDefault="005A1445">
            <w:pPr>
              <w:jc w:val="right"/>
            </w:pPr>
            <w:r>
              <w:rPr>
                <w:color w:val="000000"/>
                <w:sz w:val="24"/>
              </w:rPr>
              <w:t>0.97</w:t>
            </w:r>
          </w:p>
        </w:tc>
      </w:tr>
      <w:tr w:rsidR="00FC4E7C">
        <w:trPr>
          <w:jc w:val="center"/>
        </w:trPr>
        <w:tc>
          <w:tcPr>
            <w:tcW w:w="0" w:type="auto"/>
            <w:vAlign w:val="center"/>
          </w:tcPr>
          <w:p w:rsidR="00FC4E7C" w:rsidRDefault="005A1445">
            <w:pPr>
              <w:jc w:val="center"/>
            </w:pPr>
            <w:r>
              <w:rPr>
                <w:color w:val="000000"/>
                <w:sz w:val="24"/>
              </w:rPr>
              <w:t>8</w:t>
            </w:r>
          </w:p>
        </w:tc>
        <w:tc>
          <w:tcPr>
            <w:tcW w:w="0" w:type="auto"/>
            <w:vAlign w:val="center"/>
          </w:tcPr>
          <w:p w:rsidR="00FC4E7C" w:rsidRDefault="005A1445">
            <w:pPr>
              <w:jc w:val="center"/>
            </w:pPr>
            <w:r>
              <w:rPr>
                <w:color w:val="000000"/>
                <w:sz w:val="24"/>
              </w:rPr>
              <w:t>112099647</w:t>
            </w:r>
          </w:p>
        </w:tc>
        <w:tc>
          <w:tcPr>
            <w:tcW w:w="0" w:type="auto"/>
            <w:vAlign w:val="center"/>
          </w:tcPr>
          <w:p w:rsidR="00FC4E7C" w:rsidRDefault="005A1445">
            <w:pPr>
              <w:jc w:val="center"/>
            </w:pPr>
            <w:r>
              <w:rPr>
                <w:color w:val="000000"/>
                <w:sz w:val="24"/>
              </w:rPr>
              <w:t>20</w:t>
            </w:r>
            <w:r>
              <w:rPr>
                <w:color w:val="000000"/>
                <w:sz w:val="24"/>
              </w:rPr>
              <w:t>东莞农村商业银行</w:t>
            </w:r>
            <w:r>
              <w:rPr>
                <w:color w:val="000000"/>
                <w:sz w:val="24"/>
              </w:rPr>
              <w:t>CD111</w:t>
            </w:r>
          </w:p>
        </w:tc>
        <w:tc>
          <w:tcPr>
            <w:tcW w:w="0" w:type="auto"/>
            <w:vAlign w:val="center"/>
          </w:tcPr>
          <w:p w:rsidR="00FC4E7C" w:rsidRDefault="005A1445">
            <w:pPr>
              <w:jc w:val="right"/>
            </w:pPr>
            <w:r>
              <w:rPr>
                <w:color w:val="000000"/>
                <w:sz w:val="24"/>
              </w:rPr>
              <w:t>2,000,000</w:t>
            </w:r>
          </w:p>
        </w:tc>
        <w:tc>
          <w:tcPr>
            <w:tcW w:w="0" w:type="auto"/>
            <w:vAlign w:val="center"/>
          </w:tcPr>
          <w:p w:rsidR="00FC4E7C" w:rsidRDefault="005A1445">
            <w:pPr>
              <w:jc w:val="right"/>
            </w:pPr>
            <w:r>
              <w:rPr>
                <w:color w:val="000000"/>
                <w:sz w:val="24"/>
              </w:rPr>
              <w:t>199,461,925.52</w:t>
            </w:r>
          </w:p>
        </w:tc>
        <w:tc>
          <w:tcPr>
            <w:tcW w:w="0" w:type="auto"/>
            <w:vAlign w:val="center"/>
          </w:tcPr>
          <w:p w:rsidR="00FC4E7C" w:rsidRDefault="005A1445">
            <w:pPr>
              <w:jc w:val="right"/>
            </w:pPr>
            <w:r>
              <w:rPr>
                <w:color w:val="000000"/>
                <w:sz w:val="24"/>
              </w:rPr>
              <w:t>0.97</w:t>
            </w:r>
          </w:p>
        </w:tc>
      </w:tr>
      <w:tr w:rsidR="00FC4E7C">
        <w:trPr>
          <w:jc w:val="center"/>
        </w:trPr>
        <w:tc>
          <w:tcPr>
            <w:tcW w:w="0" w:type="auto"/>
            <w:vAlign w:val="center"/>
          </w:tcPr>
          <w:p w:rsidR="00FC4E7C" w:rsidRDefault="005A1445">
            <w:pPr>
              <w:jc w:val="center"/>
            </w:pPr>
            <w:r>
              <w:rPr>
                <w:color w:val="000000"/>
                <w:sz w:val="24"/>
              </w:rPr>
              <w:t>9</w:t>
            </w:r>
          </w:p>
        </w:tc>
        <w:tc>
          <w:tcPr>
            <w:tcW w:w="0" w:type="auto"/>
            <w:vAlign w:val="center"/>
          </w:tcPr>
          <w:p w:rsidR="00FC4E7C" w:rsidRDefault="005A1445">
            <w:pPr>
              <w:jc w:val="center"/>
            </w:pPr>
            <w:r>
              <w:rPr>
                <w:color w:val="000000"/>
                <w:sz w:val="24"/>
              </w:rPr>
              <w:t>112099739</w:t>
            </w:r>
          </w:p>
        </w:tc>
        <w:tc>
          <w:tcPr>
            <w:tcW w:w="0" w:type="auto"/>
            <w:vAlign w:val="center"/>
          </w:tcPr>
          <w:p w:rsidR="00FC4E7C" w:rsidRDefault="005A1445">
            <w:pPr>
              <w:jc w:val="center"/>
            </w:pPr>
            <w:r>
              <w:rPr>
                <w:color w:val="000000"/>
                <w:sz w:val="24"/>
              </w:rPr>
              <w:t>20</w:t>
            </w:r>
            <w:r>
              <w:rPr>
                <w:color w:val="000000"/>
                <w:sz w:val="24"/>
              </w:rPr>
              <w:t>齐鲁银行</w:t>
            </w:r>
            <w:r>
              <w:rPr>
                <w:color w:val="000000"/>
                <w:sz w:val="24"/>
              </w:rPr>
              <w:t>CD021</w:t>
            </w:r>
          </w:p>
        </w:tc>
        <w:tc>
          <w:tcPr>
            <w:tcW w:w="0" w:type="auto"/>
            <w:vAlign w:val="center"/>
          </w:tcPr>
          <w:p w:rsidR="00FC4E7C" w:rsidRDefault="005A1445">
            <w:pPr>
              <w:jc w:val="right"/>
            </w:pPr>
            <w:r>
              <w:rPr>
                <w:color w:val="000000"/>
                <w:sz w:val="24"/>
              </w:rPr>
              <w:t>2,000,000</w:t>
            </w:r>
          </w:p>
        </w:tc>
        <w:tc>
          <w:tcPr>
            <w:tcW w:w="0" w:type="auto"/>
            <w:vAlign w:val="center"/>
          </w:tcPr>
          <w:p w:rsidR="00FC4E7C" w:rsidRDefault="005A1445">
            <w:pPr>
              <w:jc w:val="right"/>
            </w:pPr>
            <w:r>
              <w:rPr>
                <w:color w:val="000000"/>
                <w:sz w:val="24"/>
              </w:rPr>
              <w:t>199,452,155.76</w:t>
            </w:r>
          </w:p>
        </w:tc>
        <w:tc>
          <w:tcPr>
            <w:tcW w:w="0" w:type="auto"/>
            <w:vAlign w:val="center"/>
          </w:tcPr>
          <w:p w:rsidR="00FC4E7C" w:rsidRDefault="005A1445">
            <w:pPr>
              <w:jc w:val="right"/>
            </w:pPr>
            <w:r>
              <w:rPr>
                <w:color w:val="000000"/>
                <w:sz w:val="24"/>
              </w:rPr>
              <w:t>0.97</w:t>
            </w:r>
          </w:p>
        </w:tc>
      </w:tr>
      <w:tr w:rsidR="00FC4E7C">
        <w:trPr>
          <w:jc w:val="center"/>
        </w:trPr>
        <w:tc>
          <w:tcPr>
            <w:tcW w:w="0" w:type="auto"/>
            <w:vAlign w:val="center"/>
          </w:tcPr>
          <w:p w:rsidR="00FC4E7C" w:rsidRDefault="005A1445">
            <w:pPr>
              <w:jc w:val="center"/>
            </w:pPr>
            <w:r>
              <w:rPr>
                <w:color w:val="000000"/>
                <w:sz w:val="24"/>
              </w:rPr>
              <w:t>10</w:t>
            </w:r>
          </w:p>
        </w:tc>
        <w:tc>
          <w:tcPr>
            <w:tcW w:w="0" w:type="auto"/>
            <w:vAlign w:val="center"/>
          </w:tcPr>
          <w:p w:rsidR="00FC4E7C" w:rsidRDefault="005A1445">
            <w:pPr>
              <w:jc w:val="center"/>
            </w:pPr>
            <w:r>
              <w:rPr>
                <w:color w:val="000000"/>
                <w:sz w:val="24"/>
              </w:rPr>
              <w:t>112089900</w:t>
            </w:r>
          </w:p>
        </w:tc>
        <w:tc>
          <w:tcPr>
            <w:tcW w:w="0" w:type="auto"/>
            <w:vAlign w:val="center"/>
          </w:tcPr>
          <w:p w:rsidR="00FC4E7C" w:rsidRDefault="005A1445">
            <w:pPr>
              <w:jc w:val="center"/>
            </w:pPr>
            <w:r>
              <w:rPr>
                <w:color w:val="000000"/>
                <w:sz w:val="24"/>
              </w:rPr>
              <w:t>20</w:t>
            </w:r>
            <w:r>
              <w:rPr>
                <w:color w:val="000000"/>
                <w:sz w:val="24"/>
              </w:rPr>
              <w:t>晋商银行</w:t>
            </w:r>
            <w:r>
              <w:rPr>
                <w:color w:val="000000"/>
                <w:sz w:val="24"/>
              </w:rPr>
              <w:t>CD178</w:t>
            </w:r>
          </w:p>
        </w:tc>
        <w:tc>
          <w:tcPr>
            <w:tcW w:w="0" w:type="auto"/>
            <w:vAlign w:val="center"/>
          </w:tcPr>
          <w:p w:rsidR="00FC4E7C" w:rsidRDefault="005A1445">
            <w:pPr>
              <w:jc w:val="right"/>
            </w:pPr>
            <w:r>
              <w:rPr>
                <w:color w:val="000000"/>
                <w:sz w:val="24"/>
              </w:rPr>
              <w:t>2,000,000</w:t>
            </w:r>
          </w:p>
        </w:tc>
        <w:tc>
          <w:tcPr>
            <w:tcW w:w="0" w:type="auto"/>
            <w:vAlign w:val="center"/>
          </w:tcPr>
          <w:p w:rsidR="00FC4E7C" w:rsidRDefault="005A1445">
            <w:pPr>
              <w:jc w:val="right"/>
            </w:pPr>
            <w:r>
              <w:rPr>
                <w:color w:val="000000"/>
                <w:sz w:val="24"/>
              </w:rPr>
              <w:t>198,095,403.65</w:t>
            </w:r>
          </w:p>
        </w:tc>
        <w:tc>
          <w:tcPr>
            <w:tcW w:w="0" w:type="auto"/>
            <w:vAlign w:val="center"/>
          </w:tcPr>
          <w:p w:rsidR="00FC4E7C" w:rsidRDefault="005A1445">
            <w:pPr>
              <w:jc w:val="right"/>
            </w:pPr>
            <w:r>
              <w:rPr>
                <w:color w:val="000000"/>
                <w:sz w:val="24"/>
              </w:rPr>
              <w:t>0.96</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0.0498%</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-0.0281%</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0.0209%</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w:t>
      </w:r>
      <w:r w:rsidR="00615DAC" w:rsidRPr="00615DAC">
        <w:rPr>
          <w:rFonts w:hAnsi="宋体" w:hint="eastAsia"/>
          <w:b/>
          <w:color w:val="000000"/>
          <w:kern w:val="0"/>
          <w:sz w:val="24"/>
        </w:rPr>
        <w:t>摊余成本</w:t>
      </w:r>
      <w:r w:rsidR="00902E3F" w:rsidRPr="000E4C40">
        <w:rPr>
          <w:rFonts w:hAnsi="宋体"/>
          <w:b/>
          <w:color w:val="000000"/>
          <w:kern w:val="0"/>
          <w:sz w:val="24"/>
        </w:rPr>
        <w:t>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E97D49" w:rsidRPr="00E97D49" w:rsidRDefault="00E97D49" w:rsidP="00E97D49">
      <w:pPr>
        <w:spacing w:before="29" w:line="288" w:lineRule="auto"/>
        <w:jc w:val="right"/>
        <w:rPr>
          <w:color w:val="000000"/>
          <w:kern w:val="0"/>
          <w:sz w:val="24"/>
        </w:rPr>
      </w:pPr>
      <w:r w:rsidRPr="00E97D49">
        <w:rPr>
          <w:rFonts w:hint="eastAsia"/>
          <w:color w:val="000000"/>
          <w:kern w:val="0"/>
          <w:sz w:val="24"/>
        </w:rPr>
        <w:lastRenderedPageBreak/>
        <w:t>金额单位：人民币元</w:t>
      </w:r>
    </w:p>
    <w:tbl>
      <w:tblPr>
        <w:tblStyle w:val="aa"/>
        <w:tblW w:w="9302" w:type="dxa"/>
        <w:jc w:val="center"/>
        <w:tblCellMar>
          <w:top w:w="57" w:type="dxa"/>
          <w:bottom w:w="57" w:type="dxa"/>
        </w:tblCellMar>
        <w:tblLook w:val="04A0" w:firstRow="1" w:lastRow="0" w:firstColumn="1" w:lastColumn="0" w:noHBand="0" w:noVBand="1"/>
      </w:tblPr>
      <w:tblGrid>
        <w:gridCol w:w="1447"/>
        <w:gridCol w:w="1470"/>
        <w:gridCol w:w="1460"/>
        <w:gridCol w:w="1585"/>
        <w:gridCol w:w="1716"/>
        <w:gridCol w:w="1624"/>
      </w:tblGrid>
      <w:tr w:rsidR="00BF1111" w:rsidRPr="000E4C40" w:rsidTr="008F34CE">
        <w:trPr>
          <w:jc w:val="center"/>
        </w:trPr>
        <w:tc>
          <w:tcPr>
            <w:tcW w:w="1503"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01"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01"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608" w:type="dxa"/>
            <w:vAlign w:val="center"/>
          </w:tcPr>
          <w:p w:rsidR="00BF1111" w:rsidRPr="00187BE0" w:rsidRDefault="00E269C1" w:rsidP="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w="1508" w:type="dxa"/>
            <w:vAlign w:val="center"/>
          </w:tcPr>
          <w:p w:rsidR="00BF1111" w:rsidRPr="000E4C40" w:rsidRDefault="00BD3669" w:rsidP="00B34175">
            <w:pPr>
              <w:autoSpaceDE w:val="0"/>
              <w:autoSpaceDN w:val="0"/>
              <w:adjustRightInd w:val="0"/>
              <w:spacing w:before="29" w:line="288" w:lineRule="auto"/>
              <w:ind w:left="15"/>
              <w:jc w:val="center"/>
              <w:rPr>
                <w:color w:val="000000"/>
                <w:kern w:val="0"/>
                <w:sz w:val="24"/>
              </w:rPr>
            </w:pPr>
            <w:r>
              <w:rPr>
                <w:rFonts w:hAnsi="宋体" w:hint="eastAsia"/>
                <w:color w:val="000000"/>
                <w:kern w:val="0"/>
                <w:sz w:val="24"/>
              </w:rPr>
              <w:t>摊余成本</w:t>
            </w:r>
            <w:r w:rsidRPr="00ED7185">
              <w:rPr>
                <w:rFonts w:hAnsi="宋体"/>
                <w:color w:val="000000"/>
                <w:kern w:val="0"/>
                <w:sz w:val="24"/>
              </w:rPr>
              <w:t>(</w:t>
            </w:r>
            <w:r w:rsidRPr="00ED7185">
              <w:rPr>
                <w:rFonts w:hAnsi="宋体" w:hint="eastAsia"/>
                <w:color w:val="000000"/>
                <w:kern w:val="0"/>
                <w:sz w:val="24"/>
              </w:rPr>
              <w:t>元</w:t>
            </w:r>
            <w:r w:rsidRPr="00ED7185">
              <w:rPr>
                <w:rFonts w:hAnsi="宋体"/>
                <w:color w:val="000000"/>
                <w:kern w:val="0"/>
                <w:sz w:val="24"/>
              </w:rPr>
              <w:t>)</w:t>
            </w:r>
          </w:p>
        </w:tc>
        <w:tc>
          <w:tcPr>
            <w:tcW w:w="1681" w:type="dxa"/>
            <w:vAlign w:val="center"/>
          </w:tcPr>
          <w:p w:rsidR="00BF1111" w:rsidRPr="000E4C40" w:rsidRDefault="00F6042F"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rsidR="00FC4E7C">
        <w:trPr>
          <w:jc w:val="center"/>
        </w:trPr>
        <w:tc>
          <w:tcPr>
            <w:tcW w:w="0" w:type="auto"/>
            <w:vAlign w:val="center"/>
          </w:tcPr>
          <w:p w:rsidR="00FC4E7C" w:rsidRDefault="005A1445">
            <w:pPr>
              <w:jc w:val="center"/>
            </w:pPr>
            <w:r>
              <w:rPr>
                <w:color w:val="000000"/>
                <w:sz w:val="24"/>
              </w:rPr>
              <w:t>1</w:t>
            </w:r>
          </w:p>
        </w:tc>
        <w:tc>
          <w:tcPr>
            <w:tcW w:w="0" w:type="auto"/>
            <w:vAlign w:val="center"/>
          </w:tcPr>
          <w:p w:rsidR="00FC4E7C" w:rsidRDefault="005A1445">
            <w:pPr>
              <w:jc w:val="center"/>
            </w:pPr>
            <w:r>
              <w:rPr>
                <w:color w:val="000000"/>
                <w:sz w:val="24"/>
              </w:rPr>
              <w:t>169849</w:t>
            </w:r>
          </w:p>
        </w:tc>
        <w:tc>
          <w:tcPr>
            <w:tcW w:w="0" w:type="auto"/>
            <w:vAlign w:val="center"/>
          </w:tcPr>
          <w:p w:rsidR="00FC4E7C" w:rsidRDefault="005A1445">
            <w:pPr>
              <w:jc w:val="center"/>
            </w:pPr>
            <w:r>
              <w:rPr>
                <w:color w:val="000000"/>
                <w:sz w:val="24"/>
              </w:rPr>
              <w:t>20</w:t>
            </w:r>
            <w:r>
              <w:rPr>
                <w:color w:val="000000"/>
                <w:sz w:val="24"/>
              </w:rPr>
              <w:t>花</w:t>
            </w:r>
            <w:r>
              <w:rPr>
                <w:color w:val="000000"/>
                <w:sz w:val="24"/>
              </w:rPr>
              <w:t>05A1</w:t>
            </w:r>
          </w:p>
        </w:tc>
        <w:tc>
          <w:tcPr>
            <w:tcW w:w="0" w:type="auto"/>
            <w:vAlign w:val="center"/>
          </w:tcPr>
          <w:p w:rsidR="00FC4E7C" w:rsidRDefault="005A1445">
            <w:pPr>
              <w:jc w:val="right"/>
            </w:pPr>
            <w:r>
              <w:rPr>
                <w:color w:val="000000"/>
                <w:sz w:val="24"/>
              </w:rPr>
              <w:t>1,000,000</w:t>
            </w:r>
          </w:p>
        </w:tc>
        <w:tc>
          <w:tcPr>
            <w:tcW w:w="0" w:type="auto"/>
            <w:vAlign w:val="center"/>
          </w:tcPr>
          <w:p w:rsidR="00FC4E7C" w:rsidRDefault="005A1445">
            <w:pPr>
              <w:jc w:val="right"/>
            </w:pPr>
            <w:r>
              <w:rPr>
                <w:color w:val="000000"/>
                <w:sz w:val="24"/>
              </w:rPr>
              <w:t>100,000,000.00</w:t>
            </w:r>
          </w:p>
        </w:tc>
        <w:tc>
          <w:tcPr>
            <w:tcW w:w="0" w:type="auto"/>
            <w:vAlign w:val="center"/>
          </w:tcPr>
          <w:p w:rsidR="00FC4E7C" w:rsidRDefault="005A1445">
            <w:pPr>
              <w:jc w:val="right"/>
            </w:pPr>
            <w:r>
              <w:rPr>
                <w:color w:val="000000"/>
                <w:sz w:val="24"/>
              </w:rPr>
              <w:t>0.49</w:t>
            </w:r>
          </w:p>
        </w:tc>
      </w:tr>
      <w:tr w:rsidR="00FC4E7C">
        <w:trPr>
          <w:jc w:val="center"/>
        </w:trPr>
        <w:tc>
          <w:tcPr>
            <w:tcW w:w="0" w:type="auto"/>
            <w:vAlign w:val="center"/>
          </w:tcPr>
          <w:p w:rsidR="00FC4E7C" w:rsidRDefault="005A1445">
            <w:pPr>
              <w:jc w:val="center"/>
            </w:pPr>
            <w:r>
              <w:rPr>
                <w:color w:val="000000"/>
                <w:sz w:val="24"/>
              </w:rPr>
              <w:t>2</w:t>
            </w:r>
          </w:p>
        </w:tc>
        <w:tc>
          <w:tcPr>
            <w:tcW w:w="0" w:type="auto"/>
            <w:vAlign w:val="center"/>
          </w:tcPr>
          <w:p w:rsidR="00FC4E7C" w:rsidRDefault="005A1445">
            <w:pPr>
              <w:jc w:val="center"/>
            </w:pPr>
            <w:r>
              <w:rPr>
                <w:color w:val="000000"/>
                <w:sz w:val="24"/>
              </w:rPr>
              <w:t>169801</w:t>
            </w:r>
          </w:p>
        </w:tc>
        <w:tc>
          <w:tcPr>
            <w:tcW w:w="0" w:type="auto"/>
            <w:vAlign w:val="center"/>
          </w:tcPr>
          <w:p w:rsidR="00FC4E7C" w:rsidRDefault="005A1445">
            <w:pPr>
              <w:jc w:val="center"/>
            </w:pPr>
            <w:r>
              <w:rPr>
                <w:color w:val="000000"/>
                <w:sz w:val="24"/>
              </w:rPr>
              <w:t>霄驰</w:t>
            </w:r>
            <w:r>
              <w:rPr>
                <w:color w:val="000000"/>
                <w:sz w:val="24"/>
              </w:rPr>
              <w:t>04A</w:t>
            </w:r>
          </w:p>
        </w:tc>
        <w:tc>
          <w:tcPr>
            <w:tcW w:w="0" w:type="auto"/>
            <w:vAlign w:val="center"/>
          </w:tcPr>
          <w:p w:rsidR="00FC4E7C" w:rsidRDefault="005A1445">
            <w:pPr>
              <w:jc w:val="right"/>
            </w:pPr>
            <w:r>
              <w:rPr>
                <w:color w:val="000000"/>
                <w:sz w:val="24"/>
              </w:rPr>
              <w:t>400,000</w:t>
            </w:r>
          </w:p>
        </w:tc>
        <w:tc>
          <w:tcPr>
            <w:tcW w:w="0" w:type="auto"/>
            <w:vAlign w:val="center"/>
          </w:tcPr>
          <w:p w:rsidR="00FC4E7C" w:rsidRDefault="005A1445">
            <w:pPr>
              <w:jc w:val="right"/>
            </w:pPr>
            <w:r>
              <w:rPr>
                <w:color w:val="000000"/>
                <w:sz w:val="24"/>
              </w:rPr>
              <w:t>40,000,000.00</w:t>
            </w:r>
          </w:p>
        </w:tc>
        <w:tc>
          <w:tcPr>
            <w:tcW w:w="0" w:type="auto"/>
            <w:vAlign w:val="center"/>
          </w:tcPr>
          <w:p w:rsidR="00FC4E7C" w:rsidRDefault="005A1445">
            <w:pPr>
              <w:jc w:val="right"/>
            </w:pPr>
            <w:r>
              <w:rPr>
                <w:color w:val="000000"/>
                <w:sz w:val="24"/>
              </w:rPr>
              <w:t>0.19</w:t>
            </w:r>
          </w:p>
        </w:tc>
      </w:tr>
      <w:tr w:rsidR="00FC4E7C">
        <w:trPr>
          <w:jc w:val="center"/>
        </w:trPr>
        <w:tc>
          <w:tcPr>
            <w:tcW w:w="0" w:type="auto"/>
            <w:vAlign w:val="center"/>
          </w:tcPr>
          <w:p w:rsidR="00FC4E7C" w:rsidRDefault="005A1445">
            <w:pPr>
              <w:jc w:val="center"/>
            </w:pPr>
            <w:r>
              <w:rPr>
                <w:color w:val="000000"/>
                <w:sz w:val="24"/>
              </w:rPr>
              <w:t>3</w:t>
            </w:r>
          </w:p>
        </w:tc>
        <w:tc>
          <w:tcPr>
            <w:tcW w:w="0" w:type="auto"/>
            <w:vAlign w:val="center"/>
          </w:tcPr>
          <w:p w:rsidR="00FC4E7C" w:rsidRDefault="005A1445">
            <w:pPr>
              <w:jc w:val="center"/>
            </w:pPr>
            <w:r>
              <w:rPr>
                <w:color w:val="000000"/>
                <w:sz w:val="24"/>
              </w:rPr>
              <w:t>179016</w:t>
            </w:r>
          </w:p>
        </w:tc>
        <w:tc>
          <w:tcPr>
            <w:tcW w:w="0" w:type="auto"/>
            <w:vAlign w:val="center"/>
          </w:tcPr>
          <w:p w:rsidR="00FC4E7C" w:rsidRDefault="005A1445">
            <w:pPr>
              <w:jc w:val="center"/>
            </w:pPr>
            <w:r>
              <w:rPr>
                <w:color w:val="000000"/>
                <w:sz w:val="24"/>
              </w:rPr>
              <w:t>惠盈</w:t>
            </w:r>
            <w:r>
              <w:rPr>
                <w:color w:val="000000"/>
                <w:sz w:val="24"/>
              </w:rPr>
              <w:t>12A</w:t>
            </w:r>
          </w:p>
        </w:tc>
        <w:tc>
          <w:tcPr>
            <w:tcW w:w="0" w:type="auto"/>
            <w:vAlign w:val="center"/>
          </w:tcPr>
          <w:p w:rsidR="00FC4E7C" w:rsidRDefault="005A1445">
            <w:pPr>
              <w:jc w:val="right"/>
            </w:pPr>
            <w:r>
              <w:rPr>
                <w:color w:val="000000"/>
                <w:sz w:val="24"/>
              </w:rPr>
              <w:t>400,000</w:t>
            </w:r>
          </w:p>
        </w:tc>
        <w:tc>
          <w:tcPr>
            <w:tcW w:w="0" w:type="auto"/>
            <w:vAlign w:val="center"/>
          </w:tcPr>
          <w:p w:rsidR="00FC4E7C" w:rsidRDefault="005A1445">
            <w:pPr>
              <w:jc w:val="right"/>
            </w:pPr>
            <w:r>
              <w:rPr>
                <w:color w:val="000000"/>
                <w:sz w:val="24"/>
              </w:rPr>
              <w:t>40,000,000.00</w:t>
            </w:r>
          </w:p>
        </w:tc>
        <w:tc>
          <w:tcPr>
            <w:tcW w:w="0" w:type="auto"/>
            <w:vAlign w:val="center"/>
          </w:tcPr>
          <w:p w:rsidR="00FC4E7C" w:rsidRDefault="005A1445">
            <w:pPr>
              <w:jc w:val="right"/>
            </w:pPr>
            <w:r>
              <w:rPr>
                <w:color w:val="000000"/>
                <w:sz w:val="24"/>
              </w:rPr>
              <w:t>0.19</w:t>
            </w:r>
          </w:p>
        </w:tc>
      </w:tr>
      <w:tr w:rsidR="00FC4E7C">
        <w:trPr>
          <w:jc w:val="center"/>
        </w:trPr>
        <w:tc>
          <w:tcPr>
            <w:tcW w:w="0" w:type="auto"/>
            <w:vAlign w:val="center"/>
          </w:tcPr>
          <w:p w:rsidR="00FC4E7C" w:rsidRDefault="005A1445">
            <w:pPr>
              <w:jc w:val="center"/>
            </w:pPr>
            <w:r>
              <w:rPr>
                <w:color w:val="000000"/>
                <w:sz w:val="24"/>
              </w:rPr>
              <w:t>4</w:t>
            </w:r>
          </w:p>
        </w:tc>
        <w:tc>
          <w:tcPr>
            <w:tcW w:w="0" w:type="auto"/>
            <w:vAlign w:val="center"/>
          </w:tcPr>
          <w:p w:rsidR="00FC4E7C" w:rsidRDefault="005A1445">
            <w:pPr>
              <w:jc w:val="center"/>
            </w:pPr>
            <w:r>
              <w:rPr>
                <w:color w:val="000000"/>
                <w:sz w:val="24"/>
              </w:rPr>
              <w:t>169422</w:t>
            </w:r>
          </w:p>
        </w:tc>
        <w:tc>
          <w:tcPr>
            <w:tcW w:w="0" w:type="auto"/>
            <w:vAlign w:val="center"/>
          </w:tcPr>
          <w:p w:rsidR="00FC4E7C" w:rsidRDefault="005A1445">
            <w:pPr>
              <w:jc w:val="center"/>
            </w:pPr>
            <w:r>
              <w:rPr>
                <w:color w:val="000000"/>
                <w:sz w:val="24"/>
              </w:rPr>
              <w:t>霄驰</w:t>
            </w:r>
            <w:r>
              <w:rPr>
                <w:color w:val="000000"/>
                <w:sz w:val="24"/>
              </w:rPr>
              <w:t>01A</w:t>
            </w:r>
          </w:p>
        </w:tc>
        <w:tc>
          <w:tcPr>
            <w:tcW w:w="0" w:type="auto"/>
            <w:vAlign w:val="center"/>
          </w:tcPr>
          <w:p w:rsidR="00FC4E7C" w:rsidRDefault="005A1445">
            <w:pPr>
              <w:jc w:val="right"/>
            </w:pPr>
            <w:r>
              <w:rPr>
                <w:color w:val="000000"/>
                <w:sz w:val="24"/>
              </w:rPr>
              <w:t>300,000</w:t>
            </w:r>
          </w:p>
        </w:tc>
        <w:tc>
          <w:tcPr>
            <w:tcW w:w="0" w:type="auto"/>
            <w:vAlign w:val="center"/>
          </w:tcPr>
          <w:p w:rsidR="00FC4E7C" w:rsidRDefault="005A1445">
            <w:pPr>
              <w:jc w:val="right"/>
            </w:pPr>
            <w:r>
              <w:rPr>
                <w:color w:val="000000"/>
                <w:sz w:val="24"/>
              </w:rPr>
              <w:t>30,000,000.00</w:t>
            </w:r>
          </w:p>
        </w:tc>
        <w:tc>
          <w:tcPr>
            <w:tcW w:w="0" w:type="auto"/>
            <w:vAlign w:val="center"/>
          </w:tcPr>
          <w:p w:rsidR="00FC4E7C" w:rsidRDefault="005A1445">
            <w:pPr>
              <w:jc w:val="right"/>
            </w:pPr>
            <w:r>
              <w:rPr>
                <w:color w:val="000000"/>
                <w:sz w:val="24"/>
              </w:rPr>
              <w:t>0.15</w:t>
            </w:r>
          </w:p>
        </w:tc>
      </w:tr>
      <w:tr w:rsidR="00FC4E7C">
        <w:trPr>
          <w:jc w:val="center"/>
        </w:trPr>
        <w:tc>
          <w:tcPr>
            <w:tcW w:w="0" w:type="auto"/>
            <w:vAlign w:val="center"/>
          </w:tcPr>
          <w:p w:rsidR="00FC4E7C" w:rsidRDefault="005A1445">
            <w:pPr>
              <w:jc w:val="center"/>
            </w:pPr>
            <w:r>
              <w:rPr>
                <w:color w:val="000000"/>
                <w:sz w:val="24"/>
              </w:rPr>
              <w:t>5</w:t>
            </w:r>
          </w:p>
        </w:tc>
        <w:tc>
          <w:tcPr>
            <w:tcW w:w="0" w:type="auto"/>
            <w:vAlign w:val="center"/>
          </w:tcPr>
          <w:p w:rsidR="00FC4E7C" w:rsidRDefault="005A1445">
            <w:pPr>
              <w:jc w:val="center"/>
            </w:pPr>
            <w:r>
              <w:rPr>
                <w:color w:val="000000"/>
                <w:sz w:val="24"/>
              </w:rPr>
              <w:t>169525</w:t>
            </w:r>
          </w:p>
        </w:tc>
        <w:tc>
          <w:tcPr>
            <w:tcW w:w="0" w:type="auto"/>
            <w:vAlign w:val="center"/>
          </w:tcPr>
          <w:p w:rsidR="00FC4E7C" w:rsidRDefault="005A1445">
            <w:pPr>
              <w:jc w:val="center"/>
            </w:pPr>
            <w:r>
              <w:rPr>
                <w:color w:val="000000"/>
                <w:sz w:val="24"/>
              </w:rPr>
              <w:t>兴辰</w:t>
            </w:r>
            <w:r>
              <w:rPr>
                <w:color w:val="000000"/>
                <w:sz w:val="24"/>
              </w:rPr>
              <w:t>03A</w:t>
            </w:r>
          </w:p>
        </w:tc>
        <w:tc>
          <w:tcPr>
            <w:tcW w:w="0" w:type="auto"/>
            <w:vAlign w:val="center"/>
          </w:tcPr>
          <w:p w:rsidR="00FC4E7C" w:rsidRDefault="005A1445">
            <w:pPr>
              <w:jc w:val="right"/>
            </w:pPr>
            <w:r>
              <w:rPr>
                <w:color w:val="000000"/>
                <w:sz w:val="24"/>
              </w:rPr>
              <w:t>200,000</w:t>
            </w:r>
          </w:p>
        </w:tc>
        <w:tc>
          <w:tcPr>
            <w:tcW w:w="0" w:type="auto"/>
            <w:vAlign w:val="center"/>
          </w:tcPr>
          <w:p w:rsidR="00FC4E7C" w:rsidRDefault="005A1445">
            <w:pPr>
              <w:jc w:val="right"/>
            </w:pPr>
            <w:r>
              <w:rPr>
                <w:color w:val="000000"/>
                <w:sz w:val="24"/>
              </w:rPr>
              <w:t>20,000,000.00</w:t>
            </w:r>
          </w:p>
        </w:tc>
        <w:tc>
          <w:tcPr>
            <w:tcW w:w="0" w:type="auto"/>
            <w:vAlign w:val="center"/>
          </w:tcPr>
          <w:p w:rsidR="00FC4E7C" w:rsidRDefault="005A1445">
            <w:pPr>
              <w:jc w:val="right"/>
            </w:pPr>
            <w:r>
              <w:rPr>
                <w:color w:val="000000"/>
                <w:sz w:val="24"/>
              </w:rPr>
              <w:t>0.10</w:t>
            </w:r>
          </w:p>
        </w:tc>
      </w:tr>
      <w:tr w:rsidR="00FC4E7C">
        <w:trPr>
          <w:jc w:val="center"/>
        </w:trPr>
        <w:tc>
          <w:tcPr>
            <w:tcW w:w="0" w:type="auto"/>
            <w:vAlign w:val="center"/>
          </w:tcPr>
          <w:p w:rsidR="00FC4E7C" w:rsidRDefault="005A1445">
            <w:pPr>
              <w:jc w:val="center"/>
            </w:pPr>
            <w:r>
              <w:rPr>
                <w:color w:val="000000"/>
                <w:sz w:val="24"/>
              </w:rPr>
              <w:t>6</w:t>
            </w:r>
          </w:p>
        </w:tc>
        <w:tc>
          <w:tcPr>
            <w:tcW w:w="0" w:type="auto"/>
            <w:vAlign w:val="center"/>
          </w:tcPr>
          <w:p w:rsidR="00FC4E7C" w:rsidRDefault="005A1445">
            <w:pPr>
              <w:jc w:val="center"/>
            </w:pPr>
            <w:r>
              <w:rPr>
                <w:color w:val="000000"/>
                <w:sz w:val="24"/>
              </w:rPr>
              <w:t>138761</w:t>
            </w:r>
          </w:p>
        </w:tc>
        <w:tc>
          <w:tcPr>
            <w:tcW w:w="0" w:type="auto"/>
            <w:vAlign w:val="center"/>
          </w:tcPr>
          <w:p w:rsidR="00FC4E7C" w:rsidRDefault="005A1445">
            <w:pPr>
              <w:jc w:val="center"/>
            </w:pPr>
            <w:r>
              <w:rPr>
                <w:color w:val="000000"/>
                <w:sz w:val="24"/>
              </w:rPr>
              <w:t>徐矿</w:t>
            </w:r>
            <w:r>
              <w:rPr>
                <w:color w:val="000000"/>
                <w:sz w:val="24"/>
              </w:rPr>
              <w:t>3A</w:t>
            </w:r>
          </w:p>
        </w:tc>
        <w:tc>
          <w:tcPr>
            <w:tcW w:w="0" w:type="auto"/>
            <w:vAlign w:val="center"/>
          </w:tcPr>
          <w:p w:rsidR="00FC4E7C" w:rsidRDefault="005A1445">
            <w:pPr>
              <w:jc w:val="right"/>
            </w:pPr>
            <w:r>
              <w:rPr>
                <w:color w:val="000000"/>
                <w:sz w:val="24"/>
              </w:rPr>
              <w:t>200,000</w:t>
            </w:r>
          </w:p>
        </w:tc>
        <w:tc>
          <w:tcPr>
            <w:tcW w:w="0" w:type="auto"/>
            <w:vAlign w:val="center"/>
          </w:tcPr>
          <w:p w:rsidR="00FC4E7C" w:rsidRDefault="005A1445">
            <w:pPr>
              <w:jc w:val="right"/>
            </w:pPr>
            <w:r>
              <w:rPr>
                <w:color w:val="000000"/>
                <w:sz w:val="24"/>
              </w:rPr>
              <w:t>20,000,000.00</w:t>
            </w:r>
          </w:p>
        </w:tc>
        <w:tc>
          <w:tcPr>
            <w:tcW w:w="0" w:type="auto"/>
            <w:vAlign w:val="center"/>
          </w:tcPr>
          <w:p w:rsidR="00FC4E7C" w:rsidRDefault="005A1445">
            <w:pPr>
              <w:jc w:val="right"/>
            </w:pPr>
            <w:r>
              <w:rPr>
                <w:color w:val="000000"/>
                <w:sz w:val="24"/>
              </w:rPr>
              <w:t>0.10</w:t>
            </w:r>
          </w:p>
        </w:tc>
      </w:tr>
      <w:tr w:rsidR="00FC4E7C">
        <w:trPr>
          <w:jc w:val="center"/>
        </w:trPr>
        <w:tc>
          <w:tcPr>
            <w:tcW w:w="0" w:type="auto"/>
            <w:vAlign w:val="center"/>
          </w:tcPr>
          <w:p w:rsidR="00FC4E7C" w:rsidRDefault="005A1445">
            <w:pPr>
              <w:jc w:val="center"/>
            </w:pPr>
            <w:r>
              <w:rPr>
                <w:color w:val="000000"/>
                <w:sz w:val="24"/>
              </w:rPr>
              <w:t>7</w:t>
            </w:r>
          </w:p>
        </w:tc>
        <w:tc>
          <w:tcPr>
            <w:tcW w:w="0" w:type="auto"/>
            <w:vAlign w:val="center"/>
          </w:tcPr>
          <w:p w:rsidR="00FC4E7C" w:rsidRDefault="005A1445">
            <w:pPr>
              <w:jc w:val="center"/>
            </w:pPr>
            <w:r>
              <w:rPr>
                <w:color w:val="000000"/>
                <w:sz w:val="24"/>
              </w:rPr>
              <w:t>137273</w:t>
            </w:r>
          </w:p>
        </w:tc>
        <w:tc>
          <w:tcPr>
            <w:tcW w:w="0" w:type="auto"/>
            <w:vAlign w:val="center"/>
          </w:tcPr>
          <w:p w:rsidR="00FC4E7C" w:rsidRDefault="005A1445">
            <w:pPr>
              <w:jc w:val="center"/>
            </w:pPr>
            <w:r>
              <w:rPr>
                <w:color w:val="000000"/>
                <w:sz w:val="24"/>
              </w:rPr>
              <w:t>徐矿</w:t>
            </w:r>
            <w:r>
              <w:rPr>
                <w:color w:val="000000"/>
                <w:sz w:val="24"/>
              </w:rPr>
              <w:t>21A</w:t>
            </w:r>
          </w:p>
        </w:tc>
        <w:tc>
          <w:tcPr>
            <w:tcW w:w="0" w:type="auto"/>
            <w:vAlign w:val="center"/>
          </w:tcPr>
          <w:p w:rsidR="00FC4E7C" w:rsidRDefault="005A1445">
            <w:pPr>
              <w:jc w:val="right"/>
            </w:pPr>
            <w:r>
              <w:rPr>
                <w:color w:val="000000"/>
                <w:sz w:val="24"/>
              </w:rPr>
              <w:t>150,000</w:t>
            </w:r>
          </w:p>
        </w:tc>
        <w:tc>
          <w:tcPr>
            <w:tcW w:w="0" w:type="auto"/>
            <w:vAlign w:val="center"/>
          </w:tcPr>
          <w:p w:rsidR="00FC4E7C" w:rsidRDefault="005A1445">
            <w:pPr>
              <w:jc w:val="right"/>
            </w:pPr>
            <w:r>
              <w:rPr>
                <w:color w:val="000000"/>
                <w:sz w:val="24"/>
              </w:rPr>
              <w:t>15,000,000.00</w:t>
            </w:r>
          </w:p>
        </w:tc>
        <w:tc>
          <w:tcPr>
            <w:tcW w:w="0" w:type="auto"/>
            <w:vAlign w:val="center"/>
          </w:tcPr>
          <w:p w:rsidR="00FC4E7C" w:rsidRDefault="005A1445">
            <w:pPr>
              <w:jc w:val="right"/>
            </w:pPr>
            <w:r>
              <w:rPr>
                <w:color w:val="000000"/>
                <w:sz w:val="24"/>
              </w:rPr>
              <w:t>0.07</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346DC3" w:rsidRDefault="002304D5" w:rsidP="00281564">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sidRPr="005F35D8">
        <w:rPr>
          <w:b/>
          <w:bCs/>
          <w:sz w:val="24"/>
        </w:rPr>
        <w:t>5.9</w:t>
      </w:r>
      <w:r w:rsidR="00EB25E4" w:rsidRPr="005F35D8">
        <w:rPr>
          <w:b/>
          <w:bCs/>
          <w:sz w:val="24"/>
        </w:rPr>
        <w:t>.</w:t>
      </w:r>
      <w:r w:rsidRPr="005F35D8">
        <w:rPr>
          <w:b/>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346DC3" w:rsidRDefault="002304D5" w:rsidP="00281564">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R="00B6632C" w:rsidRPr="00A53C6C" w:rsidRDefault="00A53C6C" w:rsidP="00A53C6C">
      <w:pPr>
        <w:spacing w:before="29" w:line="288" w:lineRule="auto"/>
        <w:jc w:val="right"/>
        <w:rPr>
          <w:color w:val="000000"/>
          <w:kern w:val="0"/>
          <w:sz w:val="24"/>
        </w:rPr>
      </w:pPr>
      <w:r w:rsidRPr="00A53C6C">
        <w:rPr>
          <w:rFonts w:hint="eastAsia"/>
          <w:color w:val="000000"/>
          <w:kern w:val="0"/>
          <w:sz w:val="24"/>
        </w:rPr>
        <w:t>金额单位：人民币元</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104,411,860.69</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4,130.00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104,415,990.69</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346DC3" w:rsidRDefault="002304D5" w:rsidP="00281564">
      <w:pPr>
        <w:spacing w:before="29" w:line="288" w:lineRule="auto"/>
        <w:rPr>
          <w:b/>
          <w:color w:val="000000"/>
          <w:kern w:val="0"/>
          <w:sz w:val="24"/>
        </w:rPr>
      </w:pPr>
      <w:r w:rsidRPr="00346DC3">
        <w:rPr>
          <w:b/>
          <w:color w:val="000000"/>
          <w:kern w:val="0"/>
          <w:sz w:val="24"/>
        </w:rPr>
        <w:t>5.9.4</w:t>
      </w:r>
      <w:r w:rsidR="00DE7C60" w:rsidRPr="00346DC3">
        <w:rPr>
          <w:rFonts w:hAnsi="宋体"/>
          <w:b/>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lastRenderedPageBreak/>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交银天鑫宝货币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交银天鑫宝货币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28,306,266.66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22,015,790,216.27</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8,632,719.08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11,936,115,078.33</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20,227,294.41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13,426,701,303.93</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16,711,691.33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20,525,203,990.67</w:t>
            </w:r>
          </w:p>
        </w:tc>
      </w:tr>
    </w:tbl>
    <w:p w:rsidR="00FC4E7C" w:rsidRDefault="005A144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FC4E7C" w:rsidRDefault="005A1445">
      <w:pPr>
        <w:autoSpaceDE w:val="0"/>
        <w:autoSpaceDN w:val="0"/>
        <w:adjustRightInd w:val="0"/>
        <w:spacing w:before="29" w:line="288" w:lineRule="auto"/>
        <w:jc w:val="left"/>
        <w:rPr>
          <w:color w:val="000000"/>
          <w:sz w:val="24"/>
        </w:rPr>
      </w:pPr>
      <w:r>
        <w:rPr>
          <w:color w:val="000000"/>
          <w:sz w:val="24"/>
        </w:rPr>
        <w:t>1</w:t>
      </w:r>
      <w:r>
        <w:rPr>
          <w:color w:val="000000"/>
          <w:sz w:val="24"/>
        </w:rPr>
        <w:t>、本基金管理人本报告期末持有本基金</w:t>
      </w:r>
      <w:r>
        <w:rPr>
          <w:color w:val="000000"/>
          <w:sz w:val="24"/>
        </w:rPr>
        <w:t>A</w:t>
      </w:r>
      <w:r>
        <w:rPr>
          <w:color w:val="000000"/>
          <w:sz w:val="24"/>
        </w:rPr>
        <w:t>类份额</w:t>
      </w:r>
      <w:r>
        <w:rPr>
          <w:color w:val="000000"/>
          <w:sz w:val="24"/>
        </w:rPr>
        <w:t>0.00</w:t>
      </w:r>
      <w:r>
        <w:rPr>
          <w:color w:val="000000"/>
          <w:sz w:val="24"/>
        </w:rPr>
        <w:t>份，占本基金期末</w:t>
      </w:r>
      <w:r>
        <w:rPr>
          <w:color w:val="000000"/>
          <w:sz w:val="24"/>
        </w:rPr>
        <w:t>A</w:t>
      </w:r>
      <w:r>
        <w:rPr>
          <w:color w:val="000000"/>
          <w:sz w:val="24"/>
        </w:rPr>
        <w:t>类基金总份额的</w:t>
      </w:r>
      <w:r>
        <w:rPr>
          <w:color w:val="000000"/>
          <w:sz w:val="24"/>
        </w:rPr>
        <w:t>0.00%</w:t>
      </w:r>
      <w:r>
        <w:rPr>
          <w:color w:val="000000"/>
          <w:sz w:val="24"/>
        </w:rPr>
        <w:t>；本基金管理人本报告期末持有本基金</w:t>
      </w:r>
      <w:r>
        <w:rPr>
          <w:color w:val="000000"/>
          <w:sz w:val="24"/>
        </w:rPr>
        <w:t>E</w:t>
      </w:r>
      <w:r>
        <w:rPr>
          <w:color w:val="000000"/>
          <w:sz w:val="24"/>
        </w:rPr>
        <w:t>类份额</w:t>
      </w:r>
      <w:r>
        <w:rPr>
          <w:color w:val="000000"/>
          <w:sz w:val="24"/>
        </w:rPr>
        <w:t>0.00</w:t>
      </w:r>
      <w:r>
        <w:rPr>
          <w:color w:val="000000"/>
          <w:sz w:val="24"/>
        </w:rPr>
        <w:t>份，占本基金期末</w:t>
      </w:r>
      <w:r>
        <w:rPr>
          <w:color w:val="000000"/>
          <w:sz w:val="24"/>
        </w:rPr>
        <w:t>E</w:t>
      </w:r>
      <w:r>
        <w:rPr>
          <w:color w:val="000000"/>
          <w:sz w:val="24"/>
        </w:rPr>
        <w:t>类基金总份额的</w:t>
      </w:r>
      <w:r>
        <w:rPr>
          <w:color w:val="000000"/>
          <w:sz w:val="24"/>
        </w:rPr>
        <w:t>0.00%</w:t>
      </w:r>
      <w:r>
        <w:rPr>
          <w:color w:val="000000"/>
          <w:sz w:val="24"/>
        </w:rPr>
        <w:t>。</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、本基金收益分配按日结转份额。</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FC4E7C" w:rsidRDefault="005A1445">
      <w:pPr>
        <w:spacing w:before="29" w:line="288" w:lineRule="auto"/>
        <w:ind w:firstLineChars="200" w:firstLine="480"/>
        <w:rPr>
          <w:color w:val="000000"/>
          <w:sz w:val="24"/>
        </w:rPr>
      </w:pPr>
      <w:r>
        <w:rPr>
          <w:color w:val="000000"/>
          <w:sz w:val="24"/>
        </w:rPr>
        <w:t>1</w:t>
      </w:r>
      <w:r>
        <w:rPr>
          <w:color w:val="000000"/>
          <w:sz w:val="24"/>
        </w:rPr>
        <w:t>、中国证监会准予交银施罗德天鑫宝货币市场基金募集注册的文件；</w:t>
      </w:r>
      <w:r>
        <w:rPr>
          <w:color w:val="000000"/>
          <w:sz w:val="24"/>
        </w:rPr>
        <w:t xml:space="preserve"> </w:t>
      </w:r>
    </w:p>
    <w:p w:rsidR="00FC4E7C" w:rsidRDefault="005A1445">
      <w:pPr>
        <w:spacing w:before="29" w:line="288" w:lineRule="auto"/>
        <w:ind w:firstLineChars="200" w:firstLine="480"/>
        <w:rPr>
          <w:color w:val="000000"/>
          <w:sz w:val="24"/>
        </w:rPr>
      </w:pPr>
      <w:r>
        <w:rPr>
          <w:color w:val="000000"/>
          <w:sz w:val="24"/>
        </w:rPr>
        <w:t>2</w:t>
      </w:r>
      <w:r>
        <w:rPr>
          <w:color w:val="000000"/>
          <w:sz w:val="24"/>
        </w:rPr>
        <w:t>、《交银施罗德天鑫宝货币市场基金基金合同》；</w:t>
      </w:r>
      <w:r>
        <w:rPr>
          <w:color w:val="000000"/>
          <w:sz w:val="24"/>
        </w:rPr>
        <w:t xml:space="preserve"> </w:t>
      </w:r>
    </w:p>
    <w:p w:rsidR="00FC4E7C" w:rsidRDefault="005A1445">
      <w:pPr>
        <w:spacing w:before="29" w:line="288" w:lineRule="auto"/>
        <w:ind w:firstLineChars="200" w:firstLine="480"/>
        <w:rPr>
          <w:color w:val="000000"/>
          <w:sz w:val="24"/>
        </w:rPr>
      </w:pPr>
      <w:r>
        <w:rPr>
          <w:color w:val="000000"/>
          <w:sz w:val="24"/>
        </w:rPr>
        <w:t>3</w:t>
      </w:r>
      <w:r>
        <w:rPr>
          <w:color w:val="000000"/>
          <w:sz w:val="24"/>
        </w:rPr>
        <w:t>、《交银施罗德天鑫宝货币市场基金招募说明书》；</w:t>
      </w:r>
      <w:r>
        <w:rPr>
          <w:color w:val="000000"/>
          <w:sz w:val="24"/>
        </w:rPr>
        <w:t xml:space="preserve"> </w:t>
      </w:r>
    </w:p>
    <w:p w:rsidR="00FC4E7C" w:rsidRDefault="005A1445">
      <w:pPr>
        <w:spacing w:before="29" w:line="288" w:lineRule="auto"/>
        <w:ind w:firstLineChars="200" w:firstLine="480"/>
        <w:rPr>
          <w:color w:val="000000"/>
          <w:sz w:val="24"/>
        </w:rPr>
      </w:pPr>
      <w:r>
        <w:rPr>
          <w:color w:val="000000"/>
          <w:sz w:val="24"/>
        </w:rPr>
        <w:t>4</w:t>
      </w:r>
      <w:r>
        <w:rPr>
          <w:color w:val="000000"/>
          <w:sz w:val="24"/>
        </w:rPr>
        <w:t>、《交银施罗德天鑫宝货币市场基金托管协议》；</w:t>
      </w:r>
      <w:r>
        <w:rPr>
          <w:color w:val="000000"/>
          <w:sz w:val="24"/>
        </w:rPr>
        <w:t xml:space="preserve"> </w:t>
      </w:r>
    </w:p>
    <w:p w:rsidR="00FC4E7C" w:rsidRDefault="005A1445">
      <w:pPr>
        <w:spacing w:before="29" w:line="288" w:lineRule="auto"/>
        <w:ind w:firstLineChars="200" w:firstLine="480"/>
        <w:rPr>
          <w:color w:val="000000"/>
          <w:sz w:val="24"/>
        </w:rPr>
      </w:pPr>
      <w:r>
        <w:rPr>
          <w:color w:val="000000"/>
          <w:sz w:val="24"/>
        </w:rPr>
        <w:t>5</w:t>
      </w:r>
      <w:r>
        <w:rPr>
          <w:color w:val="000000"/>
          <w:sz w:val="24"/>
        </w:rPr>
        <w:t>、关于申请募集注册交银施罗德天鑫宝货币市场基金的法律意见书；</w:t>
      </w:r>
      <w:r>
        <w:rPr>
          <w:color w:val="000000"/>
          <w:sz w:val="24"/>
        </w:rPr>
        <w:t xml:space="preserve"> </w:t>
      </w:r>
    </w:p>
    <w:p w:rsidR="00FC4E7C" w:rsidRDefault="005A1445">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FC4E7C" w:rsidRDefault="005A1445">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lastRenderedPageBreak/>
        <w:t>8</w:t>
      </w:r>
      <w:r w:rsidRPr="000E4C40">
        <w:rPr>
          <w:color w:val="000000"/>
          <w:sz w:val="24"/>
        </w:rPr>
        <w:t>、报告期内交银施罗德天鑫宝货币市场基金在指定报刊上各项公告的原稿。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FC4E7C" w:rsidRDefault="005A144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445" w:rsidRDefault="005A1445">
      <w:r>
        <w:separator/>
      </w:r>
    </w:p>
  </w:endnote>
  <w:endnote w:type="continuationSeparator" w:id="0">
    <w:p w:rsidR="005A1445" w:rsidRDefault="005A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1D0DB0" w:rsidRDefault="00FE3EEE" w:rsidP="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44CDA">
      <w:rPr>
        <w:noProof/>
        <w:kern w:val="0"/>
        <w:szCs w:val="21"/>
      </w:rPr>
      <w:t>7</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444CDA">
      <w:rPr>
        <w:noProof/>
        <w:kern w:val="0"/>
        <w:szCs w:val="21"/>
      </w:rPr>
      <w:t>14</w:t>
    </w:r>
    <w:r>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445" w:rsidRDefault="005A1445">
      <w:r>
        <w:separator/>
      </w:r>
    </w:p>
  </w:footnote>
  <w:footnote w:type="continuationSeparator" w:id="0">
    <w:p w:rsidR="005A1445" w:rsidRDefault="005A1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841EB4" w:rsidRDefault="00FE3EEE" w:rsidP="008379E2">
    <w:pPr>
      <w:pStyle w:val="a4"/>
      <w:pBdr>
        <w:bottom w:val="single" w:sz="6" w:space="0" w:color="auto"/>
      </w:pBdr>
      <w:jc w:val="right"/>
      <w:rPr>
        <w:sz w:val="24"/>
        <w:szCs w:val="24"/>
      </w:rPr>
    </w:pPr>
    <w:r w:rsidRPr="003E676C">
      <w:rPr>
        <w:sz w:val="24"/>
        <w:szCs w:val="24"/>
      </w:rPr>
      <w:t>交银施罗德天鑫宝货币市场基金</w:t>
    </w:r>
    <w:r w:rsidRPr="003E676C">
      <w:rPr>
        <w:sz w:val="24"/>
        <w:szCs w:val="24"/>
      </w:rPr>
      <w:t>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4CDA"/>
    <w:rsid w:val="00446474"/>
    <w:rsid w:val="0044671E"/>
    <w:rsid w:val="00451FCA"/>
    <w:rsid w:val="004527E3"/>
    <w:rsid w:val="00452D31"/>
    <w:rsid w:val="00457CD3"/>
    <w:rsid w:val="00460000"/>
    <w:rsid w:val="00460350"/>
    <w:rsid w:val="00461A70"/>
    <w:rsid w:val="0046349D"/>
    <w:rsid w:val="00464ABB"/>
    <w:rsid w:val="00466D57"/>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1445"/>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5D8"/>
    <w:rsid w:val="005F3F29"/>
    <w:rsid w:val="005F41D2"/>
    <w:rsid w:val="005F668B"/>
    <w:rsid w:val="005F6B28"/>
    <w:rsid w:val="0060549B"/>
    <w:rsid w:val="00613327"/>
    <w:rsid w:val="00615DAC"/>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244F"/>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34CE"/>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3417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3669"/>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539A"/>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D6F2F"/>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079D6"/>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4E7C"/>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606E2F9-8909-49F2-AD5C-722515509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14</Pages>
  <Words>1264</Words>
  <Characters>7207</Characters>
  <Application>Microsoft Office Word</Application>
  <DocSecurity>0</DocSecurity>
  <Lines>60</Lines>
  <Paragraphs>16</Paragraphs>
  <ScaleCrop>false</ScaleCrop>
  <Company>jysld</Company>
  <LinksUpToDate>false</LinksUpToDate>
  <CharactersWithSpaces>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338</cp:revision>
  <cp:lastPrinted>2009-01-22T10:11:00Z</cp:lastPrinted>
  <dcterms:created xsi:type="dcterms:W3CDTF">2012-11-21T05:49:00Z</dcterms:created>
  <dcterms:modified xsi:type="dcterms:W3CDTF">2021-01-15T01:24:00Z</dcterms:modified>
</cp:coreProperties>
</file>