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交银施罗德创新成长混合型证券投资基金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649CB" w:rsidRDefault="00460A5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649CB" w:rsidRDefault="00460A57">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649CB" w:rsidRDefault="00460A5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649CB" w:rsidRDefault="00460A57">
      <w:pPr>
        <w:spacing w:before="29" w:line="288" w:lineRule="auto"/>
        <w:ind w:firstLineChars="200" w:firstLine="480"/>
        <w:rPr>
          <w:color w:val="000000"/>
          <w:sz w:val="24"/>
          <w:szCs w:val="24"/>
        </w:rPr>
      </w:pPr>
      <w:r>
        <w:rPr>
          <w:color w:val="000000"/>
          <w:sz w:val="24"/>
          <w:szCs w:val="24"/>
        </w:rPr>
        <w:t>基金的过往业绩并不代表其未来表现。投资有风险，投</w:t>
      </w:r>
      <w:r>
        <w:rPr>
          <w:color w:val="000000"/>
          <w:sz w:val="24"/>
          <w:szCs w:val="24"/>
        </w:rPr>
        <w:t>资者在作出投资决策前应仔细阅读本基金的招募说明书。</w:t>
      </w:r>
      <w:r>
        <w:rPr>
          <w:color w:val="000000"/>
          <w:sz w:val="24"/>
          <w:szCs w:val="24"/>
        </w:rPr>
        <w:t xml:space="preserve"> </w:t>
      </w:r>
    </w:p>
    <w:p w:rsidR="00E649CB" w:rsidRDefault="00460A5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交银创新成长混合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006223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006223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413,359,793.49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本基金通过优化资产配置和灵活运用多种投资策略，把握港股通资本市场开放政策下的投资机会，力争实现基金资产的稳定增值。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恒生指数收益率</w:t>
            </w:r>
            <w:r w:rsidRPr="00414345">
              <w:rPr>
                <w:color w:val="000000"/>
                <w:kern w:val="0"/>
                <w:sz w:val="24"/>
                <w:szCs w:val="24"/>
              </w:rPr>
              <w:t>×30%+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E649CB" w:rsidRDefault="00460A57">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w:t>
            </w:r>
            <w:r>
              <w:rPr>
                <w:color w:val="000000"/>
                <w:kern w:val="0"/>
                <w:sz w:val="24"/>
                <w:szCs w:val="24"/>
              </w:rPr>
              <w:lastRenderedPageBreak/>
              <w:t>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70B15" w:rsidRPr="00414345" w:rsidTr="00770B1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70B15" w:rsidRPr="00414345" w:rsidTr="00770B1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34,213,868.45</w:t>
            </w:r>
          </w:p>
        </w:tc>
      </w:tr>
      <w:tr w:rsidR="00770B15" w:rsidRPr="00414345" w:rsidTr="00770B1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98,971,359.24</w:t>
            </w:r>
          </w:p>
        </w:tc>
      </w:tr>
      <w:tr w:rsidR="00770B15" w:rsidRPr="00414345" w:rsidTr="00770B1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0.2107</w:t>
            </w:r>
          </w:p>
        </w:tc>
      </w:tr>
      <w:tr w:rsidR="00770B15" w:rsidRPr="00414345" w:rsidTr="00770B1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1,013,822,040.01</w:t>
            </w:r>
          </w:p>
        </w:tc>
      </w:tr>
      <w:tr w:rsidR="00770B15" w:rsidRPr="00414345" w:rsidTr="00770B1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2.4526</w:t>
            </w:r>
          </w:p>
        </w:tc>
      </w:tr>
    </w:tbl>
    <w:p w:rsidR="00E649CB" w:rsidRDefault="00460A5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649CB">
        <w:trPr>
          <w:jc w:val="center"/>
        </w:trPr>
        <w:tc>
          <w:tcPr>
            <w:tcW w:w="1701" w:type="dxa"/>
            <w:vAlign w:val="center"/>
          </w:tcPr>
          <w:p w:rsidR="00E649CB" w:rsidRDefault="00460A57">
            <w:pPr>
              <w:jc w:val="left"/>
            </w:pPr>
            <w:r>
              <w:rPr>
                <w:color w:val="000000"/>
                <w:sz w:val="24"/>
                <w:szCs w:val="24"/>
              </w:rPr>
              <w:t>过去三个月</w:t>
            </w:r>
          </w:p>
        </w:tc>
        <w:tc>
          <w:tcPr>
            <w:tcW w:w="1045" w:type="dxa"/>
            <w:vAlign w:val="center"/>
          </w:tcPr>
          <w:p w:rsidR="00E649CB" w:rsidRDefault="00460A57">
            <w:pPr>
              <w:jc w:val="center"/>
            </w:pPr>
            <w:r>
              <w:rPr>
                <w:color w:val="000000"/>
                <w:sz w:val="24"/>
                <w:szCs w:val="24"/>
              </w:rPr>
              <w:t>10.32%</w:t>
            </w:r>
          </w:p>
        </w:tc>
        <w:tc>
          <w:tcPr>
            <w:tcW w:w="1344" w:type="dxa"/>
            <w:vAlign w:val="center"/>
          </w:tcPr>
          <w:p w:rsidR="00E649CB" w:rsidRDefault="00460A57">
            <w:pPr>
              <w:jc w:val="center"/>
            </w:pPr>
            <w:r>
              <w:rPr>
                <w:color w:val="000000"/>
                <w:sz w:val="24"/>
                <w:szCs w:val="24"/>
              </w:rPr>
              <w:t>1.15%</w:t>
            </w:r>
          </w:p>
        </w:tc>
        <w:tc>
          <w:tcPr>
            <w:tcW w:w="1194" w:type="dxa"/>
            <w:vAlign w:val="center"/>
          </w:tcPr>
          <w:p w:rsidR="00E649CB" w:rsidRDefault="00460A57">
            <w:pPr>
              <w:jc w:val="center"/>
            </w:pPr>
            <w:r>
              <w:rPr>
                <w:color w:val="000000"/>
                <w:sz w:val="24"/>
                <w:szCs w:val="24"/>
              </w:rPr>
              <w:t>11.83%</w:t>
            </w:r>
          </w:p>
        </w:tc>
        <w:tc>
          <w:tcPr>
            <w:tcW w:w="1492" w:type="dxa"/>
            <w:vAlign w:val="center"/>
          </w:tcPr>
          <w:p w:rsidR="00E649CB" w:rsidRDefault="00460A57">
            <w:pPr>
              <w:jc w:val="center"/>
            </w:pPr>
            <w:r>
              <w:rPr>
                <w:color w:val="000000"/>
                <w:sz w:val="24"/>
                <w:szCs w:val="24"/>
              </w:rPr>
              <w:t>0.69%</w:t>
            </w:r>
          </w:p>
        </w:tc>
        <w:tc>
          <w:tcPr>
            <w:tcW w:w="1194" w:type="dxa"/>
            <w:vAlign w:val="center"/>
          </w:tcPr>
          <w:p w:rsidR="00E649CB" w:rsidRDefault="00460A57">
            <w:pPr>
              <w:jc w:val="center"/>
            </w:pPr>
            <w:r>
              <w:rPr>
                <w:color w:val="000000"/>
                <w:sz w:val="24"/>
                <w:szCs w:val="24"/>
              </w:rPr>
              <w:t>-1.51%</w:t>
            </w:r>
          </w:p>
        </w:tc>
        <w:tc>
          <w:tcPr>
            <w:tcW w:w="898" w:type="dxa"/>
            <w:vAlign w:val="center"/>
          </w:tcPr>
          <w:p w:rsidR="00E649CB" w:rsidRDefault="00460A57">
            <w:pPr>
              <w:jc w:val="center"/>
            </w:pPr>
            <w:r>
              <w:rPr>
                <w:color w:val="000000"/>
                <w:sz w:val="24"/>
                <w:szCs w:val="24"/>
              </w:rPr>
              <w:t>0.46%</w:t>
            </w:r>
          </w:p>
        </w:tc>
      </w:tr>
      <w:tr w:rsidR="00E649CB">
        <w:trPr>
          <w:jc w:val="center"/>
        </w:trPr>
        <w:tc>
          <w:tcPr>
            <w:tcW w:w="1701" w:type="dxa"/>
            <w:vAlign w:val="center"/>
          </w:tcPr>
          <w:p w:rsidR="00E649CB" w:rsidRDefault="00460A57">
            <w:pPr>
              <w:jc w:val="left"/>
            </w:pPr>
            <w:r>
              <w:rPr>
                <w:color w:val="000000"/>
                <w:sz w:val="24"/>
                <w:szCs w:val="24"/>
              </w:rPr>
              <w:t>过去六个月</w:t>
            </w:r>
          </w:p>
        </w:tc>
        <w:tc>
          <w:tcPr>
            <w:tcW w:w="1045" w:type="dxa"/>
            <w:vAlign w:val="center"/>
          </w:tcPr>
          <w:p w:rsidR="00E649CB" w:rsidRDefault="00460A57">
            <w:pPr>
              <w:jc w:val="center"/>
            </w:pPr>
            <w:r>
              <w:rPr>
                <w:color w:val="000000"/>
                <w:sz w:val="24"/>
                <w:szCs w:val="24"/>
              </w:rPr>
              <w:t>20.51%</w:t>
            </w:r>
          </w:p>
        </w:tc>
        <w:tc>
          <w:tcPr>
            <w:tcW w:w="1344" w:type="dxa"/>
            <w:vAlign w:val="center"/>
          </w:tcPr>
          <w:p w:rsidR="00E649CB" w:rsidRDefault="00460A57">
            <w:pPr>
              <w:jc w:val="center"/>
            </w:pPr>
            <w:r>
              <w:rPr>
                <w:color w:val="000000"/>
                <w:sz w:val="24"/>
                <w:szCs w:val="24"/>
              </w:rPr>
              <w:t>1.45%</w:t>
            </w:r>
          </w:p>
        </w:tc>
        <w:tc>
          <w:tcPr>
            <w:tcW w:w="1194" w:type="dxa"/>
            <w:vAlign w:val="center"/>
          </w:tcPr>
          <w:p w:rsidR="00E649CB" w:rsidRDefault="00460A57">
            <w:pPr>
              <w:jc w:val="center"/>
            </w:pPr>
            <w:r>
              <w:rPr>
                <w:color w:val="000000"/>
                <w:sz w:val="24"/>
                <w:szCs w:val="24"/>
              </w:rPr>
              <w:t>16.07%</w:t>
            </w:r>
          </w:p>
        </w:tc>
        <w:tc>
          <w:tcPr>
            <w:tcW w:w="1492" w:type="dxa"/>
            <w:vAlign w:val="center"/>
          </w:tcPr>
          <w:p w:rsidR="00E649CB" w:rsidRDefault="00460A57">
            <w:pPr>
              <w:jc w:val="center"/>
            </w:pPr>
            <w:r>
              <w:rPr>
                <w:color w:val="000000"/>
                <w:sz w:val="24"/>
                <w:szCs w:val="24"/>
              </w:rPr>
              <w:t>0.90%</w:t>
            </w:r>
          </w:p>
        </w:tc>
        <w:tc>
          <w:tcPr>
            <w:tcW w:w="1194" w:type="dxa"/>
            <w:vAlign w:val="center"/>
          </w:tcPr>
          <w:p w:rsidR="00E649CB" w:rsidRDefault="00460A57">
            <w:pPr>
              <w:jc w:val="center"/>
            </w:pPr>
            <w:r>
              <w:rPr>
                <w:color w:val="000000"/>
                <w:sz w:val="24"/>
                <w:szCs w:val="24"/>
              </w:rPr>
              <w:t>4.44%</w:t>
            </w:r>
          </w:p>
        </w:tc>
        <w:tc>
          <w:tcPr>
            <w:tcW w:w="898" w:type="dxa"/>
            <w:vAlign w:val="center"/>
          </w:tcPr>
          <w:p w:rsidR="00E649CB" w:rsidRDefault="00460A57">
            <w:pPr>
              <w:jc w:val="center"/>
            </w:pPr>
            <w:r>
              <w:rPr>
                <w:color w:val="000000"/>
                <w:sz w:val="24"/>
                <w:szCs w:val="24"/>
              </w:rPr>
              <w:t>0.55%</w:t>
            </w:r>
          </w:p>
        </w:tc>
      </w:tr>
      <w:tr w:rsidR="00E649CB">
        <w:trPr>
          <w:jc w:val="center"/>
        </w:trPr>
        <w:tc>
          <w:tcPr>
            <w:tcW w:w="1701" w:type="dxa"/>
            <w:vAlign w:val="center"/>
          </w:tcPr>
          <w:p w:rsidR="00E649CB" w:rsidRDefault="00460A57">
            <w:pPr>
              <w:jc w:val="left"/>
            </w:pPr>
            <w:r>
              <w:rPr>
                <w:color w:val="000000"/>
                <w:sz w:val="24"/>
                <w:szCs w:val="24"/>
              </w:rPr>
              <w:t>过去一年</w:t>
            </w:r>
          </w:p>
        </w:tc>
        <w:tc>
          <w:tcPr>
            <w:tcW w:w="1045" w:type="dxa"/>
            <w:vAlign w:val="center"/>
          </w:tcPr>
          <w:p w:rsidR="00E649CB" w:rsidRDefault="00460A57">
            <w:pPr>
              <w:jc w:val="center"/>
            </w:pPr>
            <w:r>
              <w:rPr>
                <w:color w:val="000000"/>
                <w:sz w:val="24"/>
                <w:szCs w:val="24"/>
              </w:rPr>
              <w:t>62.82%</w:t>
            </w:r>
          </w:p>
        </w:tc>
        <w:tc>
          <w:tcPr>
            <w:tcW w:w="1344" w:type="dxa"/>
            <w:vAlign w:val="center"/>
          </w:tcPr>
          <w:p w:rsidR="00E649CB" w:rsidRDefault="00460A57">
            <w:pPr>
              <w:jc w:val="center"/>
            </w:pPr>
            <w:r>
              <w:rPr>
                <w:color w:val="000000"/>
                <w:sz w:val="24"/>
                <w:szCs w:val="24"/>
              </w:rPr>
              <w:t>1.61%</w:t>
            </w:r>
          </w:p>
        </w:tc>
        <w:tc>
          <w:tcPr>
            <w:tcW w:w="1194" w:type="dxa"/>
            <w:vAlign w:val="center"/>
          </w:tcPr>
          <w:p w:rsidR="00E649CB" w:rsidRDefault="00460A57">
            <w:pPr>
              <w:jc w:val="center"/>
            </w:pPr>
            <w:r>
              <w:rPr>
                <w:color w:val="000000"/>
                <w:sz w:val="24"/>
                <w:szCs w:val="24"/>
              </w:rPr>
              <w:t>13.03%</w:t>
            </w:r>
          </w:p>
        </w:tc>
        <w:tc>
          <w:tcPr>
            <w:tcW w:w="1492" w:type="dxa"/>
            <w:vAlign w:val="center"/>
          </w:tcPr>
          <w:p w:rsidR="00E649CB" w:rsidRDefault="00460A57">
            <w:pPr>
              <w:jc w:val="center"/>
            </w:pPr>
            <w:r>
              <w:rPr>
                <w:color w:val="000000"/>
                <w:sz w:val="24"/>
                <w:szCs w:val="24"/>
              </w:rPr>
              <w:t>1.08%</w:t>
            </w:r>
          </w:p>
        </w:tc>
        <w:tc>
          <w:tcPr>
            <w:tcW w:w="1194" w:type="dxa"/>
            <w:vAlign w:val="center"/>
          </w:tcPr>
          <w:p w:rsidR="00E649CB" w:rsidRDefault="00460A57">
            <w:pPr>
              <w:jc w:val="center"/>
            </w:pPr>
            <w:r>
              <w:rPr>
                <w:color w:val="000000"/>
                <w:sz w:val="24"/>
                <w:szCs w:val="24"/>
              </w:rPr>
              <w:t>49.79%</w:t>
            </w:r>
          </w:p>
        </w:tc>
        <w:tc>
          <w:tcPr>
            <w:tcW w:w="898" w:type="dxa"/>
            <w:vAlign w:val="center"/>
          </w:tcPr>
          <w:p w:rsidR="00E649CB" w:rsidRDefault="00460A57">
            <w:pPr>
              <w:jc w:val="center"/>
            </w:pPr>
            <w:r>
              <w:rPr>
                <w:color w:val="000000"/>
                <w:sz w:val="24"/>
                <w:szCs w:val="24"/>
              </w:rPr>
              <w:t>0.53%</w:t>
            </w:r>
          </w:p>
        </w:tc>
      </w:tr>
      <w:tr w:rsidR="00E649CB">
        <w:trPr>
          <w:jc w:val="center"/>
        </w:trPr>
        <w:tc>
          <w:tcPr>
            <w:tcW w:w="1701" w:type="dxa"/>
            <w:vAlign w:val="center"/>
          </w:tcPr>
          <w:p w:rsidR="00E649CB" w:rsidRDefault="00460A57">
            <w:pPr>
              <w:jc w:val="left"/>
            </w:pPr>
            <w:r>
              <w:rPr>
                <w:color w:val="000000"/>
                <w:sz w:val="24"/>
                <w:szCs w:val="24"/>
              </w:rPr>
              <w:t>自基金合同生效至今</w:t>
            </w:r>
          </w:p>
        </w:tc>
        <w:tc>
          <w:tcPr>
            <w:tcW w:w="1045" w:type="dxa"/>
            <w:vAlign w:val="center"/>
          </w:tcPr>
          <w:p w:rsidR="00E649CB" w:rsidRDefault="00460A57">
            <w:pPr>
              <w:jc w:val="center"/>
            </w:pPr>
            <w:r>
              <w:rPr>
                <w:color w:val="000000"/>
                <w:sz w:val="24"/>
                <w:szCs w:val="24"/>
              </w:rPr>
              <w:t>145.26%</w:t>
            </w:r>
          </w:p>
        </w:tc>
        <w:tc>
          <w:tcPr>
            <w:tcW w:w="1344" w:type="dxa"/>
            <w:vAlign w:val="center"/>
          </w:tcPr>
          <w:p w:rsidR="00E649CB" w:rsidRDefault="00460A57">
            <w:pPr>
              <w:jc w:val="center"/>
            </w:pPr>
            <w:r>
              <w:rPr>
                <w:color w:val="000000"/>
                <w:sz w:val="24"/>
                <w:szCs w:val="24"/>
              </w:rPr>
              <w:t>1.40%</w:t>
            </w:r>
          </w:p>
        </w:tc>
        <w:tc>
          <w:tcPr>
            <w:tcW w:w="1194" w:type="dxa"/>
            <w:vAlign w:val="center"/>
          </w:tcPr>
          <w:p w:rsidR="00E649CB" w:rsidRDefault="00460A57">
            <w:pPr>
              <w:jc w:val="center"/>
            </w:pPr>
            <w:r>
              <w:rPr>
                <w:color w:val="000000"/>
                <w:sz w:val="24"/>
                <w:szCs w:val="24"/>
              </w:rPr>
              <w:t>26.87%</w:t>
            </w:r>
          </w:p>
        </w:tc>
        <w:tc>
          <w:tcPr>
            <w:tcW w:w="1492" w:type="dxa"/>
            <w:vAlign w:val="center"/>
          </w:tcPr>
          <w:p w:rsidR="00E649CB" w:rsidRDefault="00460A57">
            <w:pPr>
              <w:jc w:val="center"/>
            </w:pPr>
            <w:r>
              <w:rPr>
                <w:color w:val="000000"/>
                <w:sz w:val="24"/>
                <w:szCs w:val="24"/>
              </w:rPr>
              <w:t>0.99%</w:t>
            </w:r>
          </w:p>
        </w:tc>
        <w:tc>
          <w:tcPr>
            <w:tcW w:w="1194" w:type="dxa"/>
            <w:vAlign w:val="center"/>
          </w:tcPr>
          <w:p w:rsidR="00E649CB" w:rsidRDefault="00460A57">
            <w:pPr>
              <w:jc w:val="center"/>
            </w:pPr>
            <w:r>
              <w:rPr>
                <w:color w:val="000000"/>
                <w:sz w:val="24"/>
                <w:szCs w:val="24"/>
              </w:rPr>
              <w:t>118.39%</w:t>
            </w:r>
          </w:p>
        </w:tc>
        <w:tc>
          <w:tcPr>
            <w:tcW w:w="898" w:type="dxa"/>
            <w:vAlign w:val="center"/>
          </w:tcPr>
          <w:p w:rsidR="00E649CB" w:rsidRDefault="00460A57">
            <w:pPr>
              <w:jc w:val="center"/>
            </w:pPr>
            <w:r>
              <w:rPr>
                <w:color w:val="000000"/>
                <w:sz w:val="24"/>
                <w:szCs w:val="24"/>
              </w:rPr>
              <w:t>0.41%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交银施罗德创新成长混合型证券投资基金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649CB">
        <w:trPr>
          <w:jc w:val="center"/>
        </w:trPr>
        <w:tc>
          <w:tcPr>
            <w:tcW w:w="846" w:type="dxa"/>
            <w:vAlign w:val="center"/>
          </w:tcPr>
          <w:p w:rsidR="00E649CB" w:rsidRDefault="00460A57">
            <w:pPr>
              <w:jc w:val="center"/>
            </w:pPr>
            <w:r>
              <w:rPr>
                <w:color w:val="000000"/>
                <w:sz w:val="24"/>
                <w:szCs w:val="24"/>
              </w:rPr>
              <w:t>周中</w:t>
            </w:r>
          </w:p>
        </w:tc>
        <w:tc>
          <w:tcPr>
            <w:tcW w:w="845" w:type="dxa"/>
            <w:vAlign w:val="center"/>
          </w:tcPr>
          <w:p w:rsidR="00E649CB" w:rsidRDefault="00460A57">
            <w:pPr>
              <w:jc w:val="center"/>
            </w:pPr>
            <w:r>
              <w:rPr>
                <w:color w:val="000000"/>
                <w:sz w:val="24"/>
                <w:szCs w:val="24"/>
              </w:rPr>
              <w:t>交银环球精选混合</w:t>
            </w:r>
            <w:r>
              <w:rPr>
                <w:color w:val="000000"/>
                <w:sz w:val="24"/>
                <w:szCs w:val="24"/>
              </w:rPr>
              <w:t>(QDII)</w:t>
            </w:r>
            <w:r>
              <w:rPr>
                <w:color w:val="000000"/>
                <w:sz w:val="24"/>
                <w:szCs w:val="24"/>
              </w:rPr>
              <w:t>、交银创新成长混</w:t>
            </w:r>
            <w:r>
              <w:rPr>
                <w:color w:val="000000"/>
                <w:sz w:val="24"/>
                <w:szCs w:val="24"/>
              </w:rPr>
              <w:lastRenderedPageBreak/>
              <w:t>合、交银启欣混合的基金经理</w:t>
            </w:r>
          </w:p>
        </w:tc>
        <w:tc>
          <w:tcPr>
            <w:tcW w:w="1549" w:type="dxa"/>
            <w:vAlign w:val="center"/>
          </w:tcPr>
          <w:p w:rsidR="00E649CB" w:rsidRDefault="00460A57">
            <w:pPr>
              <w:jc w:val="center"/>
            </w:pPr>
            <w:r>
              <w:rPr>
                <w:color w:val="000000"/>
                <w:sz w:val="24"/>
                <w:szCs w:val="24"/>
              </w:rPr>
              <w:lastRenderedPageBreak/>
              <w:t>2018-09-27</w:t>
            </w:r>
          </w:p>
        </w:tc>
        <w:tc>
          <w:tcPr>
            <w:tcW w:w="1548" w:type="dxa"/>
            <w:vAlign w:val="center"/>
          </w:tcPr>
          <w:p w:rsidR="00E649CB" w:rsidRDefault="00460A57">
            <w:pPr>
              <w:jc w:val="center"/>
            </w:pPr>
            <w:r>
              <w:rPr>
                <w:color w:val="000000"/>
                <w:sz w:val="24"/>
                <w:szCs w:val="24"/>
              </w:rPr>
              <w:t>-</w:t>
            </w:r>
          </w:p>
        </w:tc>
        <w:tc>
          <w:tcPr>
            <w:tcW w:w="1407" w:type="dxa"/>
            <w:vAlign w:val="center"/>
          </w:tcPr>
          <w:p w:rsidR="00E649CB" w:rsidRDefault="00460A57">
            <w:pPr>
              <w:jc w:val="center"/>
            </w:pPr>
            <w:r>
              <w:rPr>
                <w:color w:val="000000"/>
                <w:sz w:val="24"/>
                <w:szCs w:val="24"/>
              </w:rPr>
              <w:t>11</w:t>
            </w:r>
            <w:r>
              <w:rPr>
                <w:color w:val="000000"/>
                <w:sz w:val="24"/>
                <w:szCs w:val="24"/>
              </w:rPr>
              <w:t>年</w:t>
            </w:r>
          </w:p>
        </w:tc>
        <w:tc>
          <w:tcPr>
            <w:tcW w:w="2673" w:type="dxa"/>
            <w:vAlign w:val="center"/>
          </w:tcPr>
          <w:p w:rsidR="00E649CB" w:rsidRDefault="00460A57">
            <w:r>
              <w:rPr>
                <w:color w:val="000000"/>
                <w:sz w:val="24"/>
                <w:szCs w:val="24"/>
              </w:rPr>
              <w:t>周中先生，中国国籍，复旦大学金融学硕士。历任野村证券亚太区股票研究部研究助理，中银国际证券研究部研究员、高级经理，瑞银证券研究部行业分析师、董事。</w:t>
            </w:r>
            <w:r>
              <w:rPr>
                <w:color w:val="000000"/>
                <w:sz w:val="24"/>
                <w:szCs w:val="24"/>
              </w:rPr>
              <w:t>2015</w:t>
            </w:r>
            <w:r>
              <w:rPr>
                <w:color w:val="000000"/>
                <w:sz w:val="24"/>
                <w:szCs w:val="24"/>
              </w:rPr>
              <w:t>年加入交银施罗德基金管理有限公</w:t>
            </w:r>
            <w:r>
              <w:rPr>
                <w:color w:val="000000"/>
                <w:sz w:val="24"/>
                <w:szCs w:val="24"/>
              </w:rPr>
              <w:lastRenderedPageBreak/>
              <w:t>司。</w:t>
            </w:r>
            <w:r>
              <w:rPr>
                <w:color w:val="000000"/>
                <w:sz w:val="24"/>
                <w:szCs w:val="24"/>
              </w:rPr>
              <w:t>2015</w:t>
            </w:r>
            <w:r>
              <w:rPr>
                <w:color w:val="000000"/>
                <w:sz w:val="24"/>
                <w:szCs w:val="24"/>
              </w:rPr>
              <w:t>年</w:t>
            </w:r>
            <w:r>
              <w:rPr>
                <w:color w:val="000000"/>
                <w:sz w:val="24"/>
                <w:szCs w:val="24"/>
              </w:rPr>
              <w:t>12</w:t>
            </w:r>
            <w:r>
              <w:rPr>
                <w:color w:val="000000"/>
                <w:sz w:val="24"/>
                <w:szCs w:val="24"/>
              </w:rPr>
              <w:t>月</w:t>
            </w:r>
            <w:r>
              <w:rPr>
                <w:color w:val="000000"/>
                <w:sz w:val="24"/>
                <w:szCs w:val="24"/>
              </w:rPr>
              <w:t>12</w:t>
            </w:r>
            <w:r>
              <w:rPr>
                <w:color w:val="000000"/>
                <w:sz w:val="24"/>
                <w:szCs w:val="24"/>
              </w:rPr>
              <w:t>日至</w:t>
            </w:r>
            <w:r>
              <w:rPr>
                <w:color w:val="000000"/>
                <w:sz w:val="24"/>
                <w:szCs w:val="24"/>
              </w:rPr>
              <w:t>2019</w:t>
            </w:r>
            <w:r>
              <w:rPr>
                <w:color w:val="000000"/>
                <w:sz w:val="24"/>
                <w:szCs w:val="24"/>
              </w:rPr>
              <w:t>年</w:t>
            </w:r>
            <w:r>
              <w:rPr>
                <w:color w:val="000000"/>
                <w:sz w:val="24"/>
                <w:szCs w:val="24"/>
              </w:rPr>
              <w:t>9</w:t>
            </w:r>
            <w:r>
              <w:rPr>
                <w:color w:val="000000"/>
                <w:sz w:val="24"/>
                <w:szCs w:val="24"/>
              </w:rPr>
              <w:t>月</w:t>
            </w:r>
            <w:r>
              <w:rPr>
                <w:color w:val="000000"/>
                <w:sz w:val="24"/>
                <w:szCs w:val="24"/>
              </w:rPr>
              <w:t>19</w:t>
            </w:r>
            <w:r>
              <w:rPr>
                <w:color w:val="000000"/>
                <w:sz w:val="24"/>
                <w:szCs w:val="24"/>
              </w:rPr>
              <w:t>日担任交银施罗德全球自然资源证券投资基金的基金经理。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649CB" w:rsidRDefault="00460A5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E649CB" w:rsidRDefault="00460A57">
      <w:pPr>
        <w:spacing w:before="29" w:line="288" w:lineRule="auto"/>
        <w:ind w:firstLineChars="200" w:firstLine="480"/>
        <w:rPr>
          <w:color w:val="000000"/>
          <w:sz w:val="24"/>
          <w:szCs w:val="24"/>
        </w:rPr>
      </w:pPr>
      <w:r>
        <w:rPr>
          <w:color w:val="000000"/>
          <w:sz w:val="24"/>
          <w:szCs w:val="24"/>
        </w:rPr>
        <w:t>公司建立资源</w:t>
      </w:r>
      <w:r>
        <w:rPr>
          <w:color w:val="000000"/>
          <w:sz w:val="24"/>
          <w:szCs w:val="24"/>
        </w:rPr>
        <w:t>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E649CB" w:rsidRDefault="00460A5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w:t>
      </w:r>
      <w:r>
        <w:rPr>
          <w:color w:val="000000"/>
          <w:sz w:val="24"/>
          <w:szCs w:val="24"/>
        </w:rPr>
        <w:t>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649CB" w:rsidRDefault="00460A57">
      <w:pPr>
        <w:spacing w:before="29" w:line="288" w:lineRule="auto"/>
        <w:ind w:firstLineChars="200" w:firstLine="480"/>
        <w:rPr>
          <w:color w:val="000000"/>
          <w:sz w:val="24"/>
          <w:szCs w:val="24"/>
        </w:rPr>
      </w:pPr>
      <w:r>
        <w:rPr>
          <w:color w:val="000000"/>
          <w:sz w:val="24"/>
          <w:szCs w:val="24"/>
        </w:rPr>
        <w:lastRenderedPageBreak/>
        <w:t>2020</w:t>
      </w:r>
      <w:r>
        <w:rPr>
          <w:color w:val="000000"/>
          <w:sz w:val="24"/>
          <w:szCs w:val="24"/>
        </w:rPr>
        <w:t>年四季度，新冠疫情依然在部分国家和地区持续恶化，但是中国疫情始终控制比较良好，并且受益于全球流动性宽裕和海外需求强劲，中国整体经济复苏持续，相应的国内企业盈利也出现持续的恢复。</w:t>
      </w:r>
    </w:p>
    <w:p w:rsidR="00E649CB" w:rsidRDefault="00460A57">
      <w:pPr>
        <w:spacing w:before="29" w:line="288" w:lineRule="auto"/>
        <w:ind w:firstLineChars="200" w:firstLine="480"/>
        <w:rPr>
          <w:color w:val="000000"/>
          <w:sz w:val="24"/>
          <w:szCs w:val="24"/>
        </w:rPr>
      </w:pPr>
      <w:r>
        <w:rPr>
          <w:color w:val="000000"/>
          <w:sz w:val="24"/>
          <w:szCs w:val="24"/>
        </w:rPr>
        <w:t>本基金在四季度整体仓位变动较小，主要配置于互联网、食品饮料、教育、云计算和电子行业等行业。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2021</w:t>
      </w:r>
      <w:r w:rsidRPr="00414345">
        <w:rPr>
          <w:color w:val="000000"/>
          <w:sz w:val="24"/>
          <w:szCs w:val="24"/>
        </w:rPr>
        <w:t>年一季度，我们认为经过了</w:t>
      </w:r>
      <w:r w:rsidRPr="00414345">
        <w:rPr>
          <w:color w:val="000000"/>
          <w:sz w:val="24"/>
          <w:szCs w:val="24"/>
        </w:rPr>
        <w:t>2020</w:t>
      </w:r>
      <w:r w:rsidRPr="00414345">
        <w:rPr>
          <w:color w:val="000000"/>
          <w:sz w:val="24"/>
          <w:szCs w:val="24"/>
        </w:rPr>
        <w:t>年的市场大幅上涨，部分行业和个股已经出现了一定的泡沫化的趋势，但是我们看到市场整体估值仍具有优势，大量的行业和个股还有待发掘。</w:t>
      </w:r>
      <w:r w:rsidRPr="00414345">
        <w:rPr>
          <w:color w:val="000000"/>
          <w:sz w:val="24"/>
          <w:szCs w:val="24"/>
        </w:rPr>
        <w:t>1</w:t>
      </w:r>
      <w:r w:rsidRPr="00414345">
        <w:rPr>
          <w:color w:val="000000"/>
          <w:sz w:val="24"/>
          <w:szCs w:val="24"/>
        </w:rPr>
        <w:t>）互联网平台反垄断短期会使得投资者情绪受到影响，但是长期来看会有利于行业中优质公司的长期健康发展。</w:t>
      </w:r>
      <w:r w:rsidRPr="00414345">
        <w:rPr>
          <w:color w:val="000000"/>
          <w:sz w:val="24"/>
          <w:szCs w:val="24"/>
        </w:rPr>
        <w:t>2</w:t>
      </w:r>
      <w:r w:rsidRPr="00414345">
        <w:rPr>
          <w:color w:val="000000"/>
          <w:sz w:val="24"/>
          <w:szCs w:val="24"/>
        </w:rPr>
        <w:t>）能源革命：新能源车和光伏为代表的新能源革命正在全球发生，由此带来的投资机会将是持续的；</w:t>
      </w:r>
      <w:r w:rsidRPr="00414345">
        <w:rPr>
          <w:color w:val="000000"/>
          <w:sz w:val="24"/>
          <w:szCs w:val="24"/>
        </w:rPr>
        <w:t>3</w:t>
      </w:r>
      <w:r w:rsidRPr="00414345">
        <w:rPr>
          <w:color w:val="000000"/>
          <w:sz w:val="24"/>
          <w:szCs w:val="24"/>
        </w:rPr>
        <w:t>）中国品牌出海：随着国内制造业竞争力的进一步增强和品牌设计运营能力进一步提升，中国商品在全球的竞争力在持续提高。我们将持续关注那些在疫情冲击之下核心竞争力较强、韧性优秀的上市公司在目前的经济企稳回升过程中，这样的企业往往能够提供较好的超额回报。我们将积极寻找具有较好成长性的行业和优质的上市公司，在合适的价格买入，坚持自下而上精选个股的投资策略，力争为投资者创造较好的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913,247,758.68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88.98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913,247,758.68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88.98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112,246,948.32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10.94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846,444.47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1,026,341,151.47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770B15" w:rsidP="00C15CAC">
      <w:pPr>
        <w:autoSpaceDE w:val="0"/>
        <w:autoSpaceDN w:val="0"/>
        <w:adjustRightInd w:val="0"/>
        <w:spacing w:before="29" w:line="288" w:lineRule="auto"/>
        <w:jc w:val="left"/>
        <w:rPr>
          <w:color w:val="000000"/>
          <w:sz w:val="24"/>
          <w:szCs w:val="24"/>
        </w:rPr>
      </w:pPr>
      <w:r w:rsidRPr="00770B15">
        <w:rPr>
          <w:rFonts w:hint="eastAsia"/>
          <w:color w:val="000000"/>
          <w:sz w:val="24"/>
          <w:szCs w:val="24"/>
        </w:rPr>
        <w:t>注：本基金本报告期末通过港股通机制投资香港股票的公允价值为</w:t>
      </w:r>
      <w:r w:rsidRPr="00770B15">
        <w:rPr>
          <w:rFonts w:hint="eastAsia"/>
          <w:color w:val="000000"/>
          <w:sz w:val="24"/>
          <w:szCs w:val="24"/>
        </w:rPr>
        <w:t>225,135,653.26</w:t>
      </w:r>
      <w:r w:rsidRPr="00770B15">
        <w:rPr>
          <w:rFonts w:hint="eastAsia"/>
          <w:color w:val="000000"/>
          <w:sz w:val="24"/>
          <w:szCs w:val="24"/>
        </w:rPr>
        <w:t>元，占基金资产净值比例为</w:t>
      </w:r>
      <w:r w:rsidRPr="00770B15">
        <w:rPr>
          <w:rFonts w:hint="eastAsia"/>
          <w:color w:val="000000"/>
          <w:sz w:val="24"/>
          <w:szCs w:val="24"/>
        </w:rPr>
        <w:t>22.21%</w:t>
      </w:r>
      <w:r>
        <w:rPr>
          <w:rFonts w:hint="eastAsia"/>
          <w:color w:val="000000"/>
          <w:sz w:val="24"/>
          <w:szCs w:val="24"/>
        </w:rPr>
        <w:t>。</w:t>
      </w:r>
      <w:bookmarkStart w:id="0" w:name="_GoBack"/>
      <w:bookmarkEnd w:id="0"/>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485,598,478.85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16,322.72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17,401,998.88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70,500,275.65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10,955,400.00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8,975.14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13,487,649.20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57,426.21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68,290,000.00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21,795,578.77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688,112,105.42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67.87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E649CB">
        <w:trPr>
          <w:jc w:val="center"/>
        </w:trPr>
        <w:tc>
          <w:tcPr>
            <w:tcW w:w="2397" w:type="dxa"/>
            <w:vAlign w:val="center"/>
          </w:tcPr>
          <w:p w:rsidR="00E649CB" w:rsidRDefault="00460A57">
            <w:pPr>
              <w:jc w:val="center"/>
            </w:pPr>
            <w:r>
              <w:rPr>
                <w:color w:val="000000"/>
                <w:sz w:val="24"/>
              </w:rPr>
              <w:t>医疗保健</w:t>
            </w:r>
          </w:p>
        </w:tc>
        <w:tc>
          <w:tcPr>
            <w:tcW w:w="3119" w:type="dxa"/>
            <w:vAlign w:val="center"/>
          </w:tcPr>
          <w:p w:rsidR="00E649CB" w:rsidRDefault="00460A57">
            <w:pPr>
              <w:jc w:val="center"/>
            </w:pPr>
            <w:r>
              <w:rPr>
                <w:color w:val="000000"/>
                <w:sz w:val="24"/>
              </w:rPr>
              <w:t>4,626,915.90</w:t>
            </w:r>
          </w:p>
        </w:tc>
        <w:tc>
          <w:tcPr>
            <w:tcW w:w="3118" w:type="dxa"/>
            <w:vAlign w:val="center"/>
          </w:tcPr>
          <w:p w:rsidR="00E649CB" w:rsidRDefault="00460A57">
            <w:pPr>
              <w:jc w:val="center"/>
            </w:pPr>
            <w:r>
              <w:rPr>
                <w:color w:val="000000"/>
                <w:sz w:val="24"/>
              </w:rPr>
              <w:t>0.46</w:t>
            </w:r>
          </w:p>
        </w:tc>
      </w:tr>
      <w:tr w:rsidR="00E649CB">
        <w:trPr>
          <w:jc w:val="center"/>
        </w:trPr>
        <w:tc>
          <w:tcPr>
            <w:tcW w:w="2397" w:type="dxa"/>
            <w:vAlign w:val="center"/>
          </w:tcPr>
          <w:p w:rsidR="00E649CB" w:rsidRDefault="00460A57">
            <w:pPr>
              <w:jc w:val="center"/>
            </w:pPr>
            <w:r>
              <w:rPr>
                <w:color w:val="000000"/>
                <w:sz w:val="24"/>
              </w:rPr>
              <w:t>工业</w:t>
            </w:r>
          </w:p>
        </w:tc>
        <w:tc>
          <w:tcPr>
            <w:tcW w:w="3119" w:type="dxa"/>
            <w:vAlign w:val="center"/>
          </w:tcPr>
          <w:p w:rsidR="00E649CB" w:rsidRDefault="00460A57">
            <w:pPr>
              <w:jc w:val="center"/>
            </w:pPr>
            <w:r>
              <w:rPr>
                <w:color w:val="000000"/>
                <w:sz w:val="24"/>
              </w:rPr>
              <w:t>9,493,699.20</w:t>
            </w:r>
          </w:p>
        </w:tc>
        <w:tc>
          <w:tcPr>
            <w:tcW w:w="3118" w:type="dxa"/>
            <w:vAlign w:val="center"/>
          </w:tcPr>
          <w:p w:rsidR="00E649CB" w:rsidRDefault="00460A57">
            <w:pPr>
              <w:jc w:val="center"/>
            </w:pPr>
            <w:r>
              <w:rPr>
                <w:color w:val="000000"/>
                <w:sz w:val="24"/>
              </w:rPr>
              <w:t>0.94</w:t>
            </w:r>
          </w:p>
        </w:tc>
      </w:tr>
      <w:tr w:rsidR="00E649CB">
        <w:trPr>
          <w:jc w:val="center"/>
        </w:trPr>
        <w:tc>
          <w:tcPr>
            <w:tcW w:w="2397" w:type="dxa"/>
            <w:vAlign w:val="center"/>
          </w:tcPr>
          <w:p w:rsidR="00E649CB" w:rsidRDefault="00460A57">
            <w:pPr>
              <w:jc w:val="center"/>
            </w:pPr>
            <w:r>
              <w:rPr>
                <w:color w:val="000000"/>
                <w:sz w:val="24"/>
              </w:rPr>
              <w:t>金融</w:t>
            </w:r>
          </w:p>
        </w:tc>
        <w:tc>
          <w:tcPr>
            <w:tcW w:w="3119" w:type="dxa"/>
            <w:vAlign w:val="center"/>
          </w:tcPr>
          <w:p w:rsidR="00E649CB" w:rsidRDefault="00460A57">
            <w:pPr>
              <w:jc w:val="center"/>
            </w:pPr>
            <w:r>
              <w:rPr>
                <w:color w:val="000000"/>
                <w:sz w:val="24"/>
              </w:rPr>
              <w:t>18,726,490.00</w:t>
            </w:r>
          </w:p>
        </w:tc>
        <w:tc>
          <w:tcPr>
            <w:tcW w:w="3118" w:type="dxa"/>
            <w:vAlign w:val="center"/>
          </w:tcPr>
          <w:p w:rsidR="00E649CB" w:rsidRDefault="00460A57">
            <w:pPr>
              <w:jc w:val="center"/>
            </w:pPr>
            <w:r>
              <w:rPr>
                <w:color w:val="000000"/>
                <w:sz w:val="24"/>
              </w:rPr>
              <w:t>1.85</w:t>
            </w:r>
          </w:p>
        </w:tc>
      </w:tr>
      <w:tr w:rsidR="00E649CB">
        <w:trPr>
          <w:jc w:val="center"/>
        </w:trPr>
        <w:tc>
          <w:tcPr>
            <w:tcW w:w="2397" w:type="dxa"/>
            <w:vAlign w:val="center"/>
          </w:tcPr>
          <w:p w:rsidR="00E649CB" w:rsidRDefault="00460A57">
            <w:pPr>
              <w:jc w:val="center"/>
            </w:pPr>
            <w:r>
              <w:rPr>
                <w:color w:val="000000"/>
                <w:sz w:val="24"/>
              </w:rPr>
              <w:t>信息技术</w:t>
            </w:r>
          </w:p>
        </w:tc>
        <w:tc>
          <w:tcPr>
            <w:tcW w:w="3119" w:type="dxa"/>
            <w:vAlign w:val="center"/>
          </w:tcPr>
          <w:p w:rsidR="00E649CB" w:rsidRDefault="00460A57">
            <w:pPr>
              <w:jc w:val="center"/>
            </w:pPr>
            <w:r>
              <w:rPr>
                <w:color w:val="000000"/>
                <w:sz w:val="24"/>
              </w:rPr>
              <w:t>56,128,028.96</w:t>
            </w:r>
          </w:p>
        </w:tc>
        <w:tc>
          <w:tcPr>
            <w:tcW w:w="3118" w:type="dxa"/>
            <w:vAlign w:val="center"/>
          </w:tcPr>
          <w:p w:rsidR="00E649CB" w:rsidRDefault="00460A57">
            <w:pPr>
              <w:jc w:val="center"/>
            </w:pPr>
            <w:r>
              <w:rPr>
                <w:color w:val="000000"/>
                <w:sz w:val="24"/>
              </w:rPr>
              <w:t>5.54</w:t>
            </w:r>
          </w:p>
        </w:tc>
      </w:tr>
      <w:tr w:rsidR="00E649CB">
        <w:trPr>
          <w:jc w:val="center"/>
        </w:trPr>
        <w:tc>
          <w:tcPr>
            <w:tcW w:w="2397" w:type="dxa"/>
            <w:vAlign w:val="center"/>
          </w:tcPr>
          <w:p w:rsidR="00E649CB" w:rsidRDefault="00460A57">
            <w:pPr>
              <w:jc w:val="center"/>
            </w:pPr>
            <w:r>
              <w:rPr>
                <w:color w:val="000000"/>
                <w:sz w:val="24"/>
              </w:rPr>
              <w:t>非日常生活消费品</w:t>
            </w:r>
          </w:p>
        </w:tc>
        <w:tc>
          <w:tcPr>
            <w:tcW w:w="3119" w:type="dxa"/>
            <w:vAlign w:val="center"/>
          </w:tcPr>
          <w:p w:rsidR="00E649CB" w:rsidRDefault="00460A57">
            <w:pPr>
              <w:jc w:val="center"/>
            </w:pPr>
            <w:r>
              <w:rPr>
                <w:color w:val="000000"/>
                <w:sz w:val="24"/>
              </w:rPr>
              <w:t>64,957,775.20</w:t>
            </w:r>
          </w:p>
        </w:tc>
        <w:tc>
          <w:tcPr>
            <w:tcW w:w="3118" w:type="dxa"/>
            <w:vAlign w:val="center"/>
          </w:tcPr>
          <w:p w:rsidR="00E649CB" w:rsidRDefault="00460A57">
            <w:pPr>
              <w:jc w:val="center"/>
            </w:pPr>
            <w:r>
              <w:rPr>
                <w:color w:val="000000"/>
                <w:sz w:val="24"/>
              </w:rPr>
              <w:t>6.41</w:t>
            </w:r>
          </w:p>
        </w:tc>
      </w:tr>
      <w:tr w:rsidR="00E649CB">
        <w:trPr>
          <w:jc w:val="center"/>
        </w:trPr>
        <w:tc>
          <w:tcPr>
            <w:tcW w:w="2397" w:type="dxa"/>
            <w:vAlign w:val="center"/>
          </w:tcPr>
          <w:p w:rsidR="00E649CB" w:rsidRDefault="00460A57">
            <w:pPr>
              <w:jc w:val="center"/>
            </w:pPr>
            <w:r>
              <w:rPr>
                <w:color w:val="000000"/>
                <w:sz w:val="24"/>
              </w:rPr>
              <w:t>通讯服务</w:t>
            </w:r>
          </w:p>
        </w:tc>
        <w:tc>
          <w:tcPr>
            <w:tcW w:w="3119" w:type="dxa"/>
            <w:vAlign w:val="center"/>
          </w:tcPr>
          <w:p w:rsidR="00E649CB" w:rsidRDefault="00460A57">
            <w:pPr>
              <w:jc w:val="center"/>
            </w:pPr>
            <w:r>
              <w:rPr>
                <w:color w:val="000000"/>
                <w:sz w:val="24"/>
              </w:rPr>
              <w:t>71,202,744.00</w:t>
            </w:r>
          </w:p>
        </w:tc>
        <w:tc>
          <w:tcPr>
            <w:tcW w:w="3118" w:type="dxa"/>
            <w:vAlign w:val="center"/>
          </w:tcPr>
          <w:p w:rsidR="00E649CB" w:rsidRDefault="00460A57">
            <w:pPr>
              <w:jc w:val="center"/>
            </w:pPr>
            <w:r>
              <w:rPr>
                <w:color w:val="000000"/>
                <w:sz w:val="24"/>
              </w:rPr>
              <w:t>7.02</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225,135,653.26</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22.21</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649CB">
        <w:trPr>
          <w:jc w:val="center"/>
        </w:trPr>
        <w:tc>
          <w:tcPr>
            <w:tcW w:w="855" w:type="dxa"/>
            <w:vAlign w:val="center"/>
          </w:tcPr>
          <w:p w:rsidR="00E649CB" w:rsidRDefault="00460A57">
            <w:pPr>
              <w:jc w:val="center"/>
            </w:pPr>
            <w:r>
              <w:rPr>
                <w:color w:val="000000"/>
                <w:sz w:val="24"/>
                <w:szCs w:val="24"/>
              </w:rPr>
              <w:t>1</w:t>
            </w:r>
          </w:p>
        </w:tc>
        <w:tc>
          <w:tcPr>
            <w:tcW w:w="1334" w:type="dxa"/>
            <w:vAlign w:val="center"/>
          </w:tcPr>
          <w:p w:rsidR="00E649CB" w:rsidRDefault="00460A57">
            <w:pPr>
              <w:jc w:val="center"/>
            </w:pPr>
            <w:r>
              <w:rPr>
                <w:color w:val="000000"/>
                <w:sz w:val="24"/>
                <w:szCs w:val="24"/>
              </w:rPr>
              <w:t>00700.HK</w:t>
            </w:r>
          </w:p>
        </w:tc>
        <w:tc>
          <w:tcPr>
            <w:tcW w:w="1777" w:type="dxa"/>
            <w:vAlign w:val="center"/>
          </w:tcPr>
          <w:p w:rsidR="00E649CB" w:rsidRDefault="00460A57">
            <w:pPr>
              <w:jc w:val="center"/>
            </w:pPr>
            <w:r>
              <w:rPr>
                <w:color w:val="000000"/>
                <w:sz w:val="24"/>
                <w:szCs w:val="24"/>
              </w:rPr>
              <w:t>腾讯控股</w:t>
            </w:r>
          </w:p>
        </w:tc>
        <w:tc>
          <w:tcPr>
            <w:tcW w:w="1334" w:type="dxa"/>
            <w:vAlign w:val="center"/>
          </w:tcPr>
          <w:p w:rsidR="00E649CB" w:rsidRDefault="00460A57">
            <w:pPr>
              <w:jc w:val="right"/>
            </w:pPr>
            <w:r>
              <w:rPr>
                <w:color w:val="000000"/>
                <w:sz w:val="24"/>
                <w:szCs w:val="24"/>
              </w:rPr>
              <w:t>150,000</w:t>
            </w:r>
          </w:p>
        </w:tc>
        <w:tc>
          <w:tcPr>
            <w:tcW w:w="1924" w:type="dxa"/>
            <w:vAlign w:val="center"/>
          </w:tcPr>
          <w:p w:rsidR="00E649CB" w:rsidRDefault="00460A57">
            <w:pPr>
              <w:jc w:val="right"/>
            </w:pPr>
            <w:r>
              <w:rPr>
                <w:color w:val="000000"/>
                <w:sz w:val="24"/>
                <w:szCs w:val="24"/>
              </w:rPr>
              <w:t>71,202,744.00</w:t>
            </w:r>
          </w:p>
        </w:tc>
        <w:tc>
          <w:tcPr>
            <w:tcW w:w="1644" w:type="dxa"/>
            <w:vAlign w:val="center"/>
          </w:tcPr>
          <w:p w:rsidR="00E649CB" w:rsidRDefault="00460A57">
            <w:pPr>
              <w:jc w:val="right"/>
            </w:pPr>
            <w:r>
              <w:rPr>
                <w:color w:val="000000"/>
                <w:sz w:val="24"/>
                <w:szCs w:val="24"/>
              </w:rPr>
              <w:t>7.02</w:t>
            </w:r>
          </w:p>
        </w:tc>
      </w:tr>
      <w:tr w:rsidR="00E649CB">
        <w:trPr>
          <w:jc w:val="center"/>
        </w:trPr>
        <w:tc>
          <w:tcPr>
            <w:tcW w:w="855" w:type="dxa"/>
            <w:vAlign w:val="center"/>
          </w:tcPr>
          <w:p w:rsidR="00E649CB" w:rsidRDefault="00460A57">
            <w:pPr>
              <w:jc w:val="center"/>
            </w:pPr>
            <w:r>
              <w:rPr>
                <w:color w:val="000000"/>
                <w:sz w:val="24"/>
                <w:szCs w:val="24"/>
              </w:rPr>
              <w:t>2</w:t>
            </w:r>
          </w:p>
        </w:tc>
        <w:tc>
          <w:tcPr>
            <w:tcW w:w="1334" w:type="dxa"/>
            <w:vAlign w:val="center"/>
          </w:tcPr>
          <w:p w:rsidR="00E649CB" w:rsidRDefault="00460A57">
            <w:pPr>
              <w:jc w:val="center"/>
            </w:pPr>
            <w:r>
              <w:rPr>
                <w:color w:val="000000"/>
                <w:sz w:val="24"/>
                <w:szCs w:val="24"/>
              </w:rPr>
              <w:t>600519</w:t>
            </w:r>
          </w:p>
        </w:tc>
        <w:tc>
          <w:tcPr>
            <w:tcW w:w="1777" w:type="dxa"/>
            <w:vAlign w:val="center"/>
          </w:tcPr>
          <w:p w:rsidR="00E649CB" w:rsidRDefault="00460A57">
            <w:pPr>
              <w:jc w:val="center"/>
            </w:pPr>
            <w:r>
              <w:rPr>
                <w:color w:val="000000"/>
                <w:sz w:val="24"/>
                <w:szCs w:val="24"/>
              </w:rPr>
              <w:t>贵州茅台</w:t>
            </w:r>
          </w:p>
        </w:tc>
        <w:tc>
          <w:tcPr>
            <w:tcW w:w="1334" w:type="dxa"/>
            <w:vAlign w:val="center"/>
          </w:tcPr>
          <w:p w:rsidR="00E649CB" w:rsidRDefault="00460A57">
            <w:pPr>
              <w:jc w:val="right"/>
            </w:pPr>
            <w:r>
              <w:rPr>
                <w:color w:val="000000"/>
                <w:sz w:val="24"/>
                <w:szCs w:val="24"/>
              </w:rPr>
              <w:t>26,200</w:t>
            </w:r>
          </w:p>
        </w:tc>
        <w:tc>
          <w:tcPr>
            <w:tcW w:w="1924" w:type="dxa"/>
            <w:vAlign w:val="center"/>
          </w:tcPr>
          <w:p w:rsidR="00E649CB" w:rsidRDefault="00460A57">
            <w:pPr>
              <w:jc w:val="right"/>
            </w:pPr>
            <w:r>
              <w:rPr>
                <w:color w:val="000000"/>
                <w:sz w:val="24"/>
                <w:szCs w:val="24"/>
              </w:rPr>
              <w:t>52,347,600.00</w:t>
            </w:r>
          </w:p>
        </w:tc>
        <w:tc>
          <w:tcPr>
            <w:tcW w:w="1644" w:type="dxa"/>
            <w:vAlign w:val="center"/>
          </w:tcPr>
          <w:p w:rsidR="00E649CB" w:rsidRDefault="00460A57">
            <w:pPr>
              <w:jc w:val="right"/>
            </w:pPr>
            <w:r>
              <w:rPr>
                <w:color w:val="000000"/>
                <w:sz w:val="24"/>
                <w:szCs w:val="24"/>
              </w:rPr>
              <w:t>5.16</w:t>
            </w:r>
          </w:p>
        </w:tc>
      </w:tr>
      <w:tr w:rsidR="00E649CB">
        <w:trPr>
          <w:jc w:val="center"/>
        </w:trPr>
        <w:tc>
          <w:tcPr>
            <w:tcW w:w="855" w:type="dxa"/>
            <w:vAlign w:val="center"/>
          </w:tcPr>
          <w:p w:rsidR="00E649CB" w:rsidRDefault="00460A57">
            <w:pPr>
              <w:jc w:val="center"/>
            </w:pPr>
            <w:r>
              <w:rPr>
                <w:color w:val="000000"/>
                <w:sz w:val="24"/>
                <w:szCs w:val="24"/>
              </w:rPr>
              <w:t>3</w:t>
            </w:r>
          </w:p>
        </w:tc>
        <w:tc>
          <w:tcPr>
            <w:tcW w:w="1334" w:type="dxa"/>
            <w:vAlign w:val="center"/>
          </w:tcPr>
          <w:p w:rsidR="00E649CB" w:rsidRDefault="00460A57">
            <w:pPr>
              <w:jc w:val="center"/>
            </w:pPr>
            <w:r>
              <w:rPr>
                <w:color w:val="000000"/>
                <w:sz w:val="24"/>
                <w:szCs w:val="24"/>
              </w:rPr>
              <w:t>03690.HK</w:t>
            </w:r>
          </w:p>
        </w:tc>
        <w:tc>
          <w:tcPr>
            <w:tcW w:w="1777" w:type="dxa"/>
            <w:vAlign w:val="center"/>
          </w:tcPr>
          <w:p w:rsidR="00E649CB" w:rsidRDefault="00460A57">
            <w:pPr>
              <w:jc w:val="center"/>
            </w:pPr>
            <w:r>
              <w:rPr>
                <w:color w:val="000000"/>
                <w:sz w:val="24"/>
                <w:szCs w:val="24"/>
              </w:rPr>
              <w:t>美团－Ｗ</w:t>
            </w:r>
          </w:p>
        </w:tc>
        <w:tc>
          <w:tcPr>
            <w:tcW w:w="1334" w:type="dxa"/>
            <w:vAlign w:val="center"/>
          </w:tcPr>
          <w:p w:rsidR="00E649CB" w:rsidRDefault="00460A57">
            <w:pPr>
              <w:jc w:val="right"/>
            </w:pPr>
            <w:r>
              <w:rPr>
                <w:color w:val="000000"/>
                <w:sz w:val="24"/>
                <w:szCs w:val="24"/>
              </w:rPr>
              <w:t>180,000</w:t>
            </w:r>
          </w:p>
        </w:tc>
        <w:tc>
          <w:tcPr>
            <w:tcW w:w="1924" w:type="dxa"/>
            <w:vAlign w:val="center"/>
          </w:tcPr>
          <w:p w:rsidR="00E649CB" w:rsidRDefault="00460A57">
            <w:pPr>
              <w:jc w:val="right"/>
            </w:pPr>
            <w:r>
              <w:rPr>
                <w:color w:val="000000"/>
                <w:sz w:val="24"/>
                <w:szCs w:val="24"/>
              </w:rPr>
              <w:t>44,630,485.92</w:t>
            </w:r>
          </w:p>
        </w:tc>
        <w:tc>
          <w:tcPr>
            <w:tcW w:w="1644" w:type="dxa"/>
            <w:vAlign w:val="center"/>
          </w:tcPr>
          <w:p w:rsidR="00E649CB" w:rsidRDefault="00460A57">
            <w:pPr>
              <w:jc w:val="right"/>
            </w:pPr>
            <w:r>
              <w:rPr>
                <w:color w:val="000000"/>
                <w:sz w:val="24"/>
                <w:szCs w:val="24"/>
              </w:rPr>
              <w:t>4.40</w:t>
            </w:r>
          </w:p>
        </w:tc>
      </w:tr>
      <w:tr w:rsidR="00E649CB">
        <w:trPr>
          <w:jc w:val="center"/>
        </w:trPr>
        <w:tc>
          <w:tcPr>
            <w:tcW w:w="855" w:type="dxa"/>
            <w:vAlign w:val="center"/>
          </w:tcPr>
          <w:p w:rsidR="00E649CB" w:rsidRDefault="00460A57">
            <w:pPr>
              <w:jc w:val="center"/>
            </w:pPr>
            <w:r>
              <w:rPr>
                <w:color w:val="000000"/>
                <w:sz w:val="24"/>
                <w:szCs w:val="24"/>
              </w:rPr>
              <w:t>4</w:t>
            </w:r>
          </w:p>
        </w:tc>
        <w:tc>
          <w:tcPr>
            <w:tcW w:w="1334" w:type="dxa"/>
            <w:vAlign w:val="center"/>
          </w:tcPr>
          <w:p w:rsidR="00E649CB" w:rsidRDefault="00460A57">
            <w:pPr>
              <w:jc w:val="center"/>
            </w:pPr>
            <w:r>
              <w:rPr>
                <w:color w:val="000000"/>
                <w:sz w:val="24"/>
                <w:szCs w:val="24"/>
              </w:rPr>
              <w:t>002271</w:t>
            </w:r>
          </w:p>
        </w:tc>
        <w:tc>
          <w:tcPr>
            <w:tcW w:w="1777" w:type="dxa"/>
            <w:vAlign w:val="center"/>
          </w:tcPr>
          <w:p w:rsidR="00E649CB" w:rsidRDefault="00460A57">
            <w:pPr>
              <w:jc w:val="center"/>
            </w:pPr>
            <w:r>
              <w:rPr>
                <w:color w:val="000000"/>
                <w:sz w:val="24"/>
                <w:szCs w:val="24"/>
              </w:rPr>
              <w:t>东方雨虹</w:t>
            </w:r>
          </w:p>
        </w:tc>
        <w:tc>
          <w:tcPr>
            <w:tcW w:w="1334" w:type="dxa"/>
            <w:vAlign w:val="center"/>
          </w:tcPr>
          <w:p w:rsidR="00E649CB" w:rsidRDefault="00460A57">
            <w:pPr>
              <w:jc w:val="right"/>
            </w:pPr>
            <w:r>
              <w:rPr>
                <w:color w:val="000000"/>
                <w:sz w:val="24"/>
                <w:szCs w:val="24"/>
              </w:rPr>
              <w:t>975,000</w:t>
            </w:r>
          </w:p>
        </w:tc>
        <w:tc>
          <w:tcPr>
            <w:tcW w:w="1924" w:type="dxa"/>
            <w:vAlign w:val="center"/>
          </w:tcPr>
          <w:p w:rsidR="00E649CB" w:rsidRDefault="00460A57">
            <w:pPr>
              <w:jc w:val="right"/>
            </w:pPr>
            <w:r>
              <w:rPr>
                <w:color w:val="000000"/>
                <w:sz w:val="24"/>
                <w:szCs w:val="24"/>
              </w:rPr>
              <w:t>37,830,000.00</w:t>
            </w:r>
          </w:p>
        </w:tc>
        <w:tc>
          <w:tcPr>
            <w:tcW w:w="1644" w:type="dxa"/>
            <w:vAlign w:val="center"/>
          </w:tcPr>
          <w:p w:rsidR="00E649CB" w:rsidRDefault="00460A57">
            <w:pPr>
              <w:jc w:val="right"/>
            </w:pPr>
            <w:r>
              <w:rPr>
                <w:color w:val="000000"/>
                <w:sz w:val="24"/>
                <w:szCs w:val="24"/>
              </w:rPr>
              <w:t>3.73</w:t>
            </w:r>
          </w:p>
        </w:tc>
      </w:tr>
      <w:tr w:rsidR="00E649CB">
        <w:trPr>
          <w:jc w:val="center"/>
        </w:trPr>
        <w:tc>
          <w:tcPr>
            <w:tcW w:w="855" w:type="dxa"/>
            <w:vAlign w:val="center"/>
          </w:tcPr>
          <w:p w:rsidR="00E649CB" w:rsidRDefault="00460A57">
            <w:pPr>
              <w:jc w:val="center"/>
            </w:pPr>
            <w:r>
              <w:rPr>
                <w:color w:val="000000"/>
                <w:sz w:val="24"/>
                <w:szCs w:val="24"/>
              </w:rPr>
              <w:t>5</w:t>
            </w:r>
          </w:p>
        </w:tc>
        <w:tc>
          <w:tcPr>
            <w:tcW w:w="1334" w:type="dxa"/>
            <w:vAlign w:val="center"/>
          </w:tcPr>
          <w:p w:rsidR="00E649CB" w:rsidRDefault="00460A57">
            <w:pPr>
              <w:jc w:val="center"/>
            </w:pPr>
            <w:r>
              <w:rPr>
                <w:color w:val="000000"/>
                <w:sz w:val="24"/>
                <w:szCs w:val="24"/>
              </w:rPr>
              <w:t>000526</w:t>
            </w:r>
          </w:p>
        </w:tc>
        <w:tc>
          <w:tcPr>
            <w:tcW w:w="1777" w:type="dxa"/>
            <w:vAlign w:val="center"/>
          </w:tcPr>
          <w:p w:rsidR="00E649CB" w:rsidRDefault="00460A57">
            <w:pPr>
              <w:jc w:val="center"/>
            </w:pPr>
            <w:r>
              <w:rPr>
                <w:color w:val="000000"/>
                <w:sz w:val="24"/>
                <w:szCs w:val="24"/>
              </w:rPr>
              <w:t>紫光学大</w:t>
            </w:r>
          </w:p>
        </w:tc>
        <w:tc>
          <w:tcPr>
            <w:tcW w:w="1334" w:type="dxa"/>
            <w:vAlign w:val="center"/>
          </w:tcPr>
          <w:p w:rsidR="00E649CB" w:rsidRDefault="00460A57">
            <w:pPr>
              <w:jc w:val="right"/>
            </w:pPr>
            <w:r>
              <w:rPr>
                <w:color w:val="000000"/>
                <w:sz w:val="24"/>
                <w:szCs w:val="24"/>
              </w:rPr>
              <w:t>700,000</w:t>
            </w:r>
          </w:p>
        </w:tc>
        <w:tc>
          <w:tcPr>
            <w:tcW w:w="1924" w:type="dxa"/>
            <w:vAlign w:val="center"/>
          </w:tcPr>
          <w:p w:rsidR="00E649CB" w:rsidRDefault="00460A57">
            <w:pPr>
              <w:jc w:val="right"/>
            </w:pPr>
            <w:r>
              <w:rPr>
                <w:color w:val="000000"/>
                <w:sz w:val="24"/>
                <w:szCs w:val="24"/>
              </w:rPr>
              <w:t>36,673,000.00</w:t>
            </w:r>
          </w:p>
        </w:tc>
        <w:tc>
          <w:tcPr>
            <w:tcW w:w="1644" w:type="dxa"/>
            <w:vAlign w:val="center"/>
          </w:tcPr>
          <w:p w:rsidR="00E649CB" w:rsidRDefault="00460A57">
            <w:pPr>
              <w:jc w:val="right"/>
            </w:pPr>
            <w:r>
              <w:rPr>
                <w:color w:val="000000"/>
                <w:sz w:val="24"/>
                <w:szCs w:val="24"/>
              </w:rPr>
              <w:t>3.62</w:t>
            </w:r>
          </w:p>
        </w:tc>
      </w:tr>
      <w:tr w:rsidR="00E649CB">
        <w:trPr>
          <w:jc w:val="center"/>
        </w:trPr>
        <w:tc>
          <w:tcPr>
            <w:tcW w:w="855" w:type="dxa"/>
            <w:vAlign w:val="center"/>
          </w:tcPr>
          <w:p w:rsidR="00E649CB" w:rsidRDefault="00460A57">
            <w:pPr>
              <w:jc w:val="center"/>
            </w:pPr>
            <w:r>
              <w:rPr>
                <w:color w:val="000000"/>
                <w:sz w:val="24"/>
                <w:szCs w:val="24"/>
              </w:rPr>
              <w:t>6</w:t>
            </w:r>
          </w:p>
        </w:tc>
        <w:tc>
          <w:tcPr>
            <w:tcW w:w="1334" w:type="dxa"/>
            <w:vAlign w:val="center"/>
          </w:tcPr>
          <w:p w:rsidR="00E649CB" w:rsidRDefault="00460A57">
            <w:pPr>
              <w:jc w:val="center"/>
            </w:pPr>
            <w:r>
              <w:rPr>
                <w:color w:val="000000"/>
                <w:sz w:val="24"/>
                <w:szCs w:val="24"/>
              </w:rPr>
              <w:t>002475</w:t>
            </w:r>
          </w:p>
        </w:tc>
        <w:tc>
          <w:tcPr>
            <w:tcW w:w="1777" w:type="dxa"/>
            <w:vAlign w:val="center"/>
          </w:tcPr>
          <w:p w:rsidR="00E649CB" w:rsidRDefault="00460A57">
            <w:pPr>
              <w:jc w:val="center"/>
            </w:pPr>
            <w:r>
              <w:rPr>
                <w:color w:val="000000"/>
                <w:sz w:val="24"/>
                <w:szCs w:val="24"/>
              </w:rPr>
              <w:t>立讯精密</w:t>
            </w:r>
          </w:p>
        </w:tc>
        <w:tc>
          <w:tcPr>
            <w:tcW w:w="1334" w:type="dxa"/>
            <w:vAlign w:val="center"/>
          </w:tcPr>
          <w:p w:rsidR="00E649CB" w:rsidRDefault="00460A57">
            <w:pPr>
              <w:jc w:val="right"/>
            </w:pPr>
            <w:r>
              <w:rPr>
                <w:color w:val="000000"/>
                <w:sz w:val="24"/>
                <w:szCs w:val="24"/>
              </w:rPr>
              <w:t>649,913</w:t>
            </w:r>
          </w:p>
        </w:tc>
        <w:tc>
          <w:tcPr>
            <w:tcW w:w="1924" w:type="dxa"/>
            <w:vAlign w:val="center"/>
          </w:tcPr>
          <w:p w:rsidR="00E649CB" w:rsidRDefault="00460A57">
            <w:pPr>
              <w:jc w:val="right"/>
            </w:pPr>
            <w:r>
              <w:rPr>
                <w:color w:val="000000"/>
                <w:sz w:val="24"/>
                <w:szCs w:val="24"/>
              </w:rPr>
              <w:t>36,473,117.56</w:t>
            </w:r>
          </w:p>
        </w:tc>
        <w:tc>
          <w:tcPr>
            <w:tcW w:w="1644" w:type="dxa"/>
            <w:vAlign w:val="center"/>
          </w:tcPr>
          <w:p w:rsidR="00E649CB" w:rsidRDefault="00460A57">
            <w:pPr>
              <w:jc w:val="right"/>
            </w:pPr>
            <w:r>
              <w:rPr>
                <w:color w:val="000000"/>
                <w:sz w:val="24"/>
                <w:szCs w:val="24"/>
              </w:rPr>
              <w:t>3.60</w:t>
            </w:r>
          </w:p>
        </w:tc>
      </w:tr>
      <w:tr w:rsidR="00E649CB">
        <w:trPr>
          <w:jc w:val="center"/>
        </w:trPr>
        <w:tc>
          <w:tcPr>
            <w:tcW w:w="855" w:type="dxa"/>
            <w:vAlign w:val="center"/>
          </w:tcPr>
          <w:p w:rsidR="00E649CB" w:rsidRDefault="00460A57">
            <w:pPr>
              <w:jc w:val="center"/>
            </w:pPr>
            <w:r>
              <w:rPr>
                <w:color w:val="000000"/>
                <w:sz w:val="24"/>
                <w:szCs w:val="24"/>
              </w:rPr>
              <w:t>7</w:t>
            </w:r>
          </w:p>
        </w:tc>
        <w:tc>
          <w:tcPr>
            <w:tcW w:w="1334" w:type="dxa"/>
            <w:vAlign w:val="center"/>
          </w:tcPr>
          <w:p w:rsidR="00E649CB" w:rsidRDefault="00460A57">
            <w:pPr>
              <w:jc w:val="center"/>
            </w:pPr>
            <w:r>
              <w:rPr>
                <w:color w:val="000000"/>
                <w:sz w:val="24"/>
                <w:szCs w:val="24"/>
              </w:rPr>
              <w:t>300750</w:t>
            </w:r>
          </w:p>
        </w:tc>
        <w:tc>
          <w:tcPr>
            <w:tcW w:w="1777" w:type="dxa"/>
            <w:vAlign w:val="center"/>
          </w:tcPr>
          <w:p w:rsidR="00E649CB" w:rsidRDefault="00460A57">
            <w:pPr>
              <w:jc w:val="center"/>
            </w:pPr>
            <w:r>
              <w:rPr>
                <w:color w:val="000000"/>
                <w:sz w:val="24"/>
                <w:szCs w:val="24"/>
              </w:rPr>
              <w:t>宁德时代</w:t>
            </w:r>
          </w:p>
        </w:tc>
        <w:tc>
          <w:tcPr>
            <w:tcW w:w="1334" w:type="dxa"/>
            <w:vAlign w:val="center"/>
          </w:tcPr>
          <w:p w:rsidR="00E649CB" w:rsidRDefault="00460A57">
            <w:pPr>
              <w:jc w:val="right"/>
            </w:pPr>
            <w:r>
              <w:rPr>
                <w:color w:val="000000"/>
                <w:sz w:val="24"/>
                <w:szCs w:val="24"/>
              </w:rPr>
              <w:t>100,000</w:t>
            </w:r>
          </w:p>
        </w:tc>
        <w:tc>
          <w:tcPr>
            <w:tcW w:w="1924" w:type="dxa"/>
            <w:vAlign w:val="center"/>
          </w:tcPr>
          <w:p w:rsidR="00E649CB" w:rsidRDefault="00460A57">
            <w:pPr>
              <w:jc w:val="right"/>
            </w:pPr>
            <w:r>
              <w:rPr>
                <w:color w:val="000000"/>
                <w:sz w:val="24"/>
                <w:szCs w:val="24"/>
              </w:rPr>
              <w:t>35,111,000.00</w:t>
            </w:r>
          </w:p>
        </w:tc>
        <w:tc>
          <w:tcPr>
            <w:tcW w:w="1644" w:type="dxa"/>
            <w:vAlign w:val="center"/>
          </w:tcPr>
          <w:p w:rsidR="00E649CB" w:rsidRDefault="00460A57">
            <w:pPr>
              <w:jc w:val="right"/>
            </w:pPr>
            <w:r>
              <w:rPr>
                <w:color w:val="000000"/>
                <w:sz w:val="24"/>
                <w:szCs w:val="24"/>
              </w:rPr>
              <w:t>3.46</w:t>
            </w:r>
          </w:p>
        </w:tc>
      </w:tr>
      <w:tr w:rsidR="00E649CB">
        <w:trPr>
          <w:jc w:val="center"/>
        </w:trPr>
        <w:tc>
          <w:tcPr>
            <w:tcW w:w="855" w:type="dxa"/>
            <w:vAlign w:val="center"/>
          </w:tcPr>
          <w:p w:rsidR="00E649CB" w:rsidRDefault="00460A57">
            <w:pPr>
              <w:jc w:val="center"/>
            </w:pPr>
            <w:r>
              <w:rPr>
                <w:color w:val="000000"/>
                <w:sz w:val="24"/>
                <w:szCs w:val="24"/>
              </w:rPr>
              <w:t>8</w:t>
            </w:r>
          </w:p>
        </w:tc>
        <w:tc>
          <w:tcPr>
            <w:tcW w:w="1334" w:type="dxa"/>
            <w:vAlign w:val="center"/>
          </w:tcPr>
          <w:p w:rsidR="00E649CB" w:rsidRDefault="00460A57">
            <w:pPr>
              <w:jc w:val="center"/>
            </w:pPr>
            <w:r>
              <w:rPr>
                <w:color w:val="000000"/>
                <w:sz w:val="24"/>
                <w:szCs w:val="24"/>
              </w:rPr>
              <w:t>002216</w:t>
            </w:r>
          </w:p>
        </w:tc>
        <w:tc>
          <w:tcPr>
            <w:tcW w:w="1777" w:type="dxa"/>
            <w:vAlign w:val="center"/>
          </w:tcPr>
          <w:p w:rsidR="00E649CB" w:rsidRDefault="00460A57">
            <w:pPr>
              <w:jc w:val="center"/>
            </w:pPr>
            <w:r>
              <w:rPr>
                <w:color w:val="000000"/>
                <w:sz w:val="24"/>
                <w:szCs w:val="24"/>
              </w:rPr>
              <w:t>三全食品</w:t>
            </w:r>
          </w:p>
        </w:tc>
        <w:tc>
          <w:tcPr>
            <w:tcW w:w="1334" w:type="dxa"/>
            <w:vAlign w:val="center"/>
          </w:tcPr>
          <w:p w:rsidR="00E649CB" w:rsidRDefault="00460A57">
            <w:pPr>
              <w:jc w:val="right"/>
            </w:pPr>
            <w:r>
              <w:rPr>
                <w:color w:val="000000"/>
                <w:sz w:val="24"/>
                <w:szCs w:val="24"/>
              </w:rPr>
              <w:t>1,300,000</w:t>
            </w:r>
          </w:p>
        </w:tc>
        <w:tc>
          <w:tcPr>
            <w:tcW w:w="1924" w:type="dxa"/>
            <w:vAlign w:val="center"/>
          </w:tcPr>
          <w:p w:rsidR="00E649CB" w:rsidRDefault="00460A57">
            <w:pPr>
              <w:jc w:val="right"/>
            </w:pPr>
            <w:r>
              <w:rPr>
                <w:color w:val="000000"/>
                <w:sz w:val="24"/>
                <w:szCs w:val="24"/>
              </w:rPr>
              <w:t>33,735,000.00</w:t>
            </w:r>
          </w:p>
        </w:tc>
        <w:tc>
          <w:tcPr>
            <w:tcW w:w="1644" w:type="dxa"/>
            <w:vAlign w:val="center"/>
          </w:tcPr>
          <w:p w:rsidR="00E649CB" w:rsidRDefault="00460A57">
            <w:pPr>
              <w:jc w:val="right"/>
            </w:pPr>
            <w:r>
              <w:rPr>
                <w:color w:val="000000"/>
                <w:sz w:val="24"/>
                <w:szCs w:val="24"/>
              </w:rPr>
              <w:t>3.33</w:t>
            </w:r>
          </w:p>
        </w:tc>
      </w:tr>
      <w:tr w:rsidR="00E649CB">
        <w:trPr>
          <w:jc w:val="center"/>
        </w:trPr>
        <w:tc>
          <w:tcPr>
            <w:tcW w:w="855" w:type="dxa"/>
            <w:vAlign w:val="center"/>
          </w:tcPr>
          <w:p w:rsidR="00E649CB" w:rsidRDefault="00460A57">
            <w:pPr>
              <w:jc w:val="center"/>
            </w:pPr>
            <w:r>
              <w:rPr>
                <w:color w:val="000000"/>
                <w:sz w:val="24"/>
                <w:szCs w:val="24"/>
              </w:rPr>
              <w:t>9</w:t>
            </w:r>
          </w:p>
        </w:tc>
        <w:tc>
          <w:tcPr>
            <w:tcW w:w="1334" w:type="dxa"/>
            <w:vAlign w:val="center"/>
          </w:tcPr>
          <w:p w:rsidR="00E649CB" w:rsidRDefault="00460A57">
            <w:pPr>
              <w:jc w:val="center"/>
            </w:pPr>
            <w:r>
              <w:rPr>
                <w:color w:val="000000"/>
                <w:sz w:val="24"/>
                <w:szCs w:val="24"/>
              </w:rPr>
              <w:t>601012</w:t>
            </w:r>
          </w:p>
        </w:tc>
        <w:tc>
          <w:tcPr>
            <w:tcW w:w="1777" w:type="dxa"/>
            <w:vAlign w:val="center"/>
          </w:tcPr>
          <w:p w:rsidR="00E649CB" w:rsidRDefault="00460A57">
            <w:pPr>
              <w:jc w:val="center"/>
            </w:pPr>
            <w:r>
              <w:rPr>
                <w:color w:val="000000"/>
                <w:sz w:val="24"/>
                <w:szCs w:val="24"/>
              </w:rPr>
              <w:t>隆基股份</w:t>
            </w:r>
          </w:p>
        </w:tc>
        <w:tc>
          <w:tcPr>
            <w:tcW w:w="1334" w:type="dxa"/>
            <w:vAlign w:val="center"/>
          </w:tcPr>
          <w:p w:rsidR="00E649CB" w:rsidRDefault="00460A57">
            <w:pPr>
              <w:jc w:val="right"/>
            </w:pPr>
            <w:r>
              <w:rPr>
                <w:color w:val="000000"/>
                <w:sz w:val="24"/>
                <w:szCs w:val="24"/>
              </w:rPr>
              <w:t>350,000</w:t>
            </w:r>
          </w:p>
        </w:tc>
        <w:tc>
          <w:tcPr>
            <w:tcW w:w="1924" w:type="dxa"/>
            <w:vAlign w:val="center"/>
          </w:tcPr>
          <w:p w:rsidR="00E649CB" w:rsidRDefault="00460A57">
            <w:pPr>
              <w:jc w:val="right"/>
            </w:pPr>
            <w:r>
              <w:rPr>
                <w:color w:val="000000"/>
                <w:sz w:val="24"/>
                <w:szCs w:val="24"/>
              </w:rPr>
              <w:t>32,270,000.00</w:t>
            </w:r>
          </w:p>
        </w:tc>
        <w:tc>
          <w:tcPr>
            <w:tcW w:w="1644" w:type="dxa"/>
            <w:vAlign w:val="center"/>
          </w:tcPr>
          <w:p w:rsidR="00E649CB" w:rsidRDefault="00460A57">
            <w:pPr>
              <w:jc w:val="right"/>
            </w:pPr>
            <w:r>
              <w:rPr>
                <w:color w:val="000000"/>
                <w:sz w:val="24"/>
                <w:szCs w:val="24"/>
              </w:rPr>
              <w:t>3.18</w:t>
            </w:r>
          </w:p>
        </w:tc>
      </w:tr>
      <w:tr w:rsidR="00E649CB">
        <w:trPr>
          <w:jc w:val="center"/>
        </w:trPr>
        <w:tc>
          <w:tcPr>
            <w:tcW w:w="855" w:type="dxa"/>
            <w:vAlign w:val="center"/>
          </w:tcPr>
          <w:p w:rsidR="00E649CB" w:rsidRDefault="00460A57">
            <w:pPr>
              <w:jc w:val="center"/>
            </w:pPr>
            <w:r>
              <w:rPr>
                <w:color w:val="000000"/>
                <w:sz w:val="24"/>
                <w:szCs w:val="24"/>
              </w:rPr>
              <w:t>10</w:t>
            </w:r>
          </w:p>
        </w:tc>
        <w:tc>
          <w:tcPr>
            <w:tcW w:w="1334" w:type="dxa"/>
            <w:vAlign w:val="center"/>
          </w:tcPr>
          <w:p w:rsidR="00E649CB" w:rsidRDefault="00460A57">
            <w:pPr>
              <w:jc w:val="center"/>
            </w:pPr>
            <w:r>
              <w:rPr>
                <w:color w:val="000000"/>
                <w:sz w:val="24"/>
                <w:szCs w:val="24"/>
              </w:rPr>
              <w:t>002607</w:t>
            </w:r>
          </w:p>
        </w:tc>
        <w:tc>
          <w:tcPr>
            <w:tcW w:w="1777" w:type="dxa"/>
            <w:vAlign w:val="center"/>
          </w:tcPr>
          <w:p w:rsidR="00E649CB" w:rsidRDefault="00460A57">
            <w:pPr>
              <w:jc w:val="center"/>
            </w:pPr>
            <w:r>
              <w:rPr>
                <w:color w:val="000000"/>
                <w:sz w:val="24"/>
                <w:szCs w:val="24"/>
              </w:rPr>
              <w:t>中公教育</w:t>
            </w:r>
          </w:p>
        </w:tc>
        <w:tc>
          <w:tcPr>
            <w:tcW w:w="1334" w:type="dxa"/>
            <w:vAlign w:val="center"/>
          </w:tcPr>
          <w:p w:rsidR="00E649CB" w:rsidRDefault="00460A57">
            <w:pPr>
              <w:jc w:val="right"/>
            </w:pPr>
            <w:r>
              <w:rPr>
                <w:color w:val="000000"/>
                <w:sz w:val="24"/>
                <w:szCs w:val="24"/>
              </w:rPr>
              <w:t>900,000</w:t>
            </w:r>
          </w:p>
        </w:tc>
        <w:tc>
          <w:tcPr>
            <w:tcW w:w="1924" w:type="dxa"/>
            <w:vAlign w:val="center"/>
          </w:tcPr>
          <w:p w:rsidR="00E649CB" w:rsidRDefault="00460A57">
            <w:pPr>
              <w:jc w:val="right"/>
            </w:pPr>
            <w:r>
              <w:rPr>
                <w:color w:val="000000"/>
                <w:sz w:val="24"/>
                <w:szCs w:val="24"/>
              </w:rPr>
              <w:t>31,617,000.00</w:t>
            </w:r>
          </w:p>
        </w:tc>
        <w:tc>
          <w:tcPr>
            <w:tcW w:w="1644" w:type="dxa"/>
            <w:vAlign w:val="center"/>
          </w:tcPr>
          <w:p w:rsidR="00E649CB" w:rsidRDefault="00460A57">
            <w:pPr>
              <w:jc w:val="right"/>
            </w:pPr>
            <w:r>
              <w:rPr>
                <w:color w:val="000000"/>
                <w:sz w:val="24"/>
                <w:szCs w:val="24"/>
              </w:rPr>
              <w:t>3.12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518,084.28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9,896.20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12,878.07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305,585.92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846,444.47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469,585,985.83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83,597,201.32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139,823,393.66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413,359,793.49</w:t>
            </w:r>
          </w:p>
        </w:tc>
      </w:tr>
    </w:tbl>
    <w:p w:rsidR="00E649CB" w:rsidRDefault="00460A5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649CB" w:rsidRDefault="00460A5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、中国证监会准予交银施罗德创新成长混合型证券投资基金募集注册的文件；</w:t>
      </w:r>
      <w:r>
        <w:rPr>
          <w:color w:val="000000"/>
          <w:sz w:val="24"/>
          <w:szCs w:val="24"/>
        </w:rPr>
        <w:t xml:space="preserve"> </w:t>
      </w:r>
    </w:p>
    <w:p w:rsidR="00E649CB" w:rsidRDefault="00460A5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、《交银施罗德创新成长混合型证券投资基金基金合同》；</w:t>
      </w:r>
      <w:r>
        <w:rPr>
          <w:color w:val="000000"/>
          <w:sz w:val="24"/>
          <w:szCs w:val="24"/>
        </w:rPr>
        <w:t xml:space="preserve"> </w:t>
      </w:r>
    </w:p>
    <w:p w:rsidR="00E649CB" w:rsidRDefault="00460A5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、《交银施罗德创新成长混合型证券投资基金招募说明书》；</w:t>
      </w:r>
      <w:r>
        <w:rPr>
          <w:color w:val="000000"/>
          <w:sz w:val="24"/>
          <w:szCs w:val="24"/>
        </w:rPr>
        <w:t xml:space="preserve"> </w:t>
      </w:r>
    </w:p>
    <w:p w:rsidR="00E649CB" w:rsidRDefault="00460A5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、《交银施罗德创新成长混合型证券投资基金托管协议》；</w:t>
      </w:r>
      <w:r>
        <w:rPr>
          <w:color w:val="000000"/>
          <w:sz w:val="24"/>
          <w:szCs w:val="24"/>
        </w:rPr>
        <w:t xml:space="preserve"> </w:t>
      </w:r>
    </w:p>
    <w:p w:rsidR="00E649CB" w:rsidRDefault="00460A5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、关于申请募集注册交银施罗德创新成长混合型证券投资基金的法律意见书；</w:t>
      </w:r>
      <w:r>
        <w:rPr>
          <w:color w:val="000000"/>
          <w:sz w:val="24"/>
          <w:szCs w:val="24"/>
        </w:rPr>
        <w:t xml:space="preserve"> </w:t>
      </w:r>
    </w:p>
    <w:p w:rsidR="00E649CB" w:rsidRDefault="00460A5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E649CB" w:rsidRDefault="00460A5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、报告期内交银施罗德创新成长混合型证券投资基金在指定报刊上各项公告的原稿。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649CB" w:rsidRDefault="00460A5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A57" w:rsidRDefault="00460A57" w:rsidP="00876D65">
      <w:r>
        <w:separator/>
      </w:r>
    </w:p>
  </w:endnote>
  <w:endnote w:type="continuationSeparator" w:id="0">
    <w:p w:rsidR="00460A57" w:rsidRDefault="00460A5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770B15">
      <w:rPr>
        <w:noProof/>
        <w:kern w:val="0"/>
        <w:szCs w:val="21"/>
      </w:rPr>
      <w:t>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770B15">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A57" w:rsidRDefault="00460A57" w:rsidP="00876D65">
      <w:r>
        <w:separator/>
      </w:r>
    </w:p>
  </w:footnote>
  <w:footnote w:type="continuationSeparator" w:id="0">
    <w:p w:rsidR="00460A57" w:rsidRDefault="00460A5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交银施罗德创新成长混合型证券投资基金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0A57"/>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0B15"/>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649CB"/>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01152-9126-4D65-B65F-746203BB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11</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601</cp:revision>
  <dcterms:created xsi:type="dcterms:W3CDTF">2012-10-16T06:07:00Z</dcterms:created>
  <dcterms:modified xsi:type="dcterms:W3CDTF">2021-01-18T09:02:00Z</dcterms:modified>
</cp:coreProperties>
</file>