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2279D3" w:rsidRPr="0081286B" w:rsidRDefault="002279D3" w:rsidP="00C15CAC">
      <w:pPr>
        <w:spacing w:before="29" w:line="288" w:lineRule="auto"/>
        <w:jc w:val="center"/>
        <w:rPr>
          <w:b/>
          <w:sz w:val="36"/>
          <w:szCs w:val="36"/>
        </w:rPr>
      </w:pPr>
      <w:r w:rsidRPr="0081286B">
        <w:rPr>
          <w:b/>
          <w:sz w:val="36"/>
          <w:szCs w:val="36"/>
        </w:rPr>
        <w:t>交银施罗德精选混合型证券投资基金</w:t>
      </w:r>
    </w:p>
    <w:p w:rsidR="002279D3" w:rsidRPr="0081286B" w:rsidRDefault="002279D3" w:rsidP="00C15CAC">
      <w:pPr>
        <w:spacing w:before="29" w:line="288" w:lineRule="auto"/>
        <w:jc w:val="center"/>
        <w:rPr>
          <w:b/>
          <w:sz w:val="36"/>
          <w:szCs w:val="36"/>
        </w:rPr>
      </w:pPr>
      <w:r w:rsidRPr="0081286B">
        <w:rPr>
          <w:b/>
          <w:sz w:val="36"/>
          <w:szCs w:val="36"/>
        </w:rPr>
        <w:t>2020</w:t>
      </w:r>
      <w:r w:rsidRPr="0081286B">
        <w:rPr>
          <w:b/>
          <w:sz w:val="36"/>
          <w:szCs w:val="36"/>
        </w:rPr>
        <w:t>年第</w:t>
      </w:r>
      <w:r w:rsidRPr="0081286B">
        <w:rPr>
          <w:b/>
          <w:sz w:val="36"/>
          <w:szCs w:val="36"/>
        </w:rPr>
        <w:t>4</w:t>
      </w:r>
      <w:r w:rsidRPr="0081286B">
        <w:rPr>
          <w:b/>
          <w:sz w:val="36"/>
          <w:szCs w:val="36"/>
        </w:rPr>
        <w:t>季度报告</w:t>
      </w:r>
    </w:p>
    <w:p w:rsidR="004061AC" w:rsidRPr="0081286B" w:rsidRDefault="00655CD8" w:rsidP="00C15CAC">
      <w:pPr>
        <w:spacing w:before="29" w:line="288" w:lineRule="auto"/>
        <w:jc w:val="center"/>
        <w:rPr>
          <w:b/>
          <w:sz w:val="36"/>
          <w:szCs w:val="36"/>
        </w:rPr>
      </w:pPr>
      <w:r w:rsidRPr="0081286B">
        <w:rPr>
          <w:b/>
          <w:sz w:val="36"/>
          <w:szCs w:val="36"/>
        </w:rPr>
        <w:t>2020</w:t>
      </w:r>
      <w:r w:rsidRPr="0081286B">
        <w:rPr>
          <w:b/>
          <w:sz w:val="36"/>
          <w:szCs w:val="36"/>
        </w:rPr>
        <w:t>年</w:t>
      </w:r>
      <w:r w:rsidRPr="0081286B">
        <w:rPr>
          <w:b/>
          <w:sz w:val="36"/>
          <w:szCs w:val="36"/>
        </w:rPr>
        <w:t>12</w:t>
      </w:r>
      <w:r w:rsidRPr="0081286B">
        <w:rPr>
          <w:b/>
          <w:sz w:val="36"/>
          <w:szCs w:val="36"/>
        </w:rPr>
        <w:t>月</w:t>
      </w:r>
      <w:r w:rsidRPr="0081286B">
        <w:rPr>
          <w:b/>
          <w:sz w:val="36"/>
          <w:szCs w:val="36"/>
        </w:rPr>
        <w:t>31</w:t>
      </w:r>
      <w:r w:rsidRPr="0081286B">
        <w:rPr>
          <w:b/>
          <w:sz w:val="36"/>
          <w:szCs w:val="36"/>
        </w:rPr>
        <w:t>日</w:t>
      </w: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基金管理人：交银施罗德基金管理有限公司</w:t>
      </w: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基金托管人：中国农业银行股份有限公司</w:t>
      </w:r>
    </w:p>
    <w:p w:rsidR="004061AC" w:rsidRPr="0081286B" w:rsidRDefault="004061AC" w:rsidP="00C15CAC">
      <w:pPr>
        <w:spacing w:before="29" w:line="288" w:lineRule="auto"/>
        <w:ind w:firstLineChars="900" w:firstLine="2168"/>
        <w:rPr>
          <w:b/>
          <w:color w:val="000000"/>
          <w:sz w:val="24"/>
          <w:szCs w:val="24"/>
        </w:rPr>
        <w:sectPr w:rsidR="004061AC" w:rsidRPr="0081286B" w:rsidSect="00DC456F">
          <w:headerReference w:type="even" r:id="rId8"/>
          <w:headerReference w:type="default" r:id="rId9"/>
          <w:footerReference w:type="even" r:id="rId10"/>
          <w:footerReference w:type="default" r:id="rId11"/>
          <w:headerReference w:type="first" r:id="rId12"/>
          <w:footerReference w:type="first" r:id="rId13"/>
          <w:pgSz w:w="11926" w:h="15840"/>
          <w:pgMar w:top="1418" w:right="1440" w:bottom="851" w:left="1440" w:header="851" w:footer="992" w:gutter="0"/>
          <w:cols w:space="720"/>
          <w:noEndnote/>
          <w:titlePg/>
          <w:docGrid w:linePitch="286"/>
        </w:sectPr>
      </w:pPr>
      <w:r w:rsidRPr="0081286B">
        <w:rPr>
          <w:b/>
          <w:color w:val="000000"/>
          <w:sz w:val="24"/>
          <w:szCs w:val="24"/>
        </w:rPr>
        <w:t>报告送出日期：</w:t>
      </w:r>
      <w:r w:rsidR="00F16E3F" w:rsidRPr="0081286B">
        <w:rPr>
          <w:b/>
          <w:color w:val="000000"/>
          <w:sz w:val="24"/>
          <w:szCs w:val="24"/>
        </w:rPr>
        <w:t>二〇二一年一月二十一日</w:t>
      </w:r>
    </w:p>
    <w:p w:rsidR="004061AC" w:rsidRPr="00414345" w:rsidRDefault="004061AC" w:rsidP="0011537B">
      <w:pPr>
        <w:pStyle w:val="1"/>
        <w:spacing w:beforeLines="100" w:before="312" w:afterLines="100" w:after="312" w:line="288" w:lineRule="auto"/>
        <w:jc w:val="center"/>
        <w:rPr>
          <w:b w:val="0"/>
          <w:bCs w:val="0"/>
          <w:color w:val="000000"/>
          <w:kern w:val="0"/>
          <w:sz w:val="24"/>
          <w:szCs w:val="24"/>
        </w:rPr>
      </w:pPr>
      <w:r w:rsidRPr="00414345">
        <w:rPr>
          <w:color w:val="000000"/>
          <w:kern w:val="0"/>
          <w:sz w:val="24"/>
          <w:szCs w:val="24"/>
        </w:rPr>
        <w:lastRenderedPageBreak/>
        <w:t xml:space="preserve">§1  </w:t>
      </w:r>
      <w:r w:rsidRPr="00414345">
        <w:rPr>
          <w:color w:val="000000"/>
          <w:kern w:val="0"/>
          <w:sz w:val="24"/>
          <w:szCs w:val="24"/>
        </w:rPr>
        <w:t>重要提示</w:t>
      </w:r>
    </w:p>
    <w:p w:rsidR="002D048A" w:rsidRDefault="00737578">
      <w:pPr>
        <w:spacing w:before="29" w:line="288" w:lineRule="auto"/>
        <w:ind w:firstLineChars="200" w:firstLine="480"/>
        <w:rPr>
          <w:color w:val="000000"/>
          <w:sz w:val="24"/>
          <w:szCs w:val="24"/>
        </w:rPr>
      </w:pPr>
      <w:r>
        <w:rPr>
          <w:color w:val="000000"/>
          <w:sz w:val="24"/>
          <w:szCs w:val="24"/>
        </w:rPr>
        <w:t>基金管理人的董事会及董事保证本报告所载资料不存在虚假记载、误导性陈述或重大遗漏，并对其内容的真实性、准确性和完整性承担个别及连带责任。</w:t>
      </w:r>
      <w:r>
        <w:rPr>
          <w:color w:val="000000"/>
          <w:sz w:val="24"/>
          <w:szCs w:val="24"/>
        </w:rPr>
        <w:t xml:space="preserve"> </w:t>
      </w:r>
    </w:p>
    <w:p w:rsidR="002D048A" w:rsidRDefault="00737578">
      <w:pPr>
        <w:spacing w:before="29" w:line="288" w:lineRule="auto"/>
        <w:ind w:firstLineChars="200" w:firstLine="480"/>
        <w:rPr>
          <w:color w:val="000000"/>
          <w:sz w:val="24"/>
          <w:szCs w:val="24"/>
        </w:rPr>
      </w:pPr>
      <w:r>
        <w:rPr>
          <w:color w:val="000000"/>
          <w:sz w:val="24"/>
          <w:szCs w:val="24"/>
        </w:rPr>
        <w:t>基金托管人中国农业银行股份有限公司根据本基金合同规定，于</w:t>
      </w:r>
      <w:r>
        <w:rPr>
          <w:color w:val="000000"/>
          <w:sz w:val="24"/>
          <w:szCs w:val="24"/>
        </w:rPr>
        <w:t>2021</w:t>
      </w:r>
      <w:r>
        <w:rPr>
          <w:color w:val="000000"/>
          <w:sz w:val="24"/>
          <w:szCs w:val="24"/>
        </w:rPr>
        <w:t>年</w:t>
      </w:r>
      <w:r>
        <w:rPr>
          <w:color w:val="000000"/>
          <w:sz w:val="24"/>
          <w:szCs w:val="24"/>
        </w:rPr>
        <w:t>1</w:t>
      </w:r>
      <w:r>
        <w:rPr>
          <w:color w:val="000000"/>
          <w:sz w:val="24"/>
          <w:szCs w:val="24"/>
        </w:rPr>
        <w:t>月</w:t>
      </w:r>
      <w:r>
        <w:rPr>
          <w:color w:val="000000"/>
          <w:sz w:val="24"/>
          <w:szCs w:val="24"/>
        </w:rPr>
        <w:t>20</w:t>
      </w:r>
      <w:r>
        <w:rPr>
          <w:color w:val="000000"/>
          <w:sz w:val="24"/>
          <w:szCs w:val="24"/>
        </w:rPr>
        <w:t>日复核了本报告中的财务指标、净值表现和投资组合报告等内容，保证复核内容不存在虚假记载、误导性陈述或者重大遗漏。</w:t>
      </w:r>
      <w:r>
        <w:rPr>
          <w:color w:val="000000"/>
          <w:sz w:val="24"/>
          <w:szCs w:val="24"/>
        </w:rPr>
        <w:t xml:space="preserve"> </w:t>
      </w:r>
    </w:p>
    <w:p w:rsidR="002D048A" w:rsidRDefault="00737578">
      <w:pPr>
        <w:spacing w:before="29" w:line="288" w:lineRule="auto"/>
        <w:ind w:firstLineChars="200" w:firstLine="480"/>
        <w:rPr>
          <w:color w:val="000000"/>
          <w:sz w:val="24"/>
          <w:szCs w:val="24"/>
        </w:rPr>
      </w:pPr>
      <w:r>
        <w:rPr>
          <w:color w:val="000000"/>
          <w:sz w:val="24"/>
          <w:szCs w:val="24"/>
        </w:rPr>
        <w:t>基金管理人承诺以诚实信用、勤勉尽责的原则管理和运用基金资产，但不保证基金一定盈利。</w:t>
      </w:r>
      <w:r>
        <w:rPr>
          <w:color w:val="000000"/>
          <w:sz w:val="24"/>
          <w:szCs w:val="24"/>
        </w:rPr>
        <w:t xml:space="preserve"> </w:t>
      </w:r>
    </w:p>
    <w:p w:rsidR="002D048A" w:rsidRDefault="00737578">
      <w:pPr>
        <w:spacing w:before="29" w:line="288" w:lineRule="auto"/>
        <w:ind w:firstLineChars="200" w:firstLine="480"/>
        <w:rPr>
          <w:color w:val="000000"/>
          <w:sz w:val="24"/>
          <w:szCs w:val="24"/>
        </w:rPr>
      </w:pPr>
      <w:r>
        <w:rPr>
          <w:color w:val="000000"/>
          <w:sz w:val="24"/>
          <w:szCs w:val="24"/>
        </w:rPr>
        <w:t>基金的过往业绩并不代表其未来表现。投资有风险</w:t>
      </w:r>
      <w:r>
        <w:rPr>
          <w:color w:val="000000"/>
          <w:sz w:val="24"/>
          <w:szCs w:val="24"/>
        </w:rPr>
        <w:t>，投资者在作出投资决策前应仔细阅读本基金的招募说明书。</w:t>
      </w:r>
      <w:r>
        <w:rPr>
          <w:color w:val="000000"/>
          <w:sz w:val="24"/>
          <w:szCs w:val="24"/>
        </w:rPr>
        <w:t xml:space="preserve"> </w:t>
      </w:r>
    </w:p>
    <w:p w:rsidR="002D048A" w:rsidRDefault="00737578">
      <w:pPr>
        <w:spacing w:before="29" w:line="288" w:lineRule="auto"/>
        <w:ind w:firstLineChars="200" w:firstLine="480"/>
        <w:rPr>
          <w:color w:val="000000"/>
          <w:sz w:val="24"/>
          <w:szCs w:val="24"/>
        </w:rPr>
      </w:pPr>
      <w:r>
        <w:rPr>
          <w:color w:val="000000"/>
          <w:sz w:val="24"/>
          <w:szCs w:val="24"/>
        </w:rPr>
        <w:t>本报告中财务资料未经审计。</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本报告期自</w:t>
      </w:r>
      <w:r w:rsidRPr="00414345">
        <w:rPr>
          <w:color w:val="000000"/>
          <w:sz w:val="24"/>
          <w:szCs w:val="24"/>
        </w:rPr>
        <w:t>2020</w:t>
      </w:r>
      <w:r w:rsidRPr="00414345">
        <w:rPr>
          <w:color w:val="000000"/>
          <w:sz w:val="24"/>
          <w:szCs w:val="24"/>
        </w:rPr>
        <w:t>年</w:t>
      </w:r>
      <w:r w:rsidRPr="00414345">
        <w:rPr>
          <w:color w:val="000000"/>
          <w:sz w:val="24"/>
          <w:szCs w:val="24"/>
        </w:rPr>
        <w:t>10</w:t>
      </w:r>
      <w:r w:rsidRPr="00414345">
        <w:rPr>
          <w:color w:val="000000"/>
          <w:sz w:val="24"/>
          <w:szCs w:val="24"/>
        </w:rPr>
        <w:t>月</w:t>
      </w:r>
      <w:r w:rsidRPr="00414345">
        <w:rPr>
          <w:color w:val="000000"/>
          <w:sz w:val="24"/>
          <w:szCs w:val="24"/>
        </w:rPr>
        <w:t>1</w:t>
      </w:r>
      <w:r w:rsidRPr="00414345">
        <w:rPr>
          <w:color w:val="000000"/>
          <w:sz w:val="24"/>
          <w:szCs w:val="24"/>
        </w:rPr>
        <w:t>日起至</w:t>
      </w:r>
      <w:r w:rsidRPr="00414345">
        <w:rPr>
          <w:color w:val="000000"/>
          <w:sz w:val="24"/>
          <w:szCs w:val="24"/>
        </w:rPr>
        <w:t>12</w:t>
      </w:r>
      <w:r w:rsidRPr="00414345">
        <w:rPr>
          <w:color w:val="000000"/>
          <w:sz w:val="24"/>
          <w:szCs w:val="24"/>
        </w:rPr>
        <w:t>月</w:t>
      </w:r>
      <w:r w:rsidRPr="00414345">
        <w:rPr>
          <w:color w:val="000000"/>
          <w:sz w:val="24"/>
          <w:szCs w:val="24"/>
        </w:rPr>
        <w:t>31</w:t>
      </w:r>
      <w:r w:rsidRPr="00414345">
        <w:rPr>
          <w:color w:val="000000"/>
          <w:sz w:val="24"/>
          <w:szCs w:val="24"/>
        </w:rPr>
        <w:t>日止。</w:t>
      </w:r>
    </w:p>
    <w:p w:rsidR="00627E2D" w:rsidRPr="00414345" w:rsidRDefault="00627E2D" w:rsidP="00C15CAC">
      <w:pPr>
        <w:spacing w:before="29" w:line="288" w:lineRule="auto"/>
        <w:ind w:firstLineChars="200" w:firstLine="480"/>
        <w:rPr>
          <w:color w:val="000000"/>
          <w:sz w:val="24"/>
          <w:szCs w:val="24"/>
        </w:rPr>
      </w:pP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§2  </w:t>
      </w:r>
      <w:r w:rsidRPr="00414345">
        <w:rPr>
          <w:color w:val="000000"/>
          <w:kern w:val="0"/>
          <w:sz w:val="24"/>
          <w:szCs w:val="24"/>
        </w:rPr>
        <w:t>基金产品概况</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2922"/>
        <w:gridCol w:w="2923"/>
      </w:tblGrid>
      <w:tr w:rsidR="004061AC" w:rsidRPr="00414345" w:rsidTr="006E6726">
        <w:trPr>
          <w:jc w:val="center"/>
        </w:trPr>
        <w:tc>
          <w:tcPr>
            <w:tcW w:w="3023" w:type="dxa"/>
            <w:vAlign w:val="center"/>
          </w:tcPr>
          <w:p w:rsidR="004061AC" w:rsidRPr="00414345" w:rsidRDefault="004061AC" w:rsidP="00C15CAC">
            <w:pPr>
              <w:adjustRightInd w:val="0"/>
              <w:spacing w:before="29" w:line="288" w:lineRule="auto"/>
              <w:ind w:left="17"/>
              <w:jc w:val="left"/>
              <w:rPr>
                <w:kern w:val="0"/>
                <w:sz w:val="24"/>
                <w:szCs w:val="24"/>
              </w:rPr>
            </w:pPr>
            <w:r w:rsidRPr="00414345">
              <w:rPr>
                <w:kern w:val="0"/>
                <w:sz w:val="24"/>
                <w:szCs w:val="24"/>
              </w:rPr>
              <w:t>基金简称</w:t>
            </w:r>
          </w:p>
        </w:tc>
        <w:tc>
          <w:tcPr>
            <w:tcW w:w="5845" w:type="dxa"/>
            <w:gridSpan w:val="2"/>
            <w:vAlign w:val="center"/>
          </w:tcPr>
          <w:p w:rsidR="004061AC" w:rsidRPr="00414345" w:rsidRDefault="004061AC" w:rsidP="00C15CAC">
            <w:pPr>
              <w:adjustRightInd w:val="0"/>
              <w:spacing w:before="29" w:line="288" w:lineRule="auto"/>
              <w:ind w:left="17"/>
              <w:jc w:val="left"/>
              <w:rPr>
                <w:color w:val="000000"/>
                <w:kern w:val="0"/>
                <w:sz w:val="24"/>
                <w:szCs w:val="24"/>
              </w:rPr>
            </w:pPr>
            <w:r w:rsidRPr="00414345">
              <w:rPr>
                <w:color w:val="000000"/>
                <w:kern w:val="0"/>
                <w:sz w:val="24"/>
                <w:szCs w:val="24"/>
              </w:rPr>
              <w:t>交银精选混合</w:t>
            </w:r>
          </w:p>
        </w:tc>
      </w:tr>
      <w:tr w:rsidR="00D94B8D"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kern w:val="0"/>
                <w:sz w:val="24"/>
                <w:szCs w:val="24"/>
              </w:rPr>
            </w:pPr>
            <w:r w:rsidRPr="00414345">
              <w:rPr>
                <w:kern w:val="0"/>
                <w:sz w:val="24"/>
                <w:szCs w:val="24"/>
              </w:rPr>
              <w:t>基金主代码</w:t>
            </w:r>
          </w:p>
        </w:tc>
        <w:tc>
          <w:tcPr>
            <w:tcW w:w="5845" w:type="dxa"/>
            <w:gridSpan w:val="2"/>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color w:val="000000"/>
                <w:kern w:val="0"/>
                <w:sz w:val="24"/>
                <w:szCs w:val="24"/>
              </w:rPr>
            </w:pPr>
            <w:r w:rsidRPr="00414345">
              <w:rPr>
                <w:color w:val="000000"/>
                <w:kern w:val="0"/>
                <w:sz w:val="24"/>
                <w:szCs w:val="24"/>
              </w:rPr>
              <w:t>519688</w:t>
            </w:r>
          </w:p>
        </w:tc>
      </w:tr>
      <w:tr w:rsidR="001B2F35"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hideMark/>
          </w:tcPr>
          <w:p w:rsidR="001B2F35" w:rsidRPr="00414345" w:rsidRDefault="001B2F35" w:rsidP="00C15CAC">
            <w:pPr>
              <w:adjustRightInd w:val="0"/>
              <w:spacing w:before="29" w:line="288" w:lineRule="auto"/>
              <w:ind w:left="17"/>
              <w:jc w:val="left"/>
              <w:rPr>
                <w:kern w:val="0"/>
                <w:sz w:val="24"/>
                <w:szCs w:val="24"/>
              </w:rPr>
            </w:pPr>
            <w:r w:rsidRPr="00414345">
              <w:rPr>
                <w:kern w:val="0"/>
                <w:sz w:val="24"/>
                <w:szCs w:val="24"/>
              </w:rPr>
              <w:t>交易代码</w:t>
            </w:r>
          </w:p>
        </w:tc>
        <w:tc>
          <w:tcPr>
            <w:tcW w:w="2922" w:type="dxa"/>
            <w:tcBorders>
              <w:top w:val="single" w:sz="4" w:space="0" w:color="auto"/>
              <w:left w:val="single" w:sz="4" w:space="0" w:color="auto"/>
              <w:bottom w:val="single" w:sz="4" w:space="0" w:color="auto"/>
              <w:right w:val="single" w:sz="4" w:space="0" w:color="auto"/>
            </w:tcBorders>
            <w:vAlign w:val="center"/>
            <w:hideMark/>
          </w:tcPr>
          <w:p w:rsidR="001B2F35" w:rsidRPr="00414345" w:rsidRDefault="001B2F35" w:rsidP="00C15CAC">
            <w:pPr>
              <w:adjustRightInd w:val="0"/>
              <w:spacing w:before="29" w:line="288" w:lineRule="auto"/>
              <w:ind w:left="17"/>
              <w:jc w:val="left"/>
              <w:rPr>
                <w:color w:val="000000"/>
                <w:kern w:val="0"/>
                <w:sz w:val="24"/>
                <w:szCs w:val="24"/>
              </w:rPr>
            </w:pPr>
            <w:r w:rsidRPr="00414345">
              <w:rPr>
                <w:color w:val="000000"/>
                <w:kern w:val="0"/>
                <w:sz w:val="24"/>
                <w:szCs w:val="24"/>
              </w:rPr>
              <w:t>519688</w:t>
            </w:r>
            <w:r w:rsidR="004216D2" w:rsidRPr="00414345">
              <w:rPr>
                <w:color w:val="000000"/>
                <w:kern w:val="0"/>
                <w:sz w:val="24"/>
              </w:rPr>
              <w:t>(</w:t>
            </w:r>
            <w:r w:rsidR="004216D2" w:rsidRPr="00414345">
              <w:rPr>
                <w:color w:val="000000"/>
                <w:kern w:val="0"/>
                <w:sz w:val="24"/>
              </w:rPr>
              <w:t>前端</w:t>
            </w:r>
            <w:r w:rsidR="004216D2" w:rsidRPr="00414345">
              <w:rPr>
                <w:color w:val="000000"/>
                <w:kern w:val="0"/>
                <w:sz w:val="24"/>
              </w:rPr>
              <w:t>)</w:t>
            </w:r>
          </w:p>
        </w:tc>
        <w:tc>
          <w:tcPr>
            <w:tcW w:w="2923" w:type="dxa"/>
            <w:tcBorders>
              <w:top w:val="single" w:sz="4" w:space="0" w:color="auto"/>
              <w:left w:val="single" w:sz="4" w:space="0" w:color="auto"/>
              <w:bottom w:val="single" w:sz="4" w:space="0" w:color="auto"/>
              <w:right w:val="single" w:sz="4" w:space="0" w:color="auto"/>
            </w:tcBorders>
            <w:vAlign w:val="center"/>
            <w:hideMark/>
          </w:tcPr>
          <w:p w:rsidR="001B2F35" w:rsidRPr="00414345" w:rsidRDefault="001B2F35" w:rsidP="00C15CAC">
            <w:pPr>
              <w:adjustRightInd w:val="0"/>
              <w:spacing w:before="29" w:line="288" w:lineRule="auto"/>
              <w:ind w:left="17"/>
              <w:jc w:val="left"/>
              <w:rPr>
                <w:color w:val="000000"/>
                <w:kern w:val="0"/>
                <w:sz w:val="24"/>
                <w:szCs w:val="24"/>
              </w:rPr>
            </w:pPr>
            <w:r w:rsidRPr="00414345">
              <w:rPr>
                <w:color w:val="000000"/>
                <w:kern w:val="0"/>
                <w:sz w:val="24"/>
                <w:szCs w:val="24"/>
              </w:rPr>
              <w:t>519689</w:t>
            </w:r>
            <w:r w:rsidR="00604E50" w:rsidRPr="00414345">
              <w:rPr>
                <w:color w:val="000000"/>
                <w:kern w:val="0"/>
                <w:sz w:val="24"/>
              </w:rPr>
              <w:t>(</w:t>
            </w:r>
            <w:r w:rsidR="00604E50" w:rsidRPr="00414345">
              <w:rPr>
                <w:color w:val="000000"/>
                <w:kern w:val="0"/>
                <w:sz w:val="24"/>
              </w:rPr>
              <w:t>后端</w:t>
            </w:r>
            <w:r w:rsidR="00604E50" w:rsidRPr="00414345">
              <w:rPr>
                <w:color w:val="000000"/>
                <w:kern w:val="0"/>
                <w:sz w:val="24"/>
              </w:rPr>
              <w:t>)</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基金运作方式</w:t>
            </w:r>
          </w:p>
        </w:tc>
        <w:tc>
          <w:tcPr>
            <w:tcW w:w="5845" w:type="dxa"/>
            <w:gridSpan w:val="2"/>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契约型开放式</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基金合同生效日</w:t>
            </w:r>
          </w:p>
        </w:tc>
        <w:tc>
          <w:tcPr>
            <w:tcW w:w="5845" w:type="dxa"/>
            <w:gridSpan w:val="2"/>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2005</w:t>
            </w:r>
            <w:r w:rsidRPr="00414345">
              <w:rPr>
                <w:color w:val="000000"/>
                <w:kern w:val="0"/>
                <w:sz w:val="24"/>
                <w:szCs w:val="24"/>
              </w:rPr>
              <w:t>年</w:t>
            </w:r>
            <w:r w:rsidRPr="00414345">
              <w:rPr>
                <w:color w:val="000000"/>
                <w:kern w:val="0"/>
                <w:sz w:val="24"/>
                <w:szCs w:val="24"/>
              </w:rPr>
              <w:t>9</w:t>
            </w:r>
            <w:r w:rsidRPr="00414345">
              <w:rPr>
                <w:color w:val="000000"/>
                <w:kern w:val="0"/>
                <w:sz w:val="24"/>
                <w:szCs w:val="24"/>
              </w:rPr>
              <w:t>月</w:t>
            </w:r>
            <w:r w:rsidRPr="00414345">
              <w:rPr>
                <w:color w:val="000000"/>
                <w:kern w:val="0"/>
                <w:sz w:val="24"/>
                <w:szCs w:val="24"/>
              </w:rPr>
              <w:t>29</w:t>
            </w:r>
            <w:r w:rsidRPr="00414345">
              <w:rPr>
                <w:color w:val="000000"/>
                <w:kern w:val="0"/>
                <w:sz w:val="24"/>
                <w:szCs w:val="24"/>
              </w:rPr>
              <w:t>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报告期末基金份额总额</w:t>
            </w:r>
          </w:p>
        </w:tc>
        <w:tc>
          <w:tcPr>
            <w:tcW w:w="5845" w:type="dxa"/>
            <w:gridSpan w:val="2"/>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8,632,831,612.05</w:t>
            </w:r>
            <w:r w:rsidRPr="00414345">
              <w:rPr>
                <w:color w:val="000000"/>
                <w:kern w:val="0"/>
                <w:sz w:val="24"/>
                <w:szCs w:val="24"/>
              </w:rPr>
              <w:t>份</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投资目标</w:t>
            </w:r>
          </w:p>
        </w:tc>
        <w:tc>
          <w:tcPr>
            <w:tcW w:w="5845" w:type="dxa"/>
            <w:gridSpan w:val="2"/>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将坚持并不断深化价值投资的基本理念，充分发挥专业研究与管理能力，自上而下配置资产，自下而上精选证券，有效控制风险，分享中国经济与资本市场高速成长的成果，谋求实现基金财产的长期稳定增长。</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投资策略</w:t>
            </w:r>
          </w:p>
        </w:tc>
        <w:tc>
          <w:tcPr>
            <w:tcW w:w="5845" w:type="dxa"/>
            <w:gridSpan w:val="2"/>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自上而下配置资产，自下而上精选证券，有效控制下行风险。</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业绩比较基准</w:t>
            </w:r>
          </w:p>
        </w:tc>
        <w:tc>
          <w:tcPr>
            <w:tcW w:w="5845" w:type="dxa"/>
            <w:gridSpan w:val="2"/>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75%×</w:t>
            </w:r>
            <w:r w:rsidRPr="00414345">
              <w:rPr>
                <w:color w:val="000000"/>
                <w:kern w:val="0"/>
                <w:sz w:val="24"/>
                <w:szCs w:val="24"/>
              </w:rPr>
              <w:t>沪深</w:t>
            </w:r>
            <w:r w:rsidRPr="00414345">
              <w:rPr>
                <w:color w:val="000000"/>
                <w:kern w:val="0"/>
                <w:sz w:val="24"/>
                <w:szCs w:val="24"/>
              </w:rPr>
              <w:t>300</w:t>
            </w:r>
            <w:r w:rsidRPr="00414345">
              <w:rPr>
                <w:color w:val="000000"/>
                <w:kern w:val="0"/>
                <w:sz w:val="24"/>
                <w:szCs w:val="24"/>
              </w:rPr>
              <w:t>指数</w:t>
            </w:r>
            <w:r w:rsidRPr="00414345">
              <w:rPr>
                <w:color w:val="000000"/>
                <w:kern w:val="0"/>
                <w:sz w:val="24"/>
                <w:szCs w:val="24"/>
              </w:rPr>
              <w:t>+25%×</w:t>
            </w:r>
            <w:r w:rsidRPr="00414345">
              <w:rPr>
                <w:color w:val="000000"/>
                <w:kern w:val="0"/>
                <w:sz w:val="24"/>
                <w:szCs w:val="24"/>
              </w:rPr>
              <w:t>中证综合债券指数</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风险收益特征</w:t>
            </w:r>
          </w:p>
        </w:tc>
        <w:tc>
          <w:tcPr>
            <w:tcW w:w="5845" w:type="dxa"/>
            <w:gridSpan w:val="2"/>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本基金是一只混合型基金，其风险和预期收益高于债券型基金和货币市场基金，低于股票型基金。属于承担较高风险、预期收益较高的证券投资基金品种。</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基金管理人</w:t>
            </w:r>
          </w:p>
        </w:tc>
        <w:tc>
          <w:tcPr>
            <w:tcW w:w="5845" w:type="dxa"/>
            <w:gridSpan w:val="2"/>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交银施罗德基金管理有限公司</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lastRenderedPageBreak/>
              <w:t>基金托管人</w:t>
            </w:r>
          </w:p>
        </w:tc>
        <w:tc>
          <w:tcPr>
            <w:tcW w:w="5845" w:type="dxa"/>
            <w:gridSpan w:val="2"/>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中国农业银行股份有限公司</w:t>
            </w:r>
          </w:p>
        </w:tc>
      </w:tr>
    </w:tbl>
    <w:p w:rsidR="005910BF" w:rsidRPr="00414345" w:rsidRDefault="005910BF" w:rsidP="00C15CAC">
      <w:pPr>
        <w:autoSpaceDE w:val="0"/>
        <w:autoSpaceDN w:val="0"/>
        <w:adjustRightInd w:val="0"/>
        <w:spacing w:before="29" w:line="288" w:lineRule="auto"/>
        <w:jc w:val="left"/>
        <w:rPr>
          <w:color w:val="000000"/>
          <w:kern w:val="0"/>
          <w:sz w:val="24"/>
          <w:szCs w:val="24"/>
        </w:rPr>
      </w:pP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§3  </w:t>
      </w:r>
      <w:r w:rsidRPr="00414345">
        <w:rPr>
          <w:color w:val="000000"/>
          <w:kern w:val="0"/>
          <w:sz w:val="24"/>
          <w:szCs w:val="24"/>
        </w:rPr>
        <w:t>主要财务指标和基金净值表现</w:t>
      </w: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3.1 </w:t>
      </w:r>
      <w:r w:rsidRPr="00414345">
        <w:rPr>
          <w:b/>
          <w:bCs/>
          <w:color w:val="000000"/>
          <w:kern w:val="0"/>
          <w:sz w:val="24"/>
          <w:szCs w:val="24"/>
        </w:rPr>
        <w:t>主要财务指标</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7"/>
        <w:gridCol w:w="5261"/>
      </w:tblGrid>
      <w:tr w:rsidR="00B62678" w:rsidRPr="00414345" w:rsidTr="00B62678">
        <w:trPr>
          <w:jc w:val="center"/>
        </w:trPr>
        <w:tc>
          <w:tcPr>
            <w:tcW w:w="3402" w:type="dxa"/>
            <w:vAlign w:val="center"/>
          </w:tcPr>
          <w:p w:rsidR="00C21520" w:rsidRPr="00414345" w:rsidRDefault="00C21520" w:rsidP="00C15CAC">
            <w:pPr>
              <w:adjustRightInd w:val="0"/>
              <w:spacing w:before="29" w:line="288" w:lineRule="auto"/>
              <w:ind w:left="17"/>
              <w:jc w:val="center"/>
              <w:rPr>
                <w:kern w:val="0"/>
                <w:sz w:val="24"/>
                <w:szCs w:val="24"/>
              </w:rPr>
            </w:pPr>
            <w:r w:rsidRPr="00414345">
              <w:rPr>
                <w:kern w:val="0"/>
                <w:sz w:val="24"/>
                <w:szCs w:val="24"/>
              </w:rPr>
              <w:t>主要财务指标</w:t>
            </w:r>
          </w:p>
        </w:tc>
        <w:tc>
          <w:tcPr>
            <w:tcW w:w="4962" w:type="dxa"/>
            <w:vAlign w:val="center"/>
          </w:tcPr>
          <w:p w:rsidR="009C60F7"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报告期</w:t>
            </w:r>
          </w:p>
          <w:p w:rsidR="00C21520"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(2020</w:t>
            </w:r>
            <w:r w:rsidRPr="00414345">
              <w:rPr>
                <w:color w:val="000000"/>
                <w:sz w:val="24"/>
                <w:szCs w:val="24"/>
              </w:rPr>
              <w:t>年</w:t>
            </w:r>
            <w:r w:rsidRPr="00414345">
              <w:rPr>
                <w:color w:val="000000"/>
                <w:sz w:val="24"/>
                <w:szCs w:val="24"/>
              </w:rPr>
              <w:t>10</w:t>
            </w:r>
            <w:r w:rsidRPr="00414345">
              <w:rPr>
                <w:color w:val="000000"/>
                <w:sz w:val="24"/>
                <w:szCs w:val="24"/>
              </w:rPr>
              <w:t>月</w:t>
            </w:r>
            <w:r w:rsidRPr="00414345">
              <w:rPr>
                <w:color w:val="000000"/>
                <w:sz w:val="24"/>
                <w:szCs w:val="24"/>
              </w:rPr>
              <w:t>1</w:t>
            </w:r>
            <w:r w:rsidRPr="00414345">
              <w:rPr>
                <w:color w:val="000000"/>
                <w:sz w:val="24"/>
                <w:szCs w:val="24"/>
              </w:rPr>
              <w:t>日</w:t>
            </w:r>
            <w:r w:rsidRPr="00414345">
              <w:rPr>
                <w:color w:val="000000"/>
                <w:sz w:val="24"/>
                <w:szCs w:val="24"/>
              </w:rPr>
              <w:t>-2020</w:t>
            </w:r>
            <w:r w:rsidRPr="00414345">
              <w:rPr>
                <w:color w:val="000000"/>
                <w:sz w:val="24"/>
                <w:szCs w:val="24"/>
              </w:rPr>
              <w:t>年</w:t>
            </w:r>
            <w:r w:rsidRPr="00414345">
              <w:rPr>
                <w:color w:val="000000"/>
                <w:sz w:val="24"/>
                <w:szCs w:val="24"/>
              </w:rPr>
              <w:t>12</w:t>
            </w:r>
            <w:r w:rsidRPr="00414345">
              <w:rPr>
                <w:color w:val="000000"/>
                <w:sz w:val="24"/>
                <w:szCs w:val="24"/>
              </w:rPr>
              <w:t>月</w:t>
            </w:r>
            <w:r w:rsidRPr="00414345">
              <w:rPr>
                <w:color w:val="000000"/>
                <w:sz w:val="24"/>
                <w:szCs w:val="24"/>
              </w:rPr>
              <w:t>31</w:t>
            </w:r>
            <w:r w:rsidRPr="00414345">
              <w:rPr>
                <w:color w:val="000000"/>
                <w:sz w:val="24"/>
                <w:szCs w:val="24"/>
              </w:rPr>
              <w:t>日</w:t>
            </w:r>
            <w:r w:rsidRPr="00414345">
              <w:rPr>
                <w:color w:val="000000"/>
                <w:sz w:val="24"/>
                <w:szCs w:val="24"/>
              </w:rPr>
              <w:t>)</w:t>
            </w:r>
          </w:p>
        </w:tc>
      </w:tr>
      <w:tr w:rsidR="00B62678" w:rsidRPr="00414345" w:rsidTr="00B62678">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1.</w:t>
            </w:r>
            <w:r w:rsidRPr="00414345">
              <w:rPr>
                <w:kern w:val="0"/>
                <w:sz w:val="24"/>
                <w:szCs w:val="24"/>
              </w:rPr>
              <w:t>本期已实现收益</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393,022,615.38</w:t>
            </w:r>
          </w:p>
        </w:tc>
      </w:tr>
      <w:tr w:rsidR="00B62678" w:rsidRPr="00414345" w:rsidTr="00B62678">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2.</w:t>
            </w:r>
            <w:r w:rsidRPr="00414345">
              <w:rPr>
                <w:kern w:val="0"/>
                <w:sz w:val="24"/>
                <w:szCs w:val="24"/>
              </w:rPr>
              <w:t>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1,113,699,972.27</w:t>
            </w:r>
          </w:p>
        </w:tc>
      </w:tr>
      <w:tr w:rsidR="00B62678" w:rsidRPr="00414345" w:rsidTr="00B62678">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3.</w:t>
            </w:r>
            <w:r w:rsidRPr="00414345">
              <w:rPr>
                <w:kern w:val="0"/>
                <w:sz w:val="24"/>
                <w:szCs w:val="24"/>
              </w:rPr>
              <w:t>加权平均基金份额本期利润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0.1355</w:t>
            </w:r>
          </w:p>
        </w:tc>
      </w:tr>
      <w:tr w:rsidR="00B62678" w:rsidRPr="00414345" w:rsidTr="00B62678">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4.</w:t>
            </w:r>
            <w:r w:rsidRPr="00414345">
              <w:rPr>
                <w:kern w:val="0"/>
                <w:sz w:val="24"/>
                <w:szCs w:val="24"/>
              </w:rPr>
              <w:t>期末基金资产净值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10,541,386,185.73</w:t>
            </w:r>
          </w:p>
        </w:tc>
      </w:tr>
      <w:tr w:rsidR="00B62678" w:rsidRPr="00414345" w:rsidTr="00B62678">
        <w:trPr>
          <w:trHeight w:val="158"/>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5.</w:t>
            </w:r>
            <w:r w:rsidRPr="00414345">
              <w:rPr>
                <w:kern w:val="0"/>
                <w:sz w:val="24"/>
                <w:szCs w:val="24"/>
              </w:rPr>
              <w:t>期末基金份额净值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1.2211</w:t>
            </w:r>
          </w:p>
        </w:tc>
      </w:tr>
    </w:tbl>
    <w:p w:rsidR="002D048A" w:rsidRDefault="00737578">
      <w:pPr>
        <w:autoSpaceDE w:val="0"/>
        <w:autoSpaceDN w:val="0"/>
        <w:adjustRightInd w:val="0"/>
        <w:spacing w:before="29" w:line="288" w:lineRule="auto"/>
        <w:jc w:val="left"/>
        <w:rPr>
          <w:color w:val="000000"/>
          <w:sz w:val="24"/>
          <w:szCs w:val="24"/>
        </w:rPr>
      </w:pPr>
      <w:r>
        <w:rPr>
          <w:color w:val="000000"/>
          <w:sz w:val="24"/>
          <w:szCs w:val="24"/>
        </w:rPr>
        <w:t>注：</w:t>
      </w:r>
      <w:r>
        <w:rPr>
          <w:color w:val="000000"/>
          <w:sz w:val="24"/>
          <w:szCs w:val="24"/>
        </w:rPr>
        <w:t>1</w:t>
      </w:r>
      <w:r>
        <w:rPr>
          <w:color w:val="000000"/>
          <w:sz w:val="24"/>
          <w:szCs w:val="24"/>
        </w:rPr>
        <w:t>、上述基金业绩指标不包括持有人认购或交易基金的各项费用，计入费用后的实际收益水平要低于所列数字；</w:t>
      </w:r>
      <w:r>
        <w:rPr>
          <w:color w:val="000000"/>
          <w:sz w:val="24"/>
          <w:szCs w:val="24"/>
        </w:rPr>
        <w:t xml:space="preserve"> </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 xml:space="preserve"> 2</w:t>
      </w:r>
      <w:r w:rsidRPr="00414345">
        <w:rPr>
          <w:color w:val="000000"/>
          <w:sz w:val="24"/>
          <w:szCs w:val="24"/>
        </w:rPr>
        <w:t>、本期已实现收益指基金本期利息收入、投资收益、其他收入（不含公允价值变动收益）扣除相关费用后的余额，本期利润为本期已实现收益加上本期公允价值变动收益。</w:t>
      </w:r>
      <w:r w:rsidRPr="00414345">
        <w:rPr>
          <w:color w:val="000000"/>
          <w:sz w:val="24"/>
          <w:szCs w:val="24"/>
        </w:rPr>
        <w:t xml:space="preserve"> </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 </w:t>
      </w:r>
      <w:r w:rsidRPr="00414345">
        <w:rPr>
          <w:b/>
          <w:bCs/>
          <w:color w:val="000000"/>
          <w:kern w:val="0"/>
          <w:sz w:val="24"/>
          <w:szCs w:val="24"/>
        </w:rPr>
        <w:t>基金净值表现</w:t>
      </w:r>
    </w:p>
    <w:p w:rsidR="00CF6572"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3.2.1 </w:t>
      </w:r>
      <w:r w:rsidRPr="00414345">
        <w:rPr>
          <w:b/>
          <w:bCs/>
          <w:color w:val="000000"/>
          <w:kern w:val="0"/>
          <w:sz w:val="24"/>
          <w:szCs w:val="24"/>
        </w:rPr>
        <w:t>本报告期基金份额净值增长率及其与同期业绩比较基准收益率的比较</w:t>
      </w:r>
    </w:p>
    <w:tbl>
      <w:tblPr>
        <w:tblStyle w:val="af7"/>
        <w:tblW w:w="8868" w:type="dxa"/>
        <w:jc w:val="center"/>
        <w:tblLayout w:type="fixed"/>
        <w:tblCellMar>
          <w:top w:w="57" w:type="dxa"/>
          <w:bottom w:w="57" w:type="dxa"/>
        </w:tblCellMar>
        <w:tblLook w:val="04A0" w:firstRow="1" w:lastRow="0" w:firstColumn="1" w:lastColumn="0" w:noHBand="0" w:noVBand="1"/>
      </w:tblPr>
      <w:tblGrid>
        <w:gridCol w:w="1701"/>
        <w:gridCol w:w="1045"/>
        <w:gridCol w:w="1344"/>
        <w:gridCol w:w="1194"/>
        <w:gridCol w:w="1492"/>
        <w:gridCol w:w="1194"/>
        <w:gridCol w:w="898"/>
      </w:tblGrid>
      <w:tr w:rsidR="00EF6FA5" w:rsidRPr="00414345" w:rsidTr="00A324F4">
        <w:trPr>
          <w:jc w:val="center"/>
        </w:trPr>
        <w:tc>
          <w:tcPr>
            <w:tcW w:w="161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阶段</w:t>
            </w:r>
          </w:p>
        </w:tc>
        <w:tc>
          <w:tcPr>
            <w:tcW w:w="992"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w:t>
            </w:r>
            <w:r w:rsidRPr="00414345">
              <w:rPr>
                <w:rFonts w:hAnsi="宋体"/>
                <w:color w:val="000000"/>
                <w:sz w:val="24"/>
                <w:szCs w:val="24"/>
              </w:rPr>
              <w:t>①</w:t>
            </w:r>
          </w:p>
        </w:tc>
        <w:tc>
          <w:tcPr>
            <w:tcW w:w="1276"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净值增长率标准差</w:t>
            </w:r>
            <w:r w:rsidRPr="00414345">
              <w:rPr>
                <w:rFonts w:hAnsi="宋体"/>
                <w:color w:val="000000"/>
                <w:sz w:val="24"/>
                <w:szCs w:val="24"/>
              </w:rPr>
              <w:t>②</w:t>
            </w:r>
          </w:p>
        </w:tc>
        <w:tc>
          <w:tcPr>
            <w:tcW w:w="113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w:t>
            </w:r>
            <w:r w:rsidRPr="00414345">
              <w:rPr>
                <w:rFonts w:hAnsi="宋体"/>
                <w:color w:val="000000"/>
                <w:sz w:val="24"/>
                <w:szCs w:val="24"/>
              </w:rPr>
              <w:t>③</w:t>
            </w:r>
          </w:p>
        </w:tc>
        <w:tc>
          <w:tcPr>
            <w:tcW w:w="1417"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业绩比较基准收益率标准差</w:t>
            </w:r>
            <w:r w:rsidRPr="00414345">
              <w:rPr>
                <w:rFonts w:hAnsi="宋体"/>
                <w:color w:val="000000"/>
                <w:sz w:val="24"/>
                <w:szCs w:val="24"/>
              </w:rPr>
              <w:t>④</w:t>
            </w:r>
          </w:p>
        </w:tc>
        <w:tc>
          <w:tcPr>
            <w:tcW w:w="113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①</w:t>
            </w:r>
            <w:r w:rsidRPr="00414345">
              <w:rPr>
                <w:color w:val="000000"/>
                <w:sz w:val="24"/>
                <w:szCs w:val="24"/>
              </w:rPr>
              <w:t>-</w:t>
            </w:r>
            <w:r w:rsidRPr="00414345">
              <w:rPr>
                <w:rFonts w:hAnsi="宋体"/>
                <w:color w:val="000000"/>
                <w:sz w:val="24"/>
                <w:szCs w:val="24"/>
              </w:rPr>
              <w:t>③</w:t>
            </w:r>
          </w:p>
        </w:tc>
        <w:tc>
          <w:tcPr>
            <w:tcW w:w="853"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②</w:t>
            </w:r>
            <w:r w:rsidRPr="00414345">
              <w:rPr>
                <w:color w:val="000000"/>
                <w:sz w:val="24"/>
                <w:szCs w:val="24"/>
              </w:rPr>
              <w:t>-</w:t>
            </w:r>
            <w:r w:rsidRPr="00414345">
              <w:rPr>
                <w:rFonts w:hAnsi="宋体"/>
                <w:color w:val="000000"/>
                <w:sz w:val="24"/>
                <w:szCs w:val="24"/>
              </w:rPr>
              <w:t>④</w:t>
            </w:r>
          </w:p>
        </w:tc>
      </w:tr>
      <w:tr w:rsidR="002D048A">
        <w:trPr>
          <w:jc w:val="center"/>
        </w:trPr>
        <w:tc>
          <w:tcPr>
            <w:tcW w:w="1701" w:type="dxa"/>
            <w:vAlign w:val="center"/>
          </w:tcPr>
          <w:p w:rsidR="002D048A" w:rsidRDefault="00737578">
            <w:pPr>
              <w:jc w:val="left"/>
            </w:pPr>
            <w:r>
              <w:rPr>
                <w:color w:val="000000"/>
                <w:sz w:val="24"/>
                <w:szCs w:val="24"/>
              </w:rPr>
              <w:t>过去三个月</w:t>
            </w:r>
          </w:p>
        </w:tc>
        <w:tc>
          <w:tcPr>
            <w:tcW w:w="1045" w:type="dxa"/>
            <w:vAlign w:val="center"/>
          </w:tcPr>
          <w:p w:rsidR="002D048A" w:rsidRDefault="00737578">
            <w:pPr>
              <w:jc w:val="center"/>
            </w:pPr>
            <w:r>
              <w:rPr>
                <w:color w:val="000000"/>
                <w:sz w:val="24"/>
                <w:szCs w:val="24"/>
              </w:rPr>
              <w:t>12.41%</w:t>
            </w:r>
          </w:p>
        </w:tc>
        <w:tc>
          <w:tcPr>
            <w:tcW w:w="1344" w:type="dxa"/>
            <w:vAlign w:val="center"/>
          </w:tcPr>
          <w:p w:rsidR="002D048A" w:rsidRDefault="00737578">
            <w:pPr>
              <w:jc w:val="center"/>
            </w:pPr>
            <w:r>
              <w:rPr>
                <w:color w:val="000000"/>
                <w:sz w:val="24"/>
                <w:szCs w:val="24"/>
              </w:rPr>
              <w:t>0.94%</w:t>
            </w:r>
          </w:p>
        </w:tc>
        <w:tc>
          <w:tcPr>
            <w:tcW w:w="1194" w:type="dxa"/>
            <w:vAlign w:val="center"/>
          </w:tcPr>
          <w:p w:rsidR="002D048A" w:rsidRDefault="00737578">
            <w:pPr>
              <w:jc w:val="center"/>
            </w:pPr>
            <w:r>
              <w:rPr>
                <w:color w:val="000000"/>
                <w:sz w:val="24"/>
                <w:szCs w:val="24"/>
              </w:rPr>
              <w:t>10.43%</w:t>
            </w:r>
          </w:p>
        </w:tc>
        <w:tc>
          <w:tcPr>
            <w:tcW w:w="1492" w:type="dxa"/>
            <w:vAlign w:val="center"/>
          </w:tcPr>
          <w:p w:rsidR="002D048A" w:rsidRDefault="00737578">
            <w:pPr>
              <w:jc w:val="center"/>
            </w:pPr>
            <w:r>
              <w:rPr>
                <w:color w:val="000000"/>
                <w:sz w:val="24"/>
                <w:szCs w:val="24"/>
              </w:rPr>
              <w:t>0.74%</w:t>
            </w:r>
          </w:p>
        </w:tc>
        <w:tc>
          <w:tcPr>
            <w:tcW w:w="1194" w:type="dxa"/>
            <w:vAlign w:val="center"/>
          </w:tcPr>
          <w:p w:rsidR="002D048A" w:rsidRDefault="00737578">
            <w:pPr>
              <w:jc w:val="center"/>
            </w:pPr>
            <w:r>
              <w:rPr>
                <w:color w:val="000000"/>
                <w:sz w:val="24"/>
                <w:szCs w:val="24"/>
              </w:rPr>
              <w:t>1.98%</w:t>
            </w:r>
          </w:p>
        </w:tc>
        <w:tc>
          <w:tcPr>
            <w:tcW w:w="898" w:type="dxa"/>
            <w:vAlign w:val="center"/>
          </w:tcPr>
          <w:p w:rsidR="002D048A" w:rsidRDefault="00737578">
            <w:pPr>
              <w:jc w:val="center"/>
            </w:pPr>
            <w:r>
              <w:rPr>
                <w:color w:val="000000"/>
                <w:sz w:val="24"/>
                <w:szCs w:val="24"/>
              </w:rPr>
              <w:t>0.20%</w:t>
            </w:r>
          </w:p>
        </w:tc>
      </w:tr>
      <w:tr w:rsidR="002D048A">
        <w:trPr>
          <w:jc w:val="center"/>
        </w:trPr>
        <w:tc>
          <w:tcPr>
            <w:tcW w:w="1701" w:type="dxa"/>
            <w:vAlign w:val="center"/>
          </w:tcPr>
          <w:p w:rsidR="002D048A" w:rsidRDefault="00737578">
            <w:pPr>
              <w:jc w:val="left"/>
            </w:pPr>
            <w:r>
              <w:rPr>
                <w:color w:val="000000"/>
                <w:sz w:val="24"/>
                <w:szCs w:val="24"/>
              </w:rPr>
              <w:t>过去六个月</w:t>
            </w:r>
          </w:p>
        </w:tc>
        <w:tc>
          <w:tcPr>
            <w:tcW w:w="1045" w:type="dxa"/>
            <w:vAlign w:val="center"/>
          </w:tcPr>
          <w:p w:rsidR="002D048A" w:rsidRDefault="00737578">
            <w:pPr>
              <w:jc w:val="center"/>
            </w:pPr>
            <w:r>
              <w:rPr>
                <w:color w:val="000000"/>
                <w:sz w:val="24"/>
                <w:szCs w:val="24"/>
              </w:rPr>
              <w:t>30.18%</w:t>
            </w:r>
          </w:p>
        </w:tc>
        <w:tc>
          <w:tcPr>
            <w:tcW w:w="1344" w:type="dxa"/>
            <w:vAlign w:val="center"/>
          </w:tcPr>
          <w:p w:rsidR="002D048A" w:rsidRDefault="00737578">
            <w:pPr>
              <w:jc w:val="center"/>
            </w:pPr>
            <w:r>
              <w:rPr>
                <w:color w:val="000000"/>
                <w:sz w:val="24"/>
                <w:szCs w:val="24"/>
              </w:rPr>
              <w:t>1.17%</w:t>
            </w:r>
          </w:p>
        </w:tc>
        <w:tc>
          <w:tcPr>
            <w:tcW w:w="1194" w:type="dxa"/>
            <w:vAlign w:val="center"/>
          </w:tcPr>
          <w:p w:rsidR="002D048A" w:rsidRDefault="00737578">
            <w:pPr>
              <w:jc w:val="center"/>
            </w:pPr>
            <w:r>
              <w:rPr>
                <w:color w:val="000000"/>
                <w:sz w:val="24"/>
                <w:szCs w:val="24"/>
              </w:rPr>
              <w:t>18.77%</w:t>
            </w:r>
          </w:p>
        </w:tc>
        <w:tc>
          <w:tcPr>
            <w:tcW w:w="1492" w:type="dxa"/>
            <w:vAlign w:val="center"/>
          </w:tcPr>
          <w:p w:rsidR="002D048A" w:rsidRDefault="00737578">
            <w:pPr>
              <w:jc w:val="center"/>
            </w:pPr>
            <w:r>
              <w:rPr>
                <w:color w:val="000000"/>
                <w:sz w:val="24"/>
                <w:szCs w:val="24"/>
              </w:rPr>
              <w:t>1.01%</w:t>
            </w:r>
          </w:p>
        </w:tc>
        <w:tc>
          <w:tcPr>
            <w:tcW w:w="1194" w:type="dxa"/>
            <w:vAlign w:val="center"/>
          </w:tcPr>
          <w:p w:rsidR="002D048A" w:rsidRDefault="00737578">
            <w:pPr>
              <w:jc w:val="center"/>
            </w:pPr>
            <w:r>
              <w:rPr>
                <w:color w:val="000000"/>
                <w:sz w:val="24"/>
                <w:szCs w:val="24"/>
              </w:rPr>
              <w:t>11.41%</w:t>
            </w:r>
          </w:p>
        </w:tc>
        <w:tc>
          <w:tcPr>
            <w:tcW w:w="898" w:type="dxa"/>
            <w:vAlign w:val="center"/>
          </w:tcPr>
          <w:p w:rsidR="002D048A" w:rsidRDefault="00737578">
            <w:pPr>
              <w:jc w:val="center"/>
            </w:pPr>
            <w:r>
              <w:rPr>
                <w:color w:val="000000"/>
                <w:sz w:val="24"/>
                <w:szCs w:val="24"/>
              </w:rPr>
              <w:t>0.16%</w:t>
            </w:r>
          </w:p>
        </w:tc>
      </w:tr>
      <w:tr w:rsidR="002D048A">
        <w:trPr>
          <w:jc w:val="center"/>
        </w:trPr>
        <w:tc>
          <w:tcPr>
            <w:tcW w:w="1701" w:type="dxa"/>
            <w:vAlign w:val="center"/>
          </w:tcPr>
          <w:p w:rsidR="002D048A" w:rsidRDefault="00737578">
            <w:pPr>
              <w:jc w:val="left"/>
            </w:pPr>
            <w:r>
              <w:rPr>
                <w:color w:val="000000"/>
                <w:sz w:val="24"/>
                <w:szCs w:val="24"/>
              </w:rPr>
              <w:t>过去一年</w:t>
            </w:r>
          </w:p>
        </w:tc>
        <w:tc>
          <w:tcPr>
            <w:tcW w:w="1045" w:type="dxa"/>
            <w:vAlign w:val="center"/>
          </w:tcPr>
          <w:p w:rsidR="002D048A" w:rsidRDefault="00737578">
            <w:pPr>
              <w:jc w:val="center"/>
            </w:pPr>
            <w:r>
              <w:rPr>
                <w:color w:val="000000"/>
                <w:sz w:val="24"/>
                <w:szCs w:val="24"/>
              </w:rPr>
              <w:t>55.07%</w:t>
            </w:r>
          </w:p>
        </w:tc>
        <w:tc>
          <w:tcPr>
            <w:tcW w:w="1344" w:type="dxa"/>
            <w:vAlign w:val="center"/>
          </w:tcPr>
          <w:p w:rsidR="002D048A" w:rsidRDefault="00737578">
            <w:pPr>
              <w:jc w:val="center"/>
            </w:pPr>
            <w:r>
              <w:rPr>
                <w:color w:val="000000"/>
                <w:sz w:val="24"/>
                <w:szCs w:val="24"/>
              </w:rPr>
              <w:t>1.28%</w:t>
            </w:r>
          </w:p>
        </w:tc>
        <w:tc>
          <w:tcPr>
            <w:tcW w:w="1194" w:type="dxa"/>
            <w:vAlign w:val="center"/>
          </w:tcPr>
          <w:p w:rsidR="002D048A" w:rsidRDefault="00737578">
            <w:pPr>
              <w:jc w:val="center"/>
            </w:pPr>
            <w:r>
              <w:rPr>
                <w:color w:val="000000"/>
                <w:sz w:val="24"/>
                <w:szCs w:val="24"/>
              </w:rPr>
              <w:t>21.26%</w:t>
            </w:r>
          </w:p>
        </w:tc>
        <w:tc>
          <w:tcPr>
            <w:tcW w:w="1492" w:type="dxa"/>
            <w:vAlign w:val="center"/>
          </w:tcPr>
          <w:p w:rsidR="002D048A" w:rsidRDefault="00737578">
            <w:pPr>
              <w:jc w:val="center"/>
            </w:pPr>
            <w:r>
              <w:rPr>
                <w:color w:val="000000"/>
                <w:sz w:val="24"/>
                <w:szCs w:val="24"/>
              </w:rPr>
              <w:t>1.07%</w:t>
            </w:r>
          </w:p>
        </w:tc>
        <w:tc>
          <w:tcPr>
            <w:tcW w:w="1194" w:type="dxa"/>
            <w:vAlign w:val="center"/>
          </w:tcPr>
          <w:p w:rsidR="002D048A" w:rsidRDefault="00737578">
            <w:pPr>
              <w:jc w:val="center"/>
            </w:pPr>
            <w:r>
              <w:rPr>
                <w:color w:val="000000"/>
                <w:sz w:val="24"/>
                <w:szCs w:val="24"/>
              </w:rPr>
              <w:t>33.81%</w:t>
            </w:r>
          </w:p>
        </w:tc>
        <w:tc>
          <w:tcPr>
            <w:tcW w:w="898" w:type="dxa"/>
            <w:vAlign w:val="center"/>
          </w:tcPr>
          <w:p w:rsidR="002D048A" w:rsidRDefault="00737578">
            <w:pPr>
              <w:jc w:val="center"/>
            </w:pPr>
            <w:r>
              <w:rPr>
                <w:color w:val="000000"/>
                <w:sz w:val="24"/>
                <w:szCs w:val="24"/>
              </w:rPr>
              <w:t>0.21%</w:t>
            </w:r>
          </w:p>
        </w:tc>
      </w:tr>
      <w:tr w:rsidR="002D048A">
        <w:trPr>
          <w:jc w:val="center"/>
        </w:trPr>
        <w:tc>
          <w:tcPr>
            <w:tcW w:w="1701" w:type="dxa"/>
            <w:vAlign w:val="center"/>
          </w:tcPr>
          <w:p w:rsidR="002D048A" w:rsidRDefault="00737578">
            <w:pPr>
              <w:jc w:val="left"/>
            </w:pPr>
            <w:r>
              <w:rPr>
                <w:color w:val="000000"/>
                <w:sz w:val="24"/>
                <w:szCs w:val="24"/>
              </w:rPr>
              <w:t>过去三年</w:t>
            </w:r>
          </w:p>
        </w:tc>
        <w:tc>
          <w:tcPr>
            <w:tcW w:w="1045" w:type="dxa"/>
            <w:vAlign w:val="center"/>
          </w:tcPr>
          <w:p w:rsidR="002D048A" w:rsidRDefault="00737578">
            <w:pPr>
              <w:jc w:val="center"/>
            </w:pPr>
            <w:r>
              <w:rPr>
                <w:color w:val="000000"/>
                <w:sz w:val="24"/>
                <w:szCs w:val="24"/>
              </w:rPr>
              <w:t>105.70%</w:t>
            </w:r>
          </w:p>
        </w:tc>
        <w:tc>
          <w:tcPr>
            <w:tcW w:w="1344" w:type="dxa"/>
            <w:vAlign w:val="center"/>
          </w:tcPr>
          <w:p w:rsidR="002D048A" w:rsidRDefault="00737578">
            <w:pPr>
              <w:jc w:val="center"/>
            </w:pPr>
            <w:r>
              <w:rPr>
                <w:color w:val="000000"/>
                <w:sz w:val="24"/>
                <w:szCs w:val="24"/>
              </w:rPr>
              <w:t>1.31%</w:t>
            </w:r>
          </w:p>
        </w:tc>
        <w:tc>
          <w:tcPr>
            <w:tcW w:w="1194" w:type="dxa"/>
            <w:vAlign w:val="center"/>
          </w:tcPr>
          <w:p w:rsidR="002D048A" w:rsidRDefault="00737578">
            <w:pPr>
              <w:jc w:val="center"/>
            </w:pPr>
            <w:r>
              <w:rPr>
                <w:color w:val="000000"/>
                <w:sz w:val="24"/>
                <w:szCs w:val="24"/>
              </w:rPr>
              <w:t>27.60%</w:t>
            </w:r>
          </w:p>
        </w:tc>
        <w:tc>
          <w:tcPr>
            <w:tcW w:w="1492" w:type="dxa"/>
            <w:vAlign w:val="center"/>
          </w:tcPr>
          <w:p w:rsidR="002D048A" w:rsidRDefault="00737578">
            <w:pPr>
              <w:jc w:val="center"/>
            </w:pPr>
            <w:r>
              <w:rPr>
                <w:color w:val="000000"/>
                <w:sz w:val="24"/>
                <w:szCs w:val="24"/>
              </w:rPr>
              <w:t>1.00%</w:t>
            </w:r>
          </w:p>
        </w:tc>
        <w:tc>
          <w:tcPr>
            <w:tcW w:w="1194" w:type="dxa"/>
            <w:vAlign w:val="center"/>
          </w:tcPr>
          <w:p w:rsidR="002D048A" w:rsidRDefault="00737578">
            <w:pPr>
              <w:jc w:val="center"/>
            </w:pPr>
            <w:r>
              <w:rPr>
                <w:color w:val="000000"/>
                <w:sz w:val="24"/>
                <w:szCs w:val="24"/>
              </w:rPr>
              <w:t>78.10%</w:t>
            </w:r>
          </w:p>
        </w:tc>
        <w:tc>
          <w:tcPr>
            <w:tcW w:w="898" w:type="dxa"/>
            <w:vAlign w:val="center"/>
          </w:tcPr>
          <w:p w:rsidR="002D048A" w:rsidRDefault="00737578">
            <w:pPr>
              <w:jc w:val="center"/>
            </w:pPr>
            <w:r>
              <w:rPr>
                <w:color w:val="000000"/>
                <w:sz w:val="24"/>
                <w:szCs w:val="24"/>
              </w:rPr>
              <w:t>0.31%</w:t>
            </w:r>
          </w:p>
        </w:tc>
      </w:tr>
      <w:tr w:rsidR="002D048A">
        <w:trPr>
          <w:jc w:val="center"/>
        </w:trPr>
        <w:tc>
          <w:tcPr>
            <w:tcW w:w="1701" w:type="dxa"/>
            <w:vAlign w:val="center"/>
          </w:tcPr>
          <w:p w:rsidR="002D048A" w:rsidRDefault="00737578">
            <w:pPr>
              <w:jc w:val="left"/>
            </w:pPr>
            <w:r>
              <w:rPr>
                <w:color w:val="000000"/>
                <w:sz w:val="24"/>
                <w:szCs w:val="24"/>
              </w:rPr>
              <w:t>过去五年</w:t>
            </w:r>
          </w:p>
        </w:tc>
        <w:tc>
          <w:tcPr>
            <w:tcW w:w="1045" w:type="dxa"/>
            <w:vAlign w:val="center"/>
          </w:tcPr>
          <w:p w:rsidR="002D048A" w:rsidRDefault="00737578">
            <w:pPr>
              <w:jc w:val="center"/>
            </w:pPr>
            <w:r>
              <w:rPr>
                <w:color w:val="000000"/>
                <w:sz w:val="24"/>
                <w:szCs w:val="24"/>
              </w:rPr>
              <w:t>150.40%</w:t>
            </w:r>
          </w:p>
        </w:tc>
        <w:tc>
          <w:tcPr>
            <w:tcW w:w="1344" w:type="dxa"/>
            <w:vAlign w:val="center"/>
          </w:tcPr>
          <w:p w:rsidR="002D048A" w:rsidRDefault="00737578">
            <w:pPr>
              <w:jc w:val="center"/>
            </w:pPr>
            <w:r>
              <w:rPr>
                <w:color w:val="000000"/>
                <w:sz w:val="24"/>
                <w:szCs w:val="24"/>
              </w:rPr>
              <w:t>1.28%</w:t>
            </w:r>
          </w:p>
        </w:tc>
        <w:tc>
          <w:tcPr>
            <w:tcW w:w="1194" w:type="dxa"/>
            <w:vAlign w:val="center"/>
          </w:tcPr>
          <w:p w:rsidR="002D048A" w:rsidRDefault="00737578">
            <w:pPr>
              <w:jc w:val="center"/>
            </w:pPr>
            <w:r>
              <w:rPr>
                <w:color w:val="000000"/>
                <w:sz w:val="24"/>
                <w:szCs w:val="24"/>
              </w:rPr>
              <w:t>36.77%</w:t>
            </w:r>
          </w:p>
        </w:tc>
        <w:tc>
          <w:tcPr>
            <w:tcW w:w="1492" w:type="dxa"/>
            <w:vAlign w:val="center"/>
          </w:tcPr>
          <w:p w:rsidR="002D048A" w:rsidRDefault="00737578">
            <w:pPr>
              <w:jc w:val="center"/>
            </w:pPr>
            <w:r>
              <w:rPr>
                <w:color w:val="000000"/>
                <w:sz w:val="24"/>
                <w:szCs w:val="24"/>
              </w:rPr>
              <w:t>0.93%</w:t>
            </w:r>
          </w:p>
        </w:tc>
        <w:tc>
          <w:tcPr>
            <w:tcW w:w="1194" w:type="dxa"/>
            <w:vAlign w:val="center"/>
          </w:tcPr>
          <w:p w:rsidR="002D048A" w:rsidRDefault="00737578">
            <w:pPr>
              <w:jc w:val="center"/>
            </w:pPr>
            <w:r>
              <w:rPr>
                <w:color w:val="000000"/>
                <w:sz w:val="24"/>
                <w:szCs w:val="24"/>
              </w:rPr>
              <w:t>113.63%</w:t>
            </w:r>
          </w:p>
        </w:tc>
        <w:tc>
          <w:tcPr>
            <w:tcW w:w="898" w:type="dxa"/>
            <w:vAlign w:val="center"/>
          </w:tcPr>
          <w:p w:rsidR="002D048A" w:rsidRDefault="00737578">
            <w:pPr>
              <w:jc w:val="center"/>
            </w:pPr>
            <w:r>
              <w:rPr>
                <w:color w:val="000000"/>
                <w:sz w:val="24"/>
                <w:szCs w:val="24"/>
              </w:rPr>
              <w:t>0.35%</w:t>
            </w:r>
          </w:p>
        </w:tc>
      </w:tr>
      <w:tr w:rsidR="002D048A">
        <w:trPr>
          <w:jc w:val="center"/>
        </w:trPr>
        <w:tc>
          <w:tcPr>
            <w:tcW w:w="1701" w:type="dxa"/>
            <w:vAlign w:val="center"/>
          </w:tcPr>
          <w:p w:rsidR="002D048A" w:rsidRDefault="00737578">
            <w:pPr>
              <w:jc w:val="left"/>
            </w:pPr>
            <w:r>
              <w:rPr>
                <w:color w:val="000000"/>
                <w:sz w:val="24"/>
                <w:szCs w:val="24"/>
              </w:rPr>
              <w:t>自基金合同生效至今</w:t>
            </w:r>
          </w:p>
        </w:tc>
        <w:tc>
          <w:tcPr>
            <w:tcW w:w="1045" w:type="dxa"/>
            <w:vAlign w:val="center"/>
          </w:tcPr>
          <w:p w:rsidR="002D048A" w:rsidRDefault="00737578">
            <w:pPr>
              <w:jc w:val="center"/>
            </w:pPr>
            <w:r>
              <w:rPr>
                <w:color w:val="000000"/>
                <w:sz w:val="24"/>
                <w:szCs w:val="24"/>
              </w:rPr>
              <w:t>1,320.91%</w:t>
            </w:r>
          </w:p>
        </w:tc>
        <w:tc>
          <w:tcPr>
            <w:tcW w:w="1344" w:type="dxa"/>
            <w:vAlign w:val="center"/>
          </w:tcPr>
          <w:p w:rsidR="002D048A" w:rsidRDefault="00737578">
            <w:pPr>
              <w:jc w:val="center"/>
            </w:pPr>
            <w:r>
              <w:rPr>
                <w:color w:val="000000"/>
                <w:sz w:val="24"/>
                <w:szCs w:val="24"/>
              </w:rPr>
              <w:t>1.52%</w:t>
            </w:r>
          </w:p>
        </w:tc>
        <w:tc>
          <w:tcPr>
            <w:tcW w:w="1194" w:type="dxa"/>
            <w:vAlign w:val="center"/>
          </w:tcPr>
          <w:p w:rsidR="002D048A" w:rsidRDefault="00737578">
            <w:pPr>
              <w:jc w:val="center"/>
            </w:pPr>
            <w:r>
              <w:rPr>
                <w:color w:val="000000"/>
                <w:sz w:val="24"/>
                <w:szCs w:val="24"/>
              </w:rPr>
              <w:t>372.81%</w:t>
            </w:r>
          </w:p>
        </w:tc>
        <w:tc>
          <w:tcPr>
            <w:tcW w:w="1492" w:type="dxa"/>
            <w:vAlign w:val="center"/>
          </w:tcPr>
          <w:p w:rsidR="002D048A" w:rsidRDefault="00737578">
            <w:pPr>
              <w:jc w:val="center"/>
            </w:pPr>
            <w:r>
              <w:rPr>
                <w:color w:val="000000"/>
                <w:sz w:val="24"/>
                <w:szCs w:val="24"/>
              </w:rPr>
              <w:t>1.28%</w:t>
            </w:r>
          </w:p>
        </w:tc>
        <w:tc>
          <w:tcPr>
            <w:tcW w:w="1194" w:type="dxa"/>
            <w:vAlign w:val="center"/>
          </w:tcPr>
          <w:p w:rsidR="002D048A" w:rsidRDefault="00737578">
            <w:pPr>
              <w:jc w:val="center"/>
            </w:pPr>
            <w:r>
              <w:rPr>
                <w:color w:val="000000"/>
                <w:sz w:val="24"/>
                <w:szCs w:val="24"/>
              </w:rPr>
              <w:t>948.10%</w:t>
            </w:r>
          </w:p>
        </w:tc>
        <w:tc>
          <w:tcPr>
            <w:tcW w:w="898" w:type="dxa"/>
            <w:vAlign w:val="center"/>
          </w:tcPr>
          <w:p w:rsidR="002D048A" w:rsidRDefault="00737578">
            <w:pPr>
              <w:jc w:val="center"/>
            </w:pPr>
            <w:r>
              <w:rPr>
                <w:color w:val="000000"/>
                <w:sz w:val="24"/>
                <w:szCs w:val="24"/>
              </w:rPr>
              <w:t>0.24%</w:t>
            </w:r>
          </w:p>
        </w:tc>
      </w:tr>
    </w:tbl>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注：本基金业绩比较基准自</w:t>
      </w:r>
      <w:r w:rsidRPr="00414345">
        <w:rPr>
          <w:color w:val="000000"/>
          <w:sz w:val="24"/>
          <w:szCs w:val="24"/>
        </w:rPr>
        <w:t>2015</w:t>
      </w:r>
      <w:r w:rsidRPr="00414345">
        <w:rPr>
          <w:color w:val="000000"/>
          <w:sz w:val="24"/>
          <w:szCs w:val="24"/>
        </w:rPr>
        <w:t>年</w:t>
      </w:r>
      <w:r w:rsidRPr="00414345">
        <w:rPr>
          <w:color w:val="000000"/>
          <w:sz w:val="24"/>
          <w:szCs w:val="24"/>
        </w:rPr>
        <w:t>10</w:t>
      </w:r>
      <w:r w:rsidRPr="00414345">
        <w:rPr>
          <w:color w:val="000000"/>
          <w:sz w:val="24"/>
          <w:szCs w:val="24"/>
        </w:rPr>
        <w:t>月</w:t>
      </w:r>
      <w:r w:rsidRPr="00414345">
        <w:rPr>
          <w:color w:val="000000"/>
          <w:sz w:val="24"/>
          <w:szCs w:val="24"/>
        </w:rPr>
        <w:t>1</w:t>
      </w:r>
      <w:r w:rsidRPr="00414345">
        <w:rPr>
          <w:color w:val="000000"/>
          <w:sz w:val="24"/>
          <w:szCs w:val="24"/>
        </w:rPr>
        <w:t>日起，由</w:t>
      </w:r>
      <w:r w:rsidRPr="00414345">
        <w:rPr>
          <w:color w:val="000000"/>
          <w:sz w:val="24"/>
          <w:szCs w:val="24"/>
        </w:rPr>
        <w:t>“75%×</w:t>
      </w:r>
      <w:r w:rsidRPr="00414345">
        <w:rPr>
          <w:color w:val="000000"/>
          <w:sz w:val="24"/>
          <w:szCs w:val="24"/>
        </w:rPr>
        <w:t>沪深</w:t>
      </w:r>
      <w:r w:rsidRPr="00414345">
        <w:rPr>
          <w:color w:val="000000"/>
          <w:sz w:val="24"/>
          <w:szCs w:val="24"/>
        </w:rPr>
        <w:t>300</w:t>
      </w:r>
      <w:r w:rsidRPr="00414345">
        <w:rPr>
          <w:color w:val="000000"/>
          <w:sz w:val="24"/>
          <w:szCs w:val="24"/>
        </w:rPr>
        <w:t>指数</w:t>
      </w:r>
      <w:r w:rsidRPr="00414345">
        <w:rPr>
          <w:color w:val="000000"/>
          <w:sz w:val="24"/>
          <w:szCs w:val="24"/>
        </w:rPr>
        <w:t>+25%×</w:t>
      </w:r>
      <w:r w:rsidRPr="00414345">
        <w:rPr>
          <w:color w:val="000000"/>
          <w:sz w:val="24"/>
          <w:szCs w:val="24"/>
        </w:rPr>
        <w:t>中信全债指数</w:t>
      </w:r>
      <w:r w:rsidRPr="00414345">
        <w:rPr>
          <w:color w:val="000000"/>
          <w:sz w:val="24"/>
          <w:szCs w:val="24"/>
        </w:rPr>
        <w:t>”</w:t>
      </w:r>
      <w:r w:rsidRPr="00414345">
        <w:rPr>
          <w:color w:val="000000"/>
          <w:sz w:val="24"/>
          <w:szCs w:val="24"/>
        </w:rPr>
        <w:t>变更为</w:t>
      </w:r>
      <w:r w:rsidRPr="00414345">
        <w:rPr>
          <w:color w:val="000000"/>
          <w:sz w:val="24"/>
          <w:szCs w:val="24"/>
        </w:rPr>
        <w:t>“75%×</w:t>
      </w:r>
      <w:r w:rsidRPr="00414345">
        <w:rPr>
          <w:color w:val="000000"/>
          <w:sz w:val="24"/>
          <w:szCs w:val="24"/>
        </w:rPr>
        <w:t>沪深</w:t>
      </w:r>
      <w:r w:rsidRPr="00414345">
        <w:rPr>
          <w:color w:val="000000"/>
          <w:sz w:val="24"/>
          <w:szCs w:val="24"/>
        </w:rPr>
        <w:t>300</w:t>
      </w:r>
      <w:r w:rsidRPr="00414345">
        <w:rPr>
          <w:color w:val="000000"/>
          <w:sz w:val="24"/>
          <w:szCs w:val="24"/>
        </w:rPr>
        <w:t>指数</w:t>
      </w:r>
      <w:r w:rsidRPr="00414345">
        <w:rPr>
          <w:color w:val="000000"/>
          <w:sz w:val="24"/>
          <w:szCs w:val="24"/>
        </w:rPr>
        <w:t>+25%×</w:t>
      </w:r>
      <w:r w:rsidRPr="00414345">
        <w:rPr>
          <w:color w:val="000000"/>
          <w:sz w:val="24"/>
          <w:szCs w:val="24"/>
        </w:rPr>
        <w:t>中证综合债券指数</w:t>
      </w:r>
      <w:r w:rsidRPr="00414345">
        <w:rPr>
          <w:color w:val="000000"/>
          <w:sz w:val="24"/>
          <w:szCs w:val="24"/>
        </w:rPr>
        <w:t>”</w:t>
      </w:r>
      <w:r w:rsidRPr="00414345">
        <w:rPr>
          <w:color w:val="000000"/>
          <w:sz w:val="24"/>
          <w:szCs w:val="24"/>
        </w:rPr>
        <w:t>，</w:t>
      </w:r>
      <w:r w:rsidRPr="00414345">
        <w:rPr>
          <w:color w:val="000000"/>
          <w:sz w:val="24"/>
          <w:szCs w:val="24"/>
        </w:rPr>
        <w:t>3.2.2</w:t>
      </w:r>
      <w:r w:rsidRPr="00414345">
        <w:rPr>
          <w:color w:val="000000"/>
          <w:sz w:val="24"/>
          <w:szCs w:val="24"/>
        </w:rPr>
        <w:t>同。详情见本基金管理</w:t>
      </w:r>
      <w:r w:rsidRPr="00414345">
        <w:rPr>
          <w:color w:val="000000"/>
          <w:sz w:val="24"/>
          <w:szCs w:val="24"/>
        </w:rPr>
        <w:lastRenderedPageBreak/>
        <w:t>人于</w:t>
      </w:r>
      <w:r w:rsidRPr="00414345">
        <w:rPr>
          <w:color w:val="000000"/>
          <w:sz w:val="24"/>
          <w:szCs w:val="24"/>
        </w:rPr>
        <w:t>2015</w:t>
      </w:r>
      <w:r w:rsidRPr="00414345">
        <w:rPr>
          <w:color w:val="000000"/>
          <w:sz w:val="24"/>
          <w:szCs w:val="24"/>
        </w:rPr>
        <w:t>年</w:t>
      </w:r>
      <w:r w:rsidRPr="00414345">
        <w:rPr>
          <w:color w:val="000000"/>
          <w:sz w:val="24"/>
          <w:szCs w:val="24"/>
        </w:rPr>
        <w:t>9</w:t>
      </w:r>
      <w:r w:rsidRPr="00414345">
        <w:rPr>
          <w:color w:val="000000"/>
          <w:sz w:val="24"/>
          <w:szCs w:val="24"/>
        </w:rPr>
        <w:t>月</w:t>
      </w:r>
      <w:r w:rsidRPr="00414345">
        <w:rPr>
          <w:color w:val="000000"/>
          <w:sz w:val="24"/>
          <w:szCs w:val="24"/>
        </w:rPr>
        <w:t>28</w:t>
      </w:r>
      <w:r w:rsidRPr="00414345">
        <w:rPr>
          <w:color w:val="000000"/>
          <w:sz w:val="24"/>
          <w:szCs w:val="24"/>
        </w:rPr>
        <w:t>日发布的《交银施罗德基金管理有限公司关于旗下部分基金业绩比较基准变更并修改基金合同相关内容的公告》。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3.2.2</w:t>
      </w:r>
      <w:r w:rsidR="000824E7" w:rsidRPr="00F81917">
        <w:rPr>
          <w:rFonts w:hint="eastAsia"/>
          <w:b/>
          <w:bCs/>
          <w:color w:val="000000"/>
          <w:kern w:val="0"/>
          <w:sz w:val="24"/>
          <w:szCs w:val="24"/>
        </w:rPr>
        <w:t>自基金合同生效以来</w:t>
      </w:r>
      <w:r w:rsidR="00C6002A" w:rsidRPr="00F81917">
        <w:rPr>
          <w:b/>
          <w:bCs/>
          <w:color w:val="000000"/>
          <w:kern w:val="0"/>
          <w:sz w:val="24"/>
          <w:szCs w:val="24"/>
        </w:rPr>
        <w:t>基</w:t>
      </w:r>
      <w:r w:rsidR="00C6002A" w:rsidRPr="00414345">
        <w:rPr>
          <w:b/>
          <w:bCs/>
          <w:color w:val="000000"/>
          <w:sz w:val="24"/>
        </w:rPr>
        <w:t>金份额累计净值增长率变动及其与同期业绩比较基准收益率变动的比较</w:t>
      </w:r>
    </w:p>
    <w:p w:rsidR="008606B6" w:rsidRPr="00414345" w:rsidRDefault="008606B6" w:rsidP="00C15CAC">
      <w:pPr>
        <w:spacing w:before="29" w:line="288" w:lineRule="auto"/>
        <w:jc w:val="center"/>
        <w:rPr>
          <w:color w:val="000000"/>
          <w:sz w:val="24"/>
          <w:szCs w:val="24"/>
        </w:rPr>
      </w:pPr>
      <w:r w:rsidRPr="00414345">
        <w:rPr>
          <w:color w:val="000000"/>
          <w:sz w:val="24"/>
          <w:szCs w:val="24"/>
        </w:rPr>
        <w:t>交银施罗德精选混合型证券投资基金</w:t>
      </w:r>
    </w:p>
    <w:p w:rsidR="004061AC" w:rsidRPr="00414345" w:rsidRDefault="00B56F53" w:rsidP="00C15CAC">
      <w:pPr>
        <w:pStyle w:val="a5"/>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color w:val="000000"/>
          <w:sz w:val="24"/>
          <w:szCs w:val="24"/>
        </w:rPr>
        <w:t>份额累计净值增长率与业绩比较基准收益率历史走势对比图</w:t>
      </w:r>
    </w:p>
    <w:p w:rsidR="00AE7962" w:rsidRPr="00414345" w:rsidRDefault="00DE4B43" w:rsidP="00C15CAC">
      <w:pPr>
        <w:pStyle w:val="a5"/>
        <w:snapToGrid w:val="0"/>
        <w:spacing w:before="29" w:line="288" w:lineRule="auto"/>
        <w:ind w:firstLine="480"/>
        <w:jc w:val="center"/>
        <w:rPr>
          <w:rFonts w:ascii="Times New Roman" w:hAnsi="Times New Roman" w:cs="Times New Roman"/>
          <w:sz w:val="24"/>
          <w:szCs w:val="24"/>
        </w:rPr>
      </w:pPr>
      <w:r w:rsidRPr="00414345">
        <w:rPr>
          <w:rFonts w:ascii="Times New Roman" w:hAnsi="Times New Roman" w:cs="Times New Roman"/>
          <w:color w:val="000000"/>
          <w:sz w:val="24"/>
          <w:szCs w:val="24"/>
        </w:rPr>
        <w:t>（</w:t>
      </w:r>
      <w:r w:rsidR="0042009D" w:rsidRPr="00414345">
        <w:rPr>
          <w:rFonts w:ascii="Times New Roman" w:hAnsi="Times New Roman" w:cs="Times New Roman"/>
          <w:sz w:val="24"/>
          <w:szCs w:val="24"/>
        </w:rPr>
        <w:t>2005</w:t>
      </w:r>
      <w:r w:rsidR="0042009D" w:rsidRPr="00414345">
        <w:rPr>
          <w:rFonts w:ascii="Times New Roman" w:hAnsi="Times New Roman" w:cs="Times New Roman"/>
          <w:sz w:val="24"/>
          <w:szCs w:val="24"/>
        </w:rPr>
        <w:t>年</w:t>
      </w:r>
      <w:r w:rsidR="0042009D" w:rsidRPr="00414345">
        <w:rPr>
          <w:rFonts w:ascii="Times New Roman" w:hAnsi="Times New Roman" w:cs="Times New Roman"/>
          <w:sz w:val="24"/>
          <w:szCs w:val="24"/>
        </w:rPr>
        <w:t>9</w:t>
      </w:r>
      <w:r w:rsidR="0042009D" w:rsidRPr="00414345">
        <w:rPr>
          <w:rFonts w:ascii="Times New Roman" w:hAnsi="Times New Roman" w:cs="Times New Roman"/>
          <w:sz w:val="24"/>
          <w:szCs w:val="24"/>
        </w:rPr>
        <w:t>月</w:t>
      </w:r>
      <w:r w:rsidR="0042009D" w:rsidRPr="00414345">
        <w:rPr>
          <w:rFonts w:ascii="Times New Roman" w:hAnsi="Times New Roman" w:cs="Times New Roman"/>
          <w:sz w:val="24"/>
          <w:szCs w:val="24"/>
        </w:rPr>
        <w:t>29</w:t>
      </w:r>
      <w:r w:rsidR="0042009D" w:rsidRPr="00414345">
        <w:rPr>
          <w:rFonts w:ascii="Times New Roman" w:hAnsi="Times New Roman" w:cs="Times New Roman"/>
          <w:sz w:val="24"/>
          <w:szCs w:val="24"/>
        </w:rPr>
        <w:t>日</w:t>
      </w:r>
      <w:r w:rsidR="00AE7962" w:rsidRPr="00414345">
        <w:rPr>
          <w:rFonts w:ascii="Times New Roman" w:hAnsi="Times New Roman" w:cs="Times New Roman"/>
          <w:sz w:val="24"/>
          <w:szCs w:val="24"/>
        </w:rPr>
        <w:t>至</w:t>
      </w:r>
      <w:r w:rsidR="00AE7962" w:rsidRPr="00414345">
        <w:rPr>
          <w:rFonts w:ascii="Times New Roman" w:hAnsi="Times New Roman" w:cs="Times New Roman"/>
          <w:sz w:val="24"/>
          <w:szCs w:val="24"/>
        </w:rPr>
        <w:t>2020</w:t>
      </w:r>
      <w:r w:rsidR="00AE7962" w:rsidRPr="00414345">
        <w:rPr>
          <w:rFonts w:ascii="Times New Roman" w:hAnsi="Times New Roman" w:cs="Times New Roman"/>
          <w:sz w:val="24"/>
          <w:szCs w:val="24"/>
        </w:rPr>
        <w:t>年</w:t>
      </w:r>
      <w:r w:rsidR="00AE7962" w:rsidRPr="00414345">
        <w:rPr>
          <w:rFonts w:ascii="Times New Roman" w:hAnsi="Times New Roman" w:cs="Times New Roman"/>
          <w:sz w:val="24"/>
          <w:szCs w:val="24"/>
        </w:rPr>
        <w:t>12</w:t>
      </w:r>
      <w:r w:rsidR="00AE7962" w:rsidRPr="00414345">
        <w:rPr>
          <w:rFonts w:ascii="Times New Roman" w:hAnsi="Times New Roman" w:cs="Times New Roman"/>
          <w:sz w:val="24"/>
          <w:szCs w:val="24"/>
        </w:rPr>
        <w:t>月</w:t>
      </w:r>
      <w:r w:rsidR="00AE7962" w:rsidRPr="00414345">
        <w:rPr>
          <w:rFonts w:ascii="Times New Roman" w:hAnsi="Times New Roman" w:cs="Times New Roman"/>
          <w:sz w:val="24"/>
          <w:szCs w:val="24"/>
        </w:rPr>
        <w:t>31</w:t>
      </w:r>
      <w:r w:rsidR="00AE7962" w:rsidRPr="00414345">
        <w:rPr>
          <w:rFonts w:ascii="Times New Roman" w:hAnsi="Times New Roman" w:cs="Times New Roman"/>
          <w:sz w:val="24"/>
          <w:szCs w:val="24"/>
        </w:rPr>
        <w:t>日</w:t>
      </w:r>
      <w:r w:rsidRPr="00414345">
        <w:rPr>
          <w:rFonts w:ascii="Times New Roman" w:hAnsi="Times New Roman" w:cs="Times New Roman"/>
          <w:color w:val="000000"/>
          <w:sz w:val="24"/>
          <w:szCs w:val="24"/>
        </w:rPr>
        <w:t>）</w:t>
      </w:r>
    </w:p>
    <w:p w:rsidR="004061AC" w:rsidRPr="00414345" w:rsidRDefault="00B816A7" w:rsidP="00C15CAC">
      <w:pPr>
        <w:pStyle w:val="a5"/>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noProof/>
          <w:color w:val="000000"/>
          <w:sz w:val="24"/>
          <w:szCs w:val="24"/>
        </w:rPr>
        <w:drawing>
          <wp:inline distT="0" distB="0" distL="0" distR="0">
            <wp:extent cx="5731510" cy="3356610"/>
            <wp:effectExtent l="19050" t="0" r="2540" b="0"/>
            <wp:docPr id="3" name="图片 2"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4" cstate="print"/>
                    <a:stretch>
                      <a:fillRect/>
                    </a:stretch>
                  </pic:blipFill>
                  <pic:spPr>
                    <a:xfrm>
                      <a:off x="0" y="0"/>
                      <a:ext cx="5731510" cy="3356610"/>
                    </a:xfrm>
                    <a:prstGeom prst="rect">
                      <a:avLst/>
                    </a:prstGeom>
                  </pic:spPr>
                </pic:pic>
              </a:graphicData>
            </a:graphic>
          </wp:inline>
        </w:drawing>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注：本基金建仓期为自基金合同生效日起的</w:t>
      </w:r>
      <w:r w:rsidRPr="00414345">
        <w:rPr>
          <w:color w:val="000000"/>
          <w:sz w:val="24"/>
          <w:szCs w:val="24"/>
        </w:rPr>
        <w:t>6</w:t>
      </w:r>
      <w:r w:rsidRPr="00414345">
        <w:rPr>
          <w:color w:val="000000"/>
          <w:sz w:val="24"/>
          <w:szCs w:val="24"/>
        </w:rPr>
        <w:t>个月。截至建仓期结束，本基金各项资产配置比例符合基金合同及招募说明书有关投资比例的约定。</w:t>
      </w:r>
    </w:p>
    <w:p w:rsidR="00957594" w:rsidRPr="00414345" w:rsidRDefault="00957594" w:rsidP="00C15CAC">
      <w:pPr>
        <w:tabs>
          <w:tab w:val="left" w:pos="1800"/>
        </w:tabs>
        <w:spacing w:before="29" w:line="288" w:lineRule="auto"/>
        <w:rPr>
          <w:color w:val="000000"/>
          <w:sz w:val="24"/>
          <w:szCs w:val="24"/>
        </w:rPr>
      </w:pPr>
    </w:p>
    <w:p w:rsidR="00693843" w:rsidRPr="00414345" w:rsidRDefault="00693843" w:rsidP="00C15CAC">
      <w:pPr>
        <w:tabs>
          <w:tab w:val="left" w:pos="1800"/>
        </w:tabs>
        <w:spacing w:before="29" w:line="288" w:lineRule="auto"/>
        <w:rPr>
          <w:color w:val="000000"/>
          <w:sz w:val="24"/>
          <w:szCs w:val="24"/>
        </w:rPr>
      </w:pP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§4  </w:t>
      </w:r>
      <w:r w:rsidRPr="00414345">
        <w:rPr>
          <w:color w:val="000000"/>
          <w:kern w:val="0"/>
          <w:sz w:val="24"/>
          <w:szCs w:val="24"/>
        </w:rPr>
        <w:t>管理人报告</w:t>
      </w:r>
    </w:p>
    <w:p w:rsidR="00B12B7D"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4.1 </w:t>
      </w:r>
      <w:r w:rsidRPr="00414345">
        <w:rPr>
          <w:b/>
          <w:bCs/>
          <w:color w:val="000000"/>
          <w:kern w:val="0"/>
          <w:sz w:val="24"/>
          <w:szCs w:val="24"/>
        </w:rPr>
        <w:t>基金经理</w:t>
      </w:r>
      <w:r w:rsidR="00333AD0" w:rsidRPr="00414345">
        <w:rPr>
          <w:b/>
          <w:color w:val="000000"/>
          <w:kern w:val="0"/>
          <w:sz w:val="24"/>
        </w:rPr>
        <w:t>（</w:t>
      </w:r>
      <w:r w:rsidRPr="00414345">
        <w:rPr>
          <w:b/>
          <w:bCs/>
          <w:color w:val="000000"/>
          <w:kern w:val="0"/>
          <w:sz w:val="24"/>
          <w:szCs w:val="24"/>
        </w:rPr>
        <w:t>或基金经理小组</w:t>
      </w:r>
      <w:r w:rsidR="00333AD0" w:rsidRPr="00414345">
        <w:rPr>
          <w:b/>
          <w:color w:val="000000"/>
          <w:kern w:val="0"/>
          <w:sz w:val="24"/>
        </w:rPr>
        <w:t>）</w:t>
      </w:r>
      <w:r w:rsidRPr="00414345">
        <w:rPr>
          <w:b/>
          <w:bCs/>
          <w:color w:val="000000"/>
          <w:kern w:val="0"/>
          <w:sz w:val="24"/>
          <w:szCs w:val="24"/>
        </w:rPr>
        <w:t>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845"/>
        <w:gridCol w:w="1549"/>
        <w:gridCol w:w="1548"/>
        <w:gridCol w:w="1407"/>
        <w:gridCol w:w="2673"/>
      </w:tblGrid>
      <w:tr w:rsidR="00286BEF" w:rsidRPr="00414345" w:rsidTr="006A10AB">
        <w:trPr>
          <w:trHeight w:val="292"/>
          <w:jc w:val="center"/>
        </w:trPr>
        <w:tc>
          <w:tcPr>
            <w:tcW w:w="851"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姓名</w:t>
            </w:r>
          </w:p>
        </w:tc>
        <w:tc>
          <w:tcPr>
            <w:tcW w:w="850"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职务</w:t>
            </w:r>
          </w:p>
        </w:tc>
        <w:tc>
          <w:tcPr>
            <w:tcW w:w="3119" w:type="dxa"/>
            <w:gridSpan w:val="2"/>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任本基金的基金经理期限</w:t>
            </w:r>
          </w:p>
        </w:tc>
        <w:tc>
          <w:tcPr>
            <w:tcW w:w="1417" w:type="dxa"/>
            <w:vMerge w:val="restart"/>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证券从业年限</w:t>
            </w:r>
          </w:p>
        </w:tc>
        <w:tc>
          <w:tcPr>
            <w:tcW w:w="2694"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说明</w:t>
            </w:r>
          </w:p>
        </w:tc>
      </w:tr>
      <w:tr w:rsidR="00D13737" w:rsidRPr="00414345" w:rsidTr="006A10AB">
        <w:trPr>
          <w:jc w:val="center"/>
        </w:trPr>
        <w:tc>
          <w:tcPr>
            <w:tcW w:w="851"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850"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1560"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任职日期</w:t>
            </w:r>
          </w:p>
        </w:tc>
        <w:tc>
          <w:tcPr>
            <w:tcW w:w="1559"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离任日期</w:t>
            </w:r>
          </w:p>
        </w:tc>
        <w:tc>
          <w:tcPr>
            <w:tcW w:w="1417"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2694" w:type="dxa"/>
            <w:vMerge/>
            <w:vAlign w:val="center"/>
          </w:tcPr>
          <w:p w:rsidR="004061AC" w:rsidRPr="00414345" w:rsidRDefault="004061AC" w:rsidP="00C15CAC">
            <w:pPr>
              <w:widowControl/>
              <w:spacing w:before="29" w:line="288" w:lineRule="auto"/>
              <w:jc w:val="left"/>
              <w:rPr>
                <w:color w:val="000000"/>
                <w:kern w:val="0"/>
                <w:sz w:val="24"/>
                <w:szCs w:val="24"/>
              </w:rPr>
            </w:pPr>
          </w:p>
        </w:tc>
      </w:tr>
      <w:tr w:rsidR="002D048A">
        <w:trPr>
          <w:jc w:val="center"/>
        </w:trPr>
        <w:tc>
          <w:tcPr>
            <w:tcW w:w="846" w:type="dxa"/>
            <w:vAlign w:val="center"/>
          </w:tcPr>
          <w:p w:rsidR="002D048A" w:rsidRDefault="00737578">
            <w:pPr>
              <w:jc w:val="center"/>
            </w:pPr>
            <w:r>
              <w:rPr>
                <w:color w:val="000000"/>
                <w:sz w:val="24"/>
                <w:szCs w:val="24"/>
              </w:rPr>
              <w:t>王崇</w:t>
            </w:r>
          </w:p>
        </w:tc>
        <w:tc>
          <w:tcPr>
            <w:tcW w:w="845" w:type="dxa"/>
            <w:vAlign w:val="center"/>
          </w:tcPr>
          <w:p w:rsidR="002D048A" w:rsidRDefault="00737578">
            <w:pPr>
              <w:jc w:val="center"/>
            </w:pPr>
            <w:r>
              <w:rPr>
                <w:color w:val="000000"/>
                <w:sz w:val="24"/>
                <w:szCs w:val="24"/>
              </w:rPr>
              <w:t>交银精选混合、交银新成</w:t>
            </w:r>
            <w:r>
              <w:rPr>
                <w:color w:val="000000"/>
                <w:sz w:val="24"/>
                <w:szCs w:val="24"/>
              </w:rPr>
              <w:lastRenderedPageBreak/>
              <w:t>长混合、交银瑞丰混合的基金经理，公司权益投资副总监</w:t>
            </w:r>
          </w:p>
        </w:tc>
        <w:tc>
          <w:tcPr>
            <w:tcW w:w="1549" w:type="dxa"/>
            <w:vAlign w:val="center"/>
          </w:tcPr>
          <w:p w:rsidR="002D048A" w:rsidRDefault="00737578">
            <w:pPr>
              <w:jc w:val="center"/>
            </w:pPr>
            <w:r>
              <w:rPr>
                <w:color w:val="000000"/>
                <w:sz w:val="24"/>
                <w:szCs w:val="24"/>
              </w:rPr>
              <w:lastRenderedPageBreak/>
              <w:t>2017-06-03</w:t>
            </w:r>
          </w:p>
        </w:tc>
        <w:tc>
          <w:tcPr>
            <w:tcW w:w="1548" w:type="dxa"/>
            <w:vAlign w:val="center"/>
          </w:tcPr>
          <w:p w:rsidR="002D048A" w:rsidRDefault="00737578">
            <w:pPr>
              <w:jc w:val="center"/>
            </w:pPr>
            <w:r>
              <w:rPr>
                <w:color w:val="000000"/>
                <w:sz w:val="24"/>
                <w:szCs w:val="24"/>
              </w:rPr>
              <w:t>-</w:t>
            </w:r>
          </w:p>
        </w:tc>
        <w:tc>
          <w:tcPr>
            <w:tcW w:w="1407" w:type="dxa"/>
            <w:vAlign w:val="center"/>
          </w:tcPr>
          <w:p w:rsidR="002D048A" w:rsidRDefault="00737578">
            <w:pPr>
              <w:jc w:val="center"/>
            </w:pPr>
            <w:r>
              <w:rPr>
                <w:color w:val="000000"/>
                <w:sz w:val="24"/>
                <w:szCs w:val="24"/>
              </w:rPr>
              <w:t>12</w:t>
            </w:r>
            <w:r>
              <w:rPr>
                <w:color w:val="000000"/>
                <w:sz w:val="24"/>
                <w:szCs w:val="24"/>
              </w:rPr>
              <w:t>年</w:t>
            </w:r>
          </w:p>
        </w:tc>
        <w:tc>
          <w:tcPr>
            <w:tcW w:w="2673" w:type="dxa"/>
            <w:vAlign w:val="center"/>
          </w:tcPr>
          <w:p w:rsidR="002D048A" w:rsidRDefault="00737578">
            <w:r>
              <w:rPr>
                <w:color w:val="000000"/>
                <w:sz w:val="24"/>
                <w:szCs w:val="24"/>
              </w:rPr>
              <w:t>王崇先生，北京大学金融学博士。</w:t>
            </w:r>
            <w:r>
              <w:rPr>
                <w:color w:val="000000"/>
                <w:sz w:val="24"/>
                <w:szCs w:val="24"/>
              </w:rPr>
              <w:t>2008</w:t>
            </w:r>
            <w:r>
              <w:rPr>
                <w:color w:val="000000"/>
                <w:sz w:val="24"/>
                <w:szCs w:val="24"/>
              </w:rPr>
              <w:t>年加入交银施罗德基金管理有限公司，历任行业分析师、高级研究员。</w:t>
            </w:r>
          </w:p>
        </w:tc>
      </w:tr>
    </w:tbl>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注：基金经理（或基金经理小组）期后变动（如有）敬请关注基金管理人发布的相关公告。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4.2 </w:t>
      </w:r>
      <w:r w:rsidRPr="00414345">
        <w:rPr>
          <w:b/>
          <w:bCs/>
          <w:color w:val="000000"/>
          <w:kern w:val="0"/>
          <w:sz w:val="24"/>
          <w:szCs w:val="24"/>
        </w:rPr>
        <w:t>管理人对报告期内本基金运作遵规守信情况的说明</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4.3 </w:t>
      </w:r>
      <w:r w:rsidRPr="00414345">
        <w:rPr>
          <w:b/>
          <w:bCs/>
          <w:color w:val="000000"/>
          <w:kern w:val="0"/>
          <w:sz w:val="24"/>
          <w:szCs w:val="24"/>
        </w:rPr>
        <w:t>公平交易专项说明</w:t>
      </w:r>
    </w:p>
    <w:p w:rsidR="004061AC" w:rsidRPr="00414345" w:rsidRDefault="004061AC" w:rsidP="00C15CAC">
      <w:pPr>
        <w:spacing w:before="29" w:line="288" w:lineRule="auto"/>
        <w:rPr>
          <w:color w:val="000000"/>
          <w:sz w:val="24"/>
          <w:szCs w:val="24"/>
        </w:rPr>
      </w:pPr>
      <w:r w:rsidRPr="00414345">
        <w:rPr>
          <w:color w:val="000000"/>
          <w:sz w:val="24"/>
          <w:szCs w:val="24"/>
        </w:rPr>
        <w:t xml:space="preserve">4.3.1 </w:t>
      </w:r>
      <w:r w:rsidRPr="00414345">
        <w:rPr>
          <w:color w:val="000000"/>
          <w:sz w:val="24"/>
          <w:szCs w:val="24"/>
        </w:rPr>
        <w:t>公平交易制度的执行情况</w:t>
      </w:r>
    </w:p>
    <w:p w:rsidR="002D048A" w:rsidRDefault="00737578">
      <w:pPr>
        <w:spacing w:before="29" w:line="288" w:lineRule="auto"/>
        <w:ind w:firstLineChars="200" w:firstLine="480"/>
        <w:rPr>
          <w:color w:val="000000"/>
          <w:sz w:val="24"/>
          <w:szCs w:val="24"/>
        </w:rPr>
      </w:pPr>
      <w:r>
        <w:rPr>
          <w:color w:val="000000"/>
          <w:sz w:val="24"/>
          <w:szCs w:val="24"/>
        </w:rPr>
        <w:t>本公司制定了严格的投资控制制度和公平交易监控制度来保证旗下基金运作的公平，旗下所管理的所有资产组合，包括证券投资基金和私募资产管理计划均严格遵循制度进行公平交易。</w:t>
      </w:r>
    </w:p>
    <w:p w:rsidR="002D048A" w:rsidRDefault="00737578">
      <w:pPr>
        <w:spacing w:before="29" w:line="288" w:lineRule="auto"/>
        <w:ind w:firstLineChars="200" w:firstLine="480"/>
        <w:rPr>
          <w:color w:val="000000"/>
          <w:sz w:val="24"/>
          <w:szCs w:val="24"/>
        </w:rPr>
      </w:pPr>
      <w:r>
        <w:rPr>
          <w:color w:val="000000"/>
          <w:sz w:val="24"/>
          <w:szCs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szCs w:val="24"/>
        </w:rPr>
        <w:t>“</w:t>
      </w:r>
      <w:r>
        <w:rPr>
          <w:color w:val="000000"/>
          <w:sz w:val="24"/>
          <w:szCs w:val="24"/>
        </w:rPr>
        <w:t>价格优先、时间优先</w:t>
      </w:r>
      <w:r>
        <w:rPr>
          <w:color w:val="000000"/>
          <w:sz w:val="24"/>
          <w:szCs w:val="24"/>
        </w:rPr>
        <w:t>”</w:t>
      </w:r>
      <w:r>
        <w:rPr>
          <w:color w:val="000000"/>
          <w:sz w:val="24"/>
          <w:szCs w:val="24"/>
        </w:rPr>
        <w:t>的原则，全部通过交易系统进行比例分配；对于非集中竞价交易、以公司名义进行的场外交易，遵循公平交易分配原则对</w:t>
      </w:r>
      <w:r>
        <w:rPr>
          <w:color w:val="000000"/>
          <w:sz w:val="24"/>
          <w:szCs w:val="24"/>
        </w:rPr>
        <w:t>交易结果进行分配。</w:t>
      </w:r>
    </w:p>
    <w:p w:rsidR="002D048A" w:rsidRDefault="00737578">
      <w:pPr>
        <w:spacing w:before="29" w:line="288" w:lineRule="auto"/>
        <w:ind w:firstLineChars="200" w:firstLine="480"/>
        <w:rPr>
          <w:color w:val="000000"/>
          <w:sz w:val="24"/>
          <w:szCs w:val="24"/>
        </w:rPr>
      </w:pPr>
      <w:r>
        <w:rPr>
          <w:color w:val="000000"/>
          <w:sz w:val="24"/>
          <w:szCs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报告期内本公司严格执行公平交易制度，公平对待旗下各投资组合，未发现任何违反公平交易的行为。</w:t>
      </w:r>
    </w:p>
    <w:p w:rsidR="004061AC" w:rsidRPr="00414345" w:rsidRDefault="004061AC" w:rsidP="00C15CAC">
      <w:pPr>
        <w:spacing w:before="29" w:line="288" w:lineRule="auto"/>
        <w:rPr>
          <w:color w:val="000000"/>
          <w:sz w:val="24"/>
          <w:szCs w:val="24"/>
        </w:rPr>
      </w:pPr>
      <w:r w:rsidRPr="00414345">
        <w:rPr>
          <w:color w:val="000000"/>
          <w:sz w:val="24"/>
          <w:szCs w:val="24"/>
        </w:rPr>
        <w:t xml:space="preserve">4.3.2 </w:t>
      </w:r>
      <w:r w:rsidRPr="00414345">
        <w:rPr>
          <w:color w:val="000000"/>
          <w:sz w:val="24"/>
          <w:szCs w:val="24"/>
        </w:rPr>
        <w:t>异常交易行为的专项说明</w:t>
      </w:r>
    </w:p>
    <w:p w:rsidR="004061AC" w:rsidRPr="00414345" w:rsidRDefault="00957594" w:rsidP="00C15CAC">
      <w:pPr>
        <w:spacing w:before="29" w:line="288" w:lineRule="auto"/>
        <w:ind w:firstLineChars="200" w:firstLine="480"/>
        <w:rPr>
          <w:color w:val="000000"/>
          <w:sz w:val="24"/>
          <w:szCs w:val="24"/>
        </w:rPr>
      </w:pPr>
      <w:r w:rsidRPr="00414345">
        <w:rPr>
          <w:color w:val="000000"/>
          <w:sz w:val="24"/>
          <w:szCs w:val="24"/>
        </w:rPr>
        <w:t>本基金于本报告期内不存在异常交易行为。本报告期内，本公司管理的所有投资组</w:t>
      </w:r>
      <w:r w:rsidRPr="00414345">
        <w:rPr>
          <w:color w:val="000000"/>
          <w:sz w:val="24"/>
          <w:szCs w:val="24"/>
        </w:rPr>
        <w:lastRenderedPageBreak/>
        <w:t>合参与的交易所公开竞价同日反向交易成交较少的单边交易量没有超过该证券当日总成交量</w:t>
      </w:r>
      <w:r w:rsidRPr="00414345">
        <w:rPr>
          <w:color w:val="000000"/>
          <w:sz w:val="24"/>
          <w:szCs w:val="24"/>
        </w:rPr>
        <w:t>5%</w:t>
      </w:r>
      <w:r w:rsidRPr="00414345">
        <w:rPr>
          <w:color w:val="000000"/>
          <w:sz w:val="24"/>
          <w:szCs w:val="24"/>
        </w:rPr>
        <w:t>的情形，本基金与本公司管理的其他投资组合在不同时间窗下（如日内、</w:t>
      </w:r>
      <w:r w:rsidRPr="00414345">
        <w:rPr>
          <w:color w:val="000000"/>
          <w:sz w:val="24"/>
          <w:szCs w:val="24"/>
        </w:rPr>
        <w:t>3</w:t>
      </w:r>
      <w:r w:rsidRPr="00414345">
        <w:rPr>
          <w:color w:val="000000"/>
          <w:sz w:val="24"/>
          <w:szCs w:val="24"/>
        </w:rPr>
        <w:t>日内、</w:t>
      </w:r>
      <w:r w:rsidRPr="00414345">
        <w:rPr>
          <w:color w:val="000000"/>
          <w:sz w:val="24"/>
          <w:szCs w:val="24"/>
        </w:rPr>
        <w:t>5</w:t>
      </w:r>
      <w:r w:rsidRPr="00414345">
        <w:rPr>
          <w:color w:val="000000"/>
          <w:sz w:val="24"/>
          <w:szCs w:val="24"/>
        </w:rPr>
        <w:t>日内）同向交易的交易价差未出现异常。</w:t>
      </w:r>
    </w:p>
    <w:p w:rsidR="004061AC" w:rsidRPr="00414345" w:rsidRDefault="004061AC"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 xml:space="preserve">4.4 </w:t>
      </w:r>
      <w:r w:rsidRPr="00414345">
        <w:rPr>
          <w:rFonts w:hAnsi="宋体"/>
          <w:b/>
          <w:bCs/>
          <w:color w:val="000000"/>
          <w:sz w:val="24"/>
        </w:rPr>
        <w:t>报告期内基金的投资策略和运作分析</w:t>
      </w:r>
    </w:p>
    <w:p w:rsidR="002D048A" w:rsidRDefault="00737578">
      <w:pPr>
        <w:spacing w:before="29" w:line="288" w:lineRule="auto"/>
        <w:ind w:firstLineChars="200" w:firstLine="480"/>
        <w:rPr>
          <w:color w:val="000000"/>
          <w:sz w:val="24"/>
          <w:szCs w:val="24"/>
        </w:rPr>
      </w:pPr>
      <w:r>
        <w:rPr>
          <w:color w:val="000000"/>
          <w:sz w:val="24"/>
          <w:szCs w:val="24"/>
        </w:rPr>
        <w:t>2020</w:t>
      </w:r>
      <w:r>
        <w:rPr>
          <w:color w:val="000000"/>
          <w:sz w:val="24"/>
          <w:szCs w:val="24"/>
        </w:rPr>
        <w:t>年四季度国内经济延续复苏趋势，大宗商品价格高歌猛进，货币政策回归正常化但总体维持宽松，长短端利率总体平稳。四季度</w:t>
      </w:r>
      <w:r>
        <w:rPr>
          <w:color w:val="000000"/>
          <w:sz w:val="24"/>
          <w:szCs w:val="24"/>
        </w:rPr>
        <w:t>A</w:t>
      </w:r>
      <w:r>
        <w:rPr>
          <w:color w:val="000000"/>
          <w:sz w:val="24"/>
          <w:szCs w:val="24"/>
        </w:rPr>
        <w:t>股市场总体小幅上涨，其中创业板指数涨幅好于主板指数。行业层面新能源和汽车涨幅遥遥领先，白酒医疗服务等消费板块继续新高，金融地产大金融板块小幅反弹后有所回落。</w:t>
      </w:r>
    </w:p>
    <w:p w:rsidR="002D048A" w:rsidRDefault="00737578">
      <w:pPr>
        <w:spacing w:before="29" w:line="288" w:lineRule="auto"/>
        <w:ind w:firstLineChars="200" w:firstLine="480"/>
        <w:rPr>
          <w:color w:val="000000"/>
          <w:sz w:val="24"/>
          <w:szCs w:val="24"/>
        </w:rPr>
      </w:pPr>
      <w:r>
        <w:rPr>
          <w:color w:val="000000"/>
          <w:sz w:val="24"/>
          <w:szCs w:val="24"/>
        </w:rPr>
        <w:t>本基金在四季度维持较高仓位，减持房地产和消费电子相关标的，加仓化工和计算机相关标的，从整个季度表现来看，本基金跑赢业绩比较基准。</w:t>
      </w:r>
      <w:r>
        <w:rPr>
          <w:color w:val="000000"/>
          <w:sz w:val="24"/>
          <w:szCs w:val="24"/>
        </w:rPr>
        <w:t xml:space="preserve"> </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展望</w:t>
      </w:r>
      <w:r w:rsidRPr="00414345">
        <w:rPr>
          <w:color w:val="000000"/>
          <w:sz w:val="24"/>
          <w:szCs w:val="24"/>
        </w:rPr>
        <w:t>2021</w:t>
      </w:r>
      <w:r w:rsidRPr="00414345">
        <w:rPr>
          <w:color w:val="000000"/>
          <w:sz w:val="24"/>
          <w:szCs w:val="24"/>
        </w:rPr>
        <w:t>年一季度，我们保持谨慎但不悲观的看法。我们观察到广谱层面的价格上涨（从工业大宗到农业的玉米，从房价到服务），国内经济有走向过热的趋势，预计</w:t>
      </w:r>
      <w:r w:rsidRPr="00414345">
        <w:rPr>
          <w:color w:val="000000"/>
          <w:sz w:val="24"/>
          <w:szCs w:val="24"/>
        </w:rPr>
        <w:t>202</w:t>
      </w:r>
      <w:bookmarkStart w:id="0" w:name="_GoBack"/>
      <w:bookmarkEnd w:id="0"/>
      <w:r w:rsidRPr="00414345">
        <w:rPr>
          <w:color w:val="000000"/>
          <w:sz w:val="24"/>
          <w:szCs w:val="24"/>
        </w:rPr>
        <w:t>1</w:t>
      </w:r>
      <w:r w:rsidR="00B62678">
        <w:rPr>
          <w:rFonts w:hint="eastAsia"/>
          <w:color w:val="000000"/>
          <w:sz w:val="24"/>
          <w:szCs w:val="24"/>
        </w:rPr>
        <w:t>年</w:t>
      </w:r>
      <w:r w:rsidRPr="00414345">
        <w:rPr>
          <w:color w:val="000000"/>
          <w:sz w:val="24"/>
          <w:szCs w:val="24"/>
        </w:rPr>
        <w:t>货币政策正常化会对权益市场估值水平有所压制。市场层面我们看到风格和行业更加极致化，热门行业、个股于四季度估值继续拉升。我们要相信常识，即使是最确定的优质龙头估值短期大幅度高企后也必然是牺牲未来回报率为代价，而所谓的质地优秀和未来成长确定性更是市场预测，有一定的不确定性。本基金后续投资布局上尽量规避强周期成长行业给出成长股估值的周期股。按照内需为先，结构优于总量、顺周期成长优于纯成长的思路，我们将继续关注物流服务，建材、餐饮供应链、大炼化、军工电子，软件以及消费升级相关的产品和服务，坚持行业分散，个股精选、逆向投资，控制回撤，努力为基金持有人带来稳健回报。</w:t>
      </w:r>
    </w:p>
    <w:p w:rsidR="00627E2D" w:rsidRPr="00414345" w:rsidRDefault="00627E2D"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4.5</w:t>
      </w:r>
      <w:r w:rsidRPr="00414345">
        <w:rPr>
          <w:b/>
          <w:color w:val="000000"/>
          <w:kern w:val="0"/>
          <w:sz w:val="24"/>
        </w:rPr>
        <w:t>报告期内基金的业绩表现</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本基金（各类）份额净值及业绩表现请见</w:t>
      </w:r>
      <w:r w:rsidRPr="00414345">
        <w:rPr>
          <w:color w:val="000000"/>
          <w:sz w:val="24"/>
          <w:szCs w:val="24"/>
        </w:rPr>
        <w:t>“3.1</w:t>
      </w:r>
      <w:r w:rsidRPr="00414345">
        <w:rPr>
          <w:color w:val="000000"/>
          <w:sz w:val="24"/>
          <w:szCs w:val="24"/>
        </w:rPr>
        <w:t>主要财务指标</w:t>
      </w:r>
      <w:r w:rsidRPr="00414345">
        <w:rPr>
          <w:color w:val="000000"/>
          <w:sz w:val="24"/>
          <w:szCs w:val="24"/>
        </w:rPr>
        <w:t xml:space="preserve">” </w:t>
      </w:r>
      <w:r w:rsidRPr="00414345">
        <w:rPr>
          <w:color w:val="000000"/>
          <w:sz w:val="24"/>
          <w:szCs w:val="24"/>
        </w:rPr>
        <w:t>及</w:t>
      </w:r>
      <w:r w:rsidRPr="00414345">
        <w:rPr>
          <w:color w:val="000000"/>
          <w:sz w:val="24"/>
          <w:szCs w:val="24"/>
        </w:rPr>
        <w:t xml:space="preserve">“3.2.1 </w:t>
      </w:r>
      <w:r w:rsidRPr="00414345">
        <w:rPr>
          <w:color w:val="000000"/>
          <w:sz w:val="24"/>
          <w:szCs w:val="24"/>
        </w:rPr>
        <w:t>本报告期基金份额净值增长率及其与同期业绩比较基准收益率的比较</w:t>
      </w:r>
      <w:r w:rsidRPr="00414345">
        <w:rPr>
          <w:color w:val="000000"/>
          <w:sz w:val="24"/>
          <w:szCs w:val="24"/>
        </w:rPr>
        <w:t>”</w:t>
      </w:r>
      <w:r w:rsidRPr="00414345">
        <w:rPr>
          <w:color w:val="000000"/>
          <w:sz w:val="24"/>
          <w:szCs w:val="24"/>
        </w:rPr>
        <w:t>部分披露。</w:t>
      </w:r>
    </w:p>
    <w:p w:rsidR="009C5186" w:rsidRPr="00414345" w:rsidRDefault="009C5186" w:rsidP="00C15CAC">
      <w:pPr>
        <w:spacing w:before="29" w:line="288" w:lineRule="auto"/>
        <w:ind w:firstLineChars="200" w:firstLine="480"/>
        <w:rPr>
          <w:color w:val="000000"/>
          <w:sz w:val="24"/>
          <w:szCs w:val="24"/>
        </w:rPr>
      </w:pPr>
    </w:p>
    <w:p w:rsidR="00421CD2" w:rsidRPr="002070B4" w:rsidRDefault="00421CD2" w:rsidP="00421CD2">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421CD2" w:rsidRDefault="00421CD2" w:rsidP="00421CD2">
      <w:pPr>
        <w:spacing w:before="29" w:line="288" w:lineRule="auto"/>
        <w:ind w:firstLineChars="200" w:firstLine="480"/>
        <w:rPr>
          <w:color w:val="000000"/>
          <w:sz w:val="24"/>
        </w:rPr>
      </w:pPr>
      <w:r w:rsidRPr="002070B4">
        <w:rPr>
          <w:color w:val="000000"/>
          <w:sz w:val="24"/>
        </w:rPr>
        <w:t>本基金本报告期内无需预警说明。</w:t>
      </w: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w:t>
      </w:r>
      <w:r w:rsidR="001C0993" w:rsidRPr="00414345">
        <w:rPr>
          <w:color w:val="000000"/>
          <w:kern w:val="0"/>
          <w:sz w:val="24"/>
          <w:szCs w:val="24"/>
        </w:rPr>
        <w:t>5</w:t>
      </w:r>
      <w:r w:rsidR="00834E74">
        <w:rPr>
          <w:color w:val="000000"/>
          <w:kern w:val="0"/>
          <w:sz w:val="24"/>
          <w:szCs w:val="24"/>
        </w:rPr>
        <w:t xml:space="preserve">  </w:t>
      </w:r>
      <w:r w:rsidRPr="00414345">
        <w:rPr>
          <w:color w:val="000000"/>
          <w:kern w:val="0"/>
          <w:sz w:val="24"/>
          <w:szCs w:val="24"/>
        </w:rPr>
        <w:t>投资组合报告</w:t>
      </w:r>
    </w:p>
    <w:p w:rsidR="00BF0019" w:rsidRDefault="00BF0019" w:rsidP="00BF0019">
      <w:pPr>
        <w:autoSpaceDE w:val="0"/>
        <w:autoSpaceDN w:val="0"/>
        <w:adjustRightInd w:val="0"/>
        <w:spacing w:line="360" w:lineRule="auto"/>
        <w:jc w:val="left"/>
        <w:rPr>
          <w:rFonts w:eastAsiaTheme="minorEastAsia"/>
          <w:b/>
          <w:color w:val="000000" w:themeColor="text1"/>
          <w:kern w:val="0"/>
          <w:sz w:val="24"/>
          <w:szCs w:val="24"/>
        </w:rPr>
      </w:pPr>
      <w:r w:rsidRPr="007B5F21">
        <w:rPr>
          <w:rFonts w:eastAsiaTheme="minorEastAsia"/>
          <w:b/>
          <w:color w:val="000000" w:themeColor="text1"/>
          <w:kern w:val="0"/>
          <w:sz w:val="24"/>
          <w:szCs w:val="24"/>
        </w:rPr>
        <w:t xml:space="preserve">5.1 </w:t>
      </w:r>
      <w:r w:rsidRPr="007B5F21">
        <w:rPr>
          <w:rFonts w:eastAsiaTheme="minorEastAsia"/>
          <w:b/>
          <w:color w:val="000000" w:themeColor="text1"/>
          <w:kern w:val="0"/>
          <w:sz w:val="24"/>
          <w:szCs w:val="24"/>
        </w:rPr>
        <w:t>报告期末基金资产组合情况</w:t>
      </w:r>
    </w:p>
    <w:p w:rsidR="006B5F69" w:rsidRPr="007B5F21" w:rsidRDefault="009C1009" w:rsidP="009C1009">
      <w:pPr>
        <w:autoSpaceDE w:val="0"/>
        <w:autoSpaceDN w:val="0"/>
        <w:adjustRightInd w:val="0"/>
        <w:spacing w:line="360" w:lineRule="auto"/>
        <w:jc w:val="right"/>
        <w:rPr>
          <w:rFonts w:eastAsiaTheme="minorEastAsia"/>
          <w:b/>
          <w:color w:val="000000" w:themeColor="text1"/>
          <w:kern w:val="0"/>
          <w:sz w:val="24"/>
          <w:szCs w:val="24"/>
        </w:rPr>
      </w:pPr>
      <w:r w:rsidRPr="009C1009">
        <w:rPr>
          <w:rFonts w:hint="eastAsia"/>
          <w:color w:val="000000"/>
          <w:kern w:val="0"/>
        </w:rPr>
        <w:t>金额单位：人民币元</w:t>
      </w:r>
    </w:p>
    <w:tbl>
      <w:tblPr>
        <w:tblStyle w:val="af7"/>
        <w:tblW w:w="8897" w:type="dxa"/>
        <w:tblInd w:w="108" w:type="dxa"/>
        <w:tblLayout w:type="fixed"/>
        <w:tblLook w:val="04A0" w:firstRow="1" w:lastRow="0" w:firstColumn="1" w:lastColumn="0" w:noHBand="0" w:noVBand="1"/>
      </w:tblPr>
      <w:tblGrid>
        <w:gridCol w:w="720"/>
        <w:gridCol w:w="2682"/>
        <w:gridCol w:w="2552"/>
        <w:gridCol w:w="2943"/>
      </w:tblGrid>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序号</w:t>
            </w:r>
          </w:p>
        </w:tc>
        <w:tc>
          <w:tcPr>
            <w:tcW w:w="2682"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项目</w:t>
            </w:r>
          </w:p>
        </w:tc>
        <w:tc>
          <w:tcPr>
            <w:tcW w:w="2552"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金额</w:t>
            </w:r>
          </w:p>
        </w:tc>
        <w:tc>
          <w:tcPr>
            <w:tcW w:w="2943"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占基金总资产的比例</w:t>
            </w:r>
            <w:r w:rsidR="0018138B">
              <w:rPr>
                <w:rFonts w:eastAsiaTheme="minorEastAsia" w:hint="eastAsia"/>
                <w:color w:val="000000" w:themeColor="text1"/>
                <w:sz w:val="24"/>
                <w:szCs w:val="24"/>
              </w:rPr>
              <w:t>(</w:t>
            </w:r>
            <w:r w:rsidR="0018138B">
              <w:rPr>
                <w:rFonts w:eastAsiaTheme="minorEastAsia"/>
                <w:color w:val="000000" w:themeColor="text1"/>
                <w:sz w:val="24"/>
                <w:szCs w:val="24"/>
              </w:rPr>
              <w:t>%</w:t>
            </w:r>
            <w:r w:rsidR="0018138B">
              <w:rPr>
                <w:rFonts w:eastAsiaTheme="minorEastAsia" w:hint="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1</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权益投资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9,405,773,269.65</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88.57</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其中：股票</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9,405,773,269.65</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88.57</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2</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ascii="宋体" w:hAnsi="宋体" w:hint="eastAsia"/>
                <w:sz w:val="24"/>
                <w:szCs w:val="24"/>
              </w:rPr>
              <w:t>基金投资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hint="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hint="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3</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固定收益投资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520,034,000.00</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4.90</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其中：债券</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520,034,000.00</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4.90</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682" w:type="dxa"/>
            <w:vAlign w:val="center"/>
          </w:tcPr>
          <w:p w:rsidR="00BF0019" w:rsidRPr="007B5F21" w:rsidRDefault="00BF0019" w:rsidP="007B5F21">
            <w:pPr>
              <w:autoSpaceDE w:val="0"/>
              <w:autoSpaceDN w:val="0"/>
              <w:adjustRightInd w:val="0"/>
              <w:spacing w:before="29" w:line="360" w:lineRule="auto"/>
              <w:ind w:left="17" w:firstLineChars="300" w:firstLine="720"/>
              <w:jc w:val="left"/>
              <w:rPr>
                <w:rFonts w:eastAsiaTheme="minorEastAsia"/>
                <w:color w:val="000000" w:themeColor="text1"/>
                <w:sz w:val="24"/>
                <w:szCs w:val="24"/>
              </w:rPr>
            </w:pPr>
            <w:r w:rsidRPr="007B5F21">
              <w:rPr>
                <w:rFonts w:eastAsiaTheme="minorEastAsia"/>
                <w:color w:val="000000" w:themeColor="text1"/>
                <w:sz w:val="24"/>
                <w:szCs w:val="24"/>
              </w:rPr>
              <w:t>资产支持证券</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4</w:t>
            </w:r>
          </w:p>
        </w:tc>
        <w:tc>
          <w:tcPr>
            <w:tcW w:w="2682" w:type="dxa"/>
            <w:vAlign w:val="center"/>
          </w:tcPr>
          <w:p w:rsidR="00BF0019" w:rsidRPr="007B5F21" w:rsidRDefault="00BF0019" w:rsidP="002D2971">
            <w:pPr>
              <w:spacing w:before="29" w:line="360" w:lineRule="auto"/>
              <w:ind w:leftChars="50" w:left="105"/>
              <w:rPr>
                <w:rFonts w:eastAsiaTheme="minorEastAsia"/>
                <w:color w:val="000000" w:themeColor="text1"/>
                <w:sz w:val="24"/>
                <w:szCs w:val="24"/>
              </w:rPr>
            </w:pPr>
            <w:r w:rsidRPr="007B5F21">
              <w:rPr>
                <w:rFonts w:eastAsiaTheme="minorEastAsia"/>
                <w:color w:val="000000" w:themeColor="text1"/>
                <w:sz w:val="24"/>
                <w:szCs w:val="24"/>
              </w:rPr>
              <w:t>贵金属投资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5</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金融衍生品投资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6</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买入返售金融资产</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其中：买断式回购的买入返售金融资产</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7</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银行存款和结算备付金合计</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596,882,962.10</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5.62</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8</w:t>
            </w:r>
          </w:p>
        </w:tc>
        <w:tc>
          <w:tcPr>
            <w:tcW w:w="2682" w:type="dxa"/>
            <w:vAlign w:val="center"/>
          </w:tcPr>
          <w:p w:rsidR="00BF0019" w:rsidRPr="007B5F21" w:rsidRDefault="00BF0019" w:rsidP="002D2971">
            <w:pPr>
              <w:spacing w:line="360" w:lineRule="auto"/>
              <w:rPr>
                <w:rFonts w:eastAsiaTheme="minorEastAsia"/>
                <w:color w:val="000000" w:themeColor="text1"/>
                <w:sz w:val="24"/>
                <w:szCs w:val="24"/>
              </w:rPr>
            </w:pPr>
            <w:r w:rsidRPr="007B5F21">
              <w:rPr>
                <w:rFonts w:eastAsiaTheme="minorEastAsia"/>
                <w:color w:val="000000" w:themeColor="text1"/>
                <w:sz w:val="24"/>
                <w:szCs w:val="24"/>
              </w:rPr>
              <w:t>其他各项资产</w:t>
            </w:r>
          </w:p>
        </w:tc>
        <w:tc>
          <w:tcPr>
            <w:tcW w:w="2552"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96,649,656.27</w:t>
            </w:r>
          </w:p>
        </w:tc>
        <w:tc>
          <w:tcPr>
            <w:tcW w:w="2943"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0.91</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9</w:t>
            </w:r>
          </w:p>
        </w:tc>
        <w:tc>
          <w:tcPr>
            <w:tcW w:w="2682" w:type="dxa"/>
            <w:vAlign w:val="center"/>
          </w:tcPr>
          <w:p w:rsidR="00BF0019" w:rsidRPr="007B5F21" w:rsidRDefault="00BF0019" w:rsidP="002D2971">
            <w:pPr>
              <w:spacing w:line="360" w:lineRule="auto"/>
              <w:rPr>
                <w:rFonts w:eastAsiaTheme="minorEastAsia"/>
                <w:color w:val="000000" w:themeColor="text1"/>
                <w:sz w:val="24"/>
                <w:szCs w:val="24"/>
              </w:rPr>
            </w:pPr>
            <w:r w:rsidRPr="007B5F21">
              <w:rPr>
                <w:rFonts w:eastAsiaTheme="minorEastAsia"/>
                <w:color w:val="000000" w:themeColor="text1"/>
                <w:sz w:val="24"/>
                <w:szCs w:val="24"/>
              </w:rPr>
              <w:t>合计</w:t>
            </w:r>
          </w:p>
        </w:tc>
        <w:tc>
          <w:tcPr>
            <w:tcW w:w="2552"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10,619,339,888.02</w:t>
            </w:r>
          </w:p>
        </w:tc>
        <w:tc>
          <w:tcPr>
            <w:tcW w:w="2943"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100.00</w:t>
            </w:r>
          </w:p>
        </w:tc>
      </w:tr>
    </w:tbl>
    <w:p w:rsidR="004061AC" w:rsidRPr="00414345" w:rsidRDefault="004061AC" w:rsidP="00C15CAC">
      <w:pPr>
        <w:autoSpaceDE w:val="0"/>
        <w:autoSpaceDN w:val="0"/>
        <w:adjustRightInd w:val="0"/>
        <w:spacing w:before="29" w:line="288" w:lineRule="auto"/>
        <w:jc w:val="left"/>
        <w:rPr>
          <w:color w:val="00000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5.2 </w:t>
      </w:r>
      <w:r w:rsidRPr="00414345">
        <w:rPr>
          <w:b/>
          <w:bCs/>
          <w:color w:val="000000"/>
          <w:kern w:val="0"/>
          <w:sz w:val="24"/>
          <w:szCs w:val="24"/>
        </w:rPr>
        <w:t>报告期末按行业分类的股票投资组合</w:t>
      </w:r>
    </w:p>
    <w:p w:rsidR="00F51C4E" w:rsidRDefault="00F51C4E" w:rsidP="00F51C4E">
      <w:pPr>
        <w:rPr>
          <w:rFonts w:eastAsiaTheme="minorEastAsia"/>
          <w:b/>
          <w:color w:val="000000" w:themeColor="text1"/>
          <w:kern w:val="0"/>
          <w:sz w:val="24"/>
        </w:rPr>
      </w:pPr>
      <w:r w:rsidRPr="004A3846">
        <w:rPr>
          <w:rFonts w:eastAsiaTheme="minorEastAsia" w:hint="eastAsia"/>
          <w:b/>
          <w:color w:val="000000" w:themeColor="text1"/>
          <w:kern w:val="0"/>
          <w:sz w:val="24"/>
        </w:rPr>
        <w:t>5.2.1</w:t>
      </w:r>
      <w:r w:rsidRPr="004A3846">
        <w:rPr>
          <w:rFonts w:eastAsiaTheme="minorEastAsia" w:hint="eastAsia"/>
          <w:b/>
          <w:color w:val="000000" w:themeColor="text1"/>
          <w:kern w:val="0"/>
          <w:sz w:val="24"/>
        </w:rPr>
        <w:t>报告期末按行业分类的境内股票投资组合</w:t>
      </w:r>
    </w:p>
    <w:p w:rsidR="007B2639" w:rsidRPr="007B2639" w:rsidRDefault="009C1009" w:rsidP="009C1009">
      <w:pPr>
        <w:jc w:val="right"/>
        <w:rPr>
          <w:sz w:val="24"/>
        </w:rPr>
      </w:pPr>
      <w:r w:rsidRPr="009C1009">
        <w:rPr>
          <w:rFonts w:eastAsiaTheme="minorEastAsia" w:hint="eastAsia"/>
          <w:color w:val="000000" w:themeColor="text1"/>
          <w:kern w:val="0"/>
          <w:sz w:val="24"/>
        </w:rPr>
        <w:t>金额单位：人民币元</w:t>
      </w:r>
    </w:p>
    <w:tbl>
      <w:tblPr>
        <w:tblW w:w="88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 w:type="dxa"/>
          <w:left w:w="0" w:type="dxa"/>
          <w:bottom w:w="-1" w:type="dxa"/>
          <w:right w:w="0" w:type="dxa"/>
        </w:tblCellMar>
        <w:tblLook w:val="0000" w:firstRow="0" w:lastRow="0" w:firstColumn="0" w:lastColumn="0" w:noHBand="0" w:noVBand="0"/>
      </w:tblPr>
      <w:tblGrid>
        <w:gridCol w:w="845"/>
        <w:gridCol w:w="3544"/>
        <w:gridCol w:w="2841"/>
        <w:gridCol w:w="1638"/>
      </w:tblGrid>
      <w:tr w:rsidR="00531F10" w:rsidRPr="00414345" w:rsidTr="006C2C1B">
        <w:trPr>
          <w:trHeight w:val="390"/>
          <w:jc w:val="center"/>
        </w:trPr>
        <w:tc>
          <w:tcPr>
            <w:tcW w:w="84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代码</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行业类别</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B11F31" w:rsidP="00C15CAC">
            <w:pPr>
              <w:adjustRightInd w:val="0"/>
              <w:snapToGrid w:val="0"/>
              <w:spacing w:before="29" w:line="288" w:lineRule="auto"/>
              <w:jc w:val="center"/>
              <w:rPr>
                <w:sz w:val="24"/>
                <w:szCs w:val="24"/>
              </w:rPr>
            </w:pPr>
            <w:r>
              <w:rPr>
                <w:sz w:val="24"/>
                <w:szCs w:val="24"/>
              </w:rPr>
              <w:t>公允价值</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占基金资产净值比例（％）</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A</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农、林、牧、渔业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autoSpaceDE w:val="0"/>
              <w:autoSpaceDN w:val="0"/>
              <w:adjustRightInd w:val="0"/>
              <w:spacing w:before="29" w:line="288" w:lineRule="auto"/>
              <w:ind w:left="15"/>
              <w:jc w:val="right"/>
              <w:rPr>
                <w:sz w:val="24"/>
                <w:szCs w:val="24"/>
              </w:rPr>
            </w:pPr>
            <w:r w:rsidRPr="00414345">
              <w:rPr>
                <w:sz w:val="24"/>
                <w:szCs w:val="24"/>
              </w:rPr>
              <w:t>735,158.00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utoSpaceDE w:val="0"/>
              <w:autoSpaceDN w:val="0"/>
              <w:adjustRightInd w:val="0"/>
              <w:spacing w:before="29" w:line="288" w:lineRule="auto"/>
              <w:ind w:left="15"/>
              <w:jc w:val="right"/>
              <w:rPr>
                <w:sz w:val="24"/>
                <w:szCs w:val="24"/>
              </w:rPr>
            </w:pPr>
            <w:r w:rsidRPr="00414345">
              <w:rPr>
                <w:sz w:val="24"/>
                <w:szCs w:val="24"/>
              </w:rPr>
              <w:t>0.01</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B</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采矿业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1B4DD6">
            <w:pPr>
              <w:spacing w:before="29" w:line="288" w:lineRule="auto"/>
              <w:jc w:val="right"/>
              <w:rPr>
                <w:sz w:val="24"/>
                <w:szCs w:val="24"/>
              </w:rPr>
            </w:pPr>
            <w:r w:rsidRPr="00414345">
              <w:rPr>
                <w:sz w:val="24"/>
                <w:szCs w:val="24"/>
              </w:rPr>
              <w:t>156,307,938.13</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1B4DD6">
            <w:pPr>
              <w:spacing w:before="29" w:line="288" w:lineRule="auto"/>
              <w:jc w:val="right"/>
              <w:rPr>
                <w:sz w:val="24"/>
                <w:szCs w:val="24"/>
              </w:rPr>
            </w:pPr>
            <w:r w:rsidRPr="00414345">
              <w:rPr>
                <w:sz w:val="24"/>
                <w:szCs w:val="24"/>
              </w:rPr>
              <w:t>1.48</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C</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制造业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5,858,765,922.89</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55.58</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D</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电力、热力、燃气及水生产和供应业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E</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建筑业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F</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批发和零售业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16,322.72</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0.00</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G</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交通运输、仓储和邮政业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1,014,684,940.51</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9.63</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H</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住宿和餐饮业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DC28F1">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I</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DC28F1">
            <w:pPr>
              <w:adjustRightInd w:val="0"/>
              <w:snapToGrid w:val="0"/>
              <w:spacing w:before="29" w:line="288" w:lineRule="auto"/>
              <w:rPr>
                <w:sz w:val="24"/>
                <w:szCs w:val="24"/>
              </w:rPr>
            </w:pPr>
            <w:r w:rsidRPr="00414345">
              <w:rPr>
                <w:sz w:val="24"/>
                <w:szCs w:val="24"/>
              </w:rPr>
              <w:t>信息传输、软件和信息技术服务</w:t>
            </w:r>
            <w:r w:rsidRPr="00414345">
              <w:rPr>
                <w:sz w:val="24"/>
                <w:szCs w:val="24"/>
              </w:rPr>
              <w:lastRenderedPageBreak/>
              <w:t>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lastRenderedPageBreak/>
              <w:t>614,127,468.98</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5.83</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J</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金融业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504,489,392.76</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4.79</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K</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房地产业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502,801,862.08</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4.77</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L</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租赁和商务服务业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M</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科学研究和技术服务业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441,599,472.24</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4.19</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N</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水利、环境和公共设施管理业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76,959.71</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0.00</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O</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居民服务、修理和其他服务业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P</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教育</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Q</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卫生和社会工作</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R</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文化、体育和娱乐业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312,167,831.63</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2.96</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S</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综合</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合计</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9,405,773,269.65</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89.23</w:t>
            </w:r>
          </w:p>
        </w:tc>
      </w:tr>
    </w:tbl>
    <w:p w:rsidR="00F51C4E" w:rsidRPr="008A409E" w:rsidRDefault="00F51C4E" w:rsidP="00F51C4E">
      <w:pPr>
        <w:jc w:val="left"/>
        <w:rPr>
          <w:rFonts w:asciiTheme="minorEastAsia" w:eastAsiaTheme="minorEastAsia" w:hAnsiTheme="minorEastAsia"/>
          <w:b/>
          <w:bCs/>
          <w:color w:val="000000" w:themeColor="text1"/>
          <w:kern w:val="0"/>
          <w:sz w:val="24"/>
        </w:rPr>
      </w:pPr>
      <w:r w:rsidRPr="008A409E">
        <w:rPr>
          <w:rFonts w:asciiTheme="minorEastAsia" w:eastAsiaTheme="minorEastAsia" w:hAnsiTheme="minorEastAsia" w:hint="eastAsia"/>
          <w:b/>
          <w:bCs/>
          <w:color w:val="000000" w:themeColor="text1"/>
          <w:kern w:val="0"/>
          <w:sz w:val="24"/>
        </w:rPr>
        <w:t>5.2.2报告期末按行业分类的</w:t>
      </w:r>
      <w:r w:rsidR="00EE49FE">
        <w:rPr>
          <w:rFonts w:asciiTheme="minorEastAsia" w:eastAsiaTheme="minorEastAsia" w:hAnsiTheme="minorEastAsia" w:hint="eastAsia"/>
          <w:b/>
          <w:bCs/>
          <w:color w:val="000000" w:themeColor="text1"/>
          <w:kern w:val="0"/>
          <w:sz w:val="24"/>
        </w:rPr>
        <w:t>港股通</w:t>
      </w:r>
      <w:r w:rsidRPr="008A409E">
        <w:rPr>
          <w:rFonts w:asciiTheme="minorEastAsia" w:eastAsiaTheme="minorEastAsia" w:hAnsiTheme="minorEastAsia" w:hint="eastAsia"/>
          <w:b/>
          <w:bCs/>
          <w:color w:val="000000" w:themeColor="text1"/>
          <w:kern w:val="0"/>
          <w:sz w:val="24"/>
        </w:rPr>
        <w:t>投资股票投资组合</w:t>
      </w:r>
    </w:p>
    <w:p w:rsidR="00F51C4E" w:rsidRDefault="00F51C4E" w:rsidP="00F51C4E">
      <w:pPr>
        <w:spacing w:before="29" w:line="360" w:lineRule="auto"/>
        <w:ind w:left="17"/>
        <w:rPr>
          <w:color w:val="000000"/>
          <w:sz w:val="24"/>
        </w:rPr>
      </w:pPr>
      <w:r w:rsidRPr="00FF0BBF">
        <w:rPr>
          <w:color w:val="000000"/>
          <w:sz w:val="24"/>
        </w:rPr>
        <w:t>本基金本报告期末未持有通过港股通投资的股票。</w:t>
      </w:r>
    </w:p>
    <w:p w:rsidR="004061AC" w:rsidRPr="00F51C4E"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5.3 </w:t>
      </w:r>
      <w:r w:rsidRPr="00414345">
        <w:rPr>
          <w:b/>
          <w:bCs/>
          <w:color w:val="000000"/>
          <w:kern w:val="0"/>
          <w:sz w:val="24"/>
          <w:szCs w:val="24"/>
        </w:rPr>
        <w:t>报告期末按公允价值占基金资产净值比例大小排序的前十名股票投资明细</w:t>
      </w:r>
    </w:p>
    <w:tbl>
      <w:tblPr>
        <w:tblStyle w:val="af7"/>
        <w:tblW w:w="8868" w:type="dxa"/>
        <w:jc w:val="center"/>
        <w:tblLayout w:type="fixed"/>
        <w:tblCellMar>
          <w:top w:w="57" w:type="dxa"/>
          <w:bottom w:w="57" w:type="dxa"/>
        </w:tblCellMar>
        <w:tblLook w:val="04A0" w:firstRow="1" w:lastRow="0" w:firstColumn="1" w:lastColumn="0" w:noHBand="0" w:noVBand="1"/>
      </w:tblPr>
      <w:tblGrid>
        <w:gridCol w:w="855"/>
        <w:gridCol w:w="1334"/>
        <w:gridCol w:w="1777"/>
        <w:gridCol w:w="1334"/>
        <w:gridCol w:w="1924"/>
        <w:gridCol w:w="1644"/>
      </w:tblGrid>
      <w:tr w:rsidR="00AC592E" w:rsidRPr="00414345" w:rsidTr="00A324F4">
        <w:trPr>
          <w:jc w:val="center"/>
        </w:trPr>
        <w:tc>
          <w:tcPr>
            <w:tcW w:w="869"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序号</w:t>
            </w:r>
          </w:p>
        </w:tc>
        <w:tc>
          <w:tcPr>
            <w:tcW w:w="1357"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股票代码</w:t>
            </w:r>
          </w:p>
        </w:tc>
        <w:tc>
          <w:tcPr>
            <w:tcW w:w="1810"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股票名称</w:t>
            </w:r>
          </w:p>
        </w:tc>
        <w:tc>
          <w:tcPr>
            <w:tcW w:w="1357"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数量</w:t>
            </w:r>
            <w:r w:rsidR="00B47982" w:rsidRPr="00414345">
              <w:rPr>
                <w:color w:val="000000"/>
                <w:sz w:val="24"/>
              </w:rPr>
              <w:t>（股）</w:t>
            </w:r>
          </w:p>
        </w:tc>
        <w:tc>
          <w:tcPr>
            <w:tcW w:w="1960" w:type="dxa"/>
            <w:vAlign w:val="center"/>
          </w:tcPr>
          <w:p w:rsidR="00853140" w:rsidRPr="00414345" w:rsidRDefault="00853140"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公允价值</w:t>
            </w:r>
            <w:r w:rsidRPr="00414345">
              <w:rPr>
                <w:color w:val="000000"/>
                <w:sz w:val="24"/>
                <w:szCs w:val="24"/>
              </w:rPr>
              <w:t>(</w:t>
            </w:r>
            <w:r w:rsidRPr="00414345">
              <w:rPr>
                <w:color w:val="000000"/>
                <w:sz w:val="24"/>
                <w:szCs w:val="24"/>
              </w:rPr>
              <w:t>元</w:t>
            </w:r>
            <w:r w:rsidRPr="00414345">
              <w:rPr>
                <w:color w:val="000000"/>
                <w:sz w:val="24"/>
                <w:szCs w:val="24"/>
              </w:rPr>
              <w:t>)</w:t>
            </w:r>
          </w:p>
        </w:tc>
        <w:tc>
          <w:tcPr>
            <w:tcW w:w="1674"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占基金资产净值比例</w:t>
            </w:r>
            <w:r w:rsidR="00B47982" w:rsidRPr="00414345">
              <w:rPr>
                <w:color w:val="000000"/>
                <w:sz w:val="24"/>
              </w:rPr>
              <w:t>（％）</w:t>
            </w:r>
          </w:p>
        </w:tc>
      </w:tr>
      <w:tr w:rsidR="002D048A">
        <w:trPr>
          <w:jc w:val="center"/>
        </w:trPr>
        <w:tc>
          <w:tcPr>
            <w:tcW w:w="855" w:type="dxa"/>
            <w:vAlign w:val="center"/>
          </w:tcPr>
          <w:p w:rsidR="002D048A" w:rsidRDefault="00737578">
            <w:pPr>
              <w:jc w:val="center"/>
            </w:pPr>
            <w:r>
              <w:rPr>
                <w:color w:val="000000"/>
                <w:sz w:val="24"/>
                <w:szCs w:val="24"/>
              </w:rPr>
              <w:t>1</w:t>
            </w:r>
          </w:p>
        </w:tc>
        <w:tc>
          <w:tcPr>
            <w:tcW w:w="1334" w:type="dxa"/>
            <w:vAlign w:val="center"/>
          </w:tcPr>
          <w:p w:rsidR="002D048A" w:rsidRDefault="00737578">
            <w:pPr>
              <w:jc w:val="center"/>
            </w:pPr>
            <w:r>
              <w:rPr>
                <w:color w:val="000000"/>
                <w:sz w:val="24"/>
                <w:szCs w:val="24"/>
              </w:rPr>
              <w:t>002352</w:t>
            </w:r>
          </w:p>
        </w:tc>
        <w:tc>
          <w:tcPr>
            <w:tcW w:w="1777" w:type="dxa"/>
            <w:vAlign w:val="center"/>
          </w:tcPr>
          <w:p w:rsidR="002D048A" w:rsidRDefault="00737578">
            <w:pPr>
              <w:jc w:val="center"/>
            </w:pPr>
            <w:r>
              <w:rPr>
                <w:color w:val="000000"/>
                <w:sz w:val="24"/>
                <w:szCs w:val="24"/>
              </w:rPr>
              <w:t>顺丰控股</w:t>
            </w:r>
          </w:p>
        </w:tc>
        <w:tc>
          <w:tcPr>
            <w:tcW w:w="1334" w:type="dxa"/>
            <w:vAlign w:val="center"/>
          </w:tcPr>
          <w:p w:rsidR="002D048A" w:rsidRDefault="00737578">
            <w:pPr>
              <w:jc w:val="right"/>
            </w:pPr>
            <w:r>
              <w:rPr>
                <w:color w:val="000000"/>
                <w:sz w:val="24"/>
                <w:szCs w:val="24"/>
              </w:rPr>
              <w:t>11,536,581</w:t>
            </w:r>
          </w:p>
        </w:tc>
        <w:tc>
          <w:tcPr>
            <w:tcW w:w="1924" w:type="dxa"/>
            <w:vAlign w:val="center"/>
          </w:tcPr>
          <w:p w:rsidR="002D048A" w:rsidRDefault="00737578">
            <w:pPr>
              <w:jc w:val="right"/>
            </w:pPr>
            <w:r>
              <w:rPr>
                <w:color w:val="000000"/>
                <w:sz w:val="24"/>
                <w:szCs w:val="24"/>
              </w:rPr>
              <w:t>1,014,664,941.63</w:t>
            </w:r>
          </w:p>
        </w:tc>
        <w:tc>
          <w:tcPr>
            <w:tcW w:w="1644" w:type="dxa"/>
            <w:vAlign w:val="center"/>
          </w:tcPr>
          <w:p w:rsidR="002D048A" w:rsidRDefault="00737578">
            <w:pPr>
              <w:jc w:val="right"/>
            </w:pPr>
            <w:r>
              <w:rPr>
                <w:color w:val="000000"/>
                <w:sz w:val="24"/>
                <w:szCs w:val="24"/>
              </w:rPr>
              <w:t>9.63</w:t>
            </w:r>
          </w:p>
        </w:tc>
      </w:tr>
      <w:tr w:rsidR="002D048A">
        <w:trPr>
          <w:jc w:val="center"/>
        </w:trPr>
        <w:tc>
          <w:tcPr>
            <w:tcW w:w="855" w:type="dxa"/>
            <w:vAlign w:val="center"/>
          </w:tcPr>
          <w:p w:rsidR="002D048A" w:rsidRDefault="00737578">
            <w:pPr>
              <w:jc w:val="center"/>
            </w:pPr>
            <w:r>
              <w:rPr>
                <w:color w:val="000000"/>
                <w:sz w:val="24"/>
                <w:szCs w:val="24"/>
              </w:rPr>
              <w:t>2</w:t>
            </w:r>
          </w:p>
        </w:tc>
        <w:tc>
          <w:tcPr>
            <w:tcW w:w="1334" w:type="dxa"/>
            <w:vAlign w:val="center"/>
          </w:tcPr>
          <w:p w:rsidR="002D048A" w:rsidRDefault="00737578">
            <w:pPr>
              <w:jc w:val="center"/>
            </w:pPr>
            <w:r>
              <w:rPr>
                <w:color w:val="000000"/>
                <w:sz w:val="24"/>
                <w:szCs w:val="24"/>
              </w:rPr>
              <w:t>002271</w:t>
            </w:r>
          </w:p>
        </w:tc>
        <w:tc>
          <w:tcPr>
            <w:tcW w:w="1777" w:type="dxa"/>
            <w:vAlign w:val="center"/>
          </w:tcPr>
          <w:p w:rsidR="002D048A" w:rsidRDefault="00737578">
            <w:pPr>
              <w:jc w:val="center"/>
            </w:pPr>
            <w:r>
              <w:rPr>
                <w:color w:val="000000"/>
                <w:sz w:val="24"/>
                <w:szCs w:val="24"/>
              </w:rPr>
              <w:t>东方雨虹</w:t>
            </w:r>
          </w:p>
        </w:tc>
        <w:tc>
          <w:tcPr>
            <w:tcW w:w="1334" w:type="dxa"/>
            <w:vAlign w:val="center"/>
          </w:tcPr>
          <w:p w:rsidR="002D048A" w:rsidRDefault="00737578">
            <w:pPr>
              <w:jc w:val="right"/>
            </w:pPr>
            <w:r>
              <w:rPr>
                <w:color w:val="000000"/>
                <w:sz w:val="24"/>
                <w:szCs w:val="24"/>
              </w:rPr>
              <w:t>20,539,756</w:t>
            </w:r>
          </w:p>
        </w:tc>
        <w:tc>
          <w:tcPr>
            <w:tcW w:w="1924" w:type="dxa"/>
            <w:vAlign w:val="center"/>
          </w:tcPr>
          <w:p w:rsidR="002D048A" w:rsidRDefault="00737578">
            <w:pPr>
              <w:jc w:val="right"/>
            </w:pPr>
            <w:r>
              <w:rPr>
                <w:color w:val="000000"/>
                <w:sz w:val="24"/>
                <w:szCs w:val="24"/>
              </w:rPr>
              <w:t>796,942,532.80</w:t>
            </w:r>
          </w:p>
        </w:tc>
        <w:tc>
          <w:tcPr>
            <w:tcW w:w="1644" w:type="dxa"/>
            <w:vAlign w:val="center"/>
          </w:tcPr>
          <w:p w:rsidR="002D048A" w:rsidRDefault="00737578">
            <w:pPr>
              <w:jc w:val="right"/>
            </w:pPr>
            <w:r>
              <w:rPr>
                <w:color w:val="000000"/>
                <w:sz w:val="24"/>
                <w:szCs w:val="24"/>
              </w:rPr>
              <w:t>7.56</w:t>
            </w:r>
          </w:p>
        </w:tc>
      </w:tr>
      <w:tr w:rsidR="002D048A">
        <w:trPr>
          <w:jc w:val="center"/>
        </w:trPr>
        <w:tc>
          <w:tcPr>
            <w:tcW w:w="855" w:type="dxa"/>
            <w:vAlign w:val="center"/>
          </w:tcPr>
          <w:p w:rsidR="002D048A" w:rsidRDefault="00737578">
            <w:pPr>
              <w:jc w:val="center"/>
            </w:pPr>
            <w:r>
              <w:rPr>
                <w:color w:val="000000"/>
                <w:sz w:val="24"/>
                <w:szCs w:val="24"/>
              </w:rPr>
              <w:t>3</w:t>
            </w:r>
          </w:p>
        </w:tc>
        <w:tc>
          <w:tcPr>
            <w:tcW w:w="1334" w:type="dxa"/>
            <w:vAlign w:val="center"/>
          </w:tcPr>
          <w:p w:rsidR="002D048A" w:rsidRDefault="00737578">
            <w:pPr>
              <w:jc w:val="center"/>
            </w:pPr>
            <w:r>
              <w:rPr>
                <w:color w:val="000000"/>
                <w:sz w:val="24"/>
                <w:szCs w:val="24"/>
              </w:rPr>
              <w:t>002493</w:t>
            </w:r>
          </w:p>
        </w:tc>
        <w:tc>
          <w:tcPr>
            <w:tcW w:w="1777" w:type="dxa"/>
            <w:vAlign w:val="center"/>
          </w:tcPr>
          <w:p w:rsidR="002D048A" w:rsidRDefault="00737578">
            <w:pPr>
              <w:jc w:val="center"/>
            </w:pPr>
            <w:r>
              <w:rPr>
                <w:color w:val="000000"/>
                <w:sz w:val="24"/>
                <w:szCs w:val="24"/>
              </w:rPr>
              <w:t>荣盛石化</w:t>
            </w:r>
          </w:p>
        </w:tc>
        <w:tc>
          <w:tcPr>
            <w:tcW w:w="1334" w:type="dxa"/>
            <w:vAlign w:val="center"/>
          </w:tcPr>
          <w:p w:rsidR="002D048A" w:rsidRDefault="00737578">
            <w:pPr>
              <w:jc w:val="right"/>
            </w:pPr>
            <w:r>
              <w:rPr>
                <w:color w:val="000000"/>
                <w:sz w:val="24"/>
                <w:szCs w:val="24"/>
              </w:rPr>
              <w:t>22,248,479</w:t>
            </w:r>
          </w:p>
        </w:tc>
        <w:tc>
          <w:tcPr>
            <w:tcW w:w="1924" w:type="dxa"/>
            <w:vAlign w:val="center"/>
          </w:tcPr>
          <w:p w:rsidR="002D048A" w:rsidRDefault="00737578">
            <w:pPr>
              <w:jc w:val="right"/>
            </w:pPr>
            <w:r>
              <w:rPr>
                <w:color w:val="000000"/>
                <w:sz w:val="24"/>
                <w:szCs w:val="24"/>
              </w:rPr>
              <w:t>608,504,385.71</w:t>
            </w:r>
          </w:p>
        </w:tc>
        <w:tc>
          <w:tcPr>
            <w:tcW w:w="1644" w:type="dxa"/>
            <w:vAlign w:val="center"/>
          </w:tcPr>
          <w:p w:rsidR="002D048A" w:rsidRDefault="00737578">
            <w:pPr>
              <w:jc w:val="right"/>
            </w:pPr>
            <w:r>
              <w:rPr>
                <w:color w:val="000000"/>
                <w:sz w:val="24"/>
                <w:szCs w:val="24"/>
              </w:rPr>
              <w:t>5.77</w:t>
            </w:r>
          </w:p>
        </w:tc>
      </w:tr>
      <w:tr w:rsidR="002D048A">
        <w:trPr>
          <w:jc w:val="center"/>
        </w:trPr>
        <w:tc>
          <w:tcPr>
            <w:tcW w:w="855" w:type="dxa"/>
            <w:vAlign w:val="center"/>
          </w:tcPr>
          <w:p w:rsidR="002D048A" w:rsidRDefault="00737578">
            <w:pPr>
              <w:jc w:val="center"/>
            </w:pPr>
            <w:r>
              <w:rPr>
                <w:color w:val="000000"/>
                <w:sz w:val="24"/>
                <w:szCs w:val="24"/>
              </w:rPr>
              <w:t>4</w:t>
            </w:r>
          </w:p>
        </w:tc>
        <w:tc>
          <w:tcPr>
            <w:tcW w:w="1334" w:type="dxa"/>
            <w:vAlign w:val="center"/>
          </w:tcPr>
          <w:p w:rsidR="002D048A" w:rsidRDefault="00737578">
            <w:pPr>
              <w:jc w:val="center"/>
            </w:pPr>
            <w:r>
              <w:rPr>
                <w:color w:val="000000"/>
                <w:sz w:val="24"/>
                <w:szCs w:val="24"/>
              </w:rPr>
              <w:t>603517</w:t>
            </w:r>
          </w:p>
        </w:tc>
        <w:tc>
          <w:tcPr>
            <w:tcW w:w="1777" w:type="dxa"/>
            <w:vAlign w:val="center"/>
          </w:tcPr>
          <w:p w:rsidR="002D048A" w:rsidRDefault="00737578">
            <w:pPr>
              <w:jc w:val="center"/>
            </w:pPr>
            <w:r>
              <w:rPr>
                <w:color w:val="000000"/>
                <w:sz w:val="24"/>
                <w:szCs w:val="24"/>
              </w:rPr>
              <w:t>绝味食品</w:t>
            </w:r>
          </w:p>
        </w:tc>
        <w:tc>
          <w:tcPr>
            <w:tcW w:w="1334" w:type="dxa"/>
            <w:vAlign w:val="center"/>
          </w:tcPr>
          <w:p w:rsidR="002D048A" w:rsidRDefault="00737578">
            <w:pPr>
              <w:jc w:val="right"/>
            </w:pPr>
            <w:r>
              <w:rPr>
                <w:color w:val="000000"/>
                <w:sz w:val="24"/>
                <w:szCs w:val="24"/>
              </w:rPr>
              <w:t>7,738,281</w:t>
            </w:r>
          </w:p>
        </w:tc>
        <w:tc>
          <w:tcPr>
            <w:tcW w:w="1924" w:type="dxa"/>
            <w:vAlign w:val="center"/>
          </w:tcPr>
          <w:p w:rsidR="002D048A" w:rsidRDefault="00737578">
            <w:pPr>
              <w:jc w:val="right"/>
            </w:pPr>
            <w:r>
              <w:rPr>
                <w:color w:val="000000"/>
                <w:sz w:val="24"/>
                <w:szCs w:val="24"/>
              </w:rPr>
              <w:t>600,026,308.74</w:t>
            </w:r>
          </w:p>
        </w:tc>
        <w:tc>
          <w:tcPr>
            <w:tcW w:w="1644" w:type="dxa"/>
            <w:vAlign w:val="center"/>
          </w:tcPr>
          <w:p w:rsidR="002D048A" w:rsidRDefault="00737578">
            <w:pPr>
              <w:jc w:val="right"/>
            </w:pPr>
            <w:r>
              <w:rPr>
                <w:color w:val="000000"/>
                <w:sz w:val="24"/>
                <w:szCs w:val="24"/>
              </w:rPr>
              <w:t>5.69</w:t>
            </w:r>
          </w:p>
        </w:tc>
      </w:tr>
      <w:tr w:rsidR="002D048A">
        <w:trPr>
          <w:jc w:val="center"/>
        </w:trPr>
        <w:tc>
          <w:tcPr>
            <w:tcW w:w="855" w:type="dxa"/>
            <w:vAlign w:val="center"/>
          </w:tcPr>
          <w:p w:rsidR="002D048A" w:rsidRDefault="00737578">
            <w:pPr>
              <w:jc w:val="center"/>
            </w:pPr>
            <w:r>
              <w:rPr>
                <w:color w:val="000000"/>
                <w:sz w:val="24"/>
                <w:szCs w:val="24"/>
              </w:rPr>
              <w:t>5</w:t>
            </w:r>
          </w:p>
        </w:tc>
        <w:tc>
          <w:tcPr>
            <w:tcW w:w="1334" w:type="dxa"/>
            <w:vAlign w:val="center"/>
          </w:tcPr>
          <w:p w:rsidR="002D048A" w:rsidRDefault="00737578">
            <w:pPr>
              <w:jc w:val="center"/>
            </w:pPr>
            <w:r>
              <w:rPr>
                <w:color w:val="000000"/>
                <w:sz w:val="24"/>
                <w:szCs w:val="24"/>
              </w:rPr>
              <w:t>600519</w:t>
            </w:r>
          </w:p>
        </w:tc>
        <w:tc>
          <w:tcPr>
            <w:tcW w:w="1777" w:type="dxa"/>
            <w:vAlign w:val="center"/>
          </w:tcPr>
          <w:p w:rsidR="002D048A" w:rsidRDefault="00737578">
            <w:pPr>
              <w:jc w:val="center"/>
            </w:pPr>
            <w:r>
              <w:rPr>
                <w:color w:val="000000"/>
                <w:sz w:val="24"/>
                <w:szCs w:val="24"/>
              </w:rPr>
              <w:t>贵州茅台</w:t>
            </w:r>
          </w:p>
        </w:tc>
        <w:tc>
          <w:tcPr>
            <w:tcW w:w="1334" w:type="dxa"/>
            <w:vAlign w:val="center"/>
          </w:tcPr>
          <w:p w:rsidR="002D048A" w:rsidRDefault="00737578">
            <w:pPr>
              <w:jc w:val="right"/>
            </w:pPr>
            <w:r>
              <w:rPr>
                <w:color w:val="000000"/>
                <w:sz w:val="24"/>
                <w:szCs w:val="24"/>
              </w:rPr>
              <w:t>291,214</w:t>
            </w:r>
          </w:p>
        </w:tc>
        <w:tc>
          <w:tcPr>
            <w:tcW w:w="1924" w:type="dxa"/>
            <w:vAlign w:val="center"/>
          </w:tcPr>
          <w:p w:rsidR="002D048A" w:rsidRDefault="00737578">
            <w:pPr>
              <w:jc w:val="right"/>
            </w:pPr>
            <w:r>
              <w:rPr>
                <w:color w:val="000000"/>
                <w:sz w:val="24"/>
                <w:szCs w:val="24"/>
              </w:rPr>
              <w:t>581,845,572.00</w:t>
            </w:r>
          </w:p>
        </w:tc>
        <w:tc>
          <w:tcPr>
            <w:tcW w:w="1644" w:type="dxa"/>
            <w:vAlign w:val="center"/>
          </w:tcPr>
          <w:p w:rsidR="002D048A" w:rsidRDefault="00737578">
            <w:pPr>
              <w:jc w:val="right"/>
            </w:pPr>
            <w:r>
              <w:rPr>
                <w:color w:val="000000"/>
                <w:sz w:val="24"/>
                <w:szCs w:val="24"/>
              </w:rPr>
              <w:t>5.52</w:t>
            </w:r>
          </w:p>
        </w:tc>
      </w:tr>
      <w:tr w:rsidR="002D048A">
        <w:trPr>
          <w:jc w:val="center"/>
        </w:trPr>
        <w:tc>
          <w:tcPr>
            <w:tcW w:w="855" w:type="dxa"/>
            <w:vAlign w:val="center"/>
          </w:tcPr>
          <w:p w:rsidR="002D048A" w:rsidRDefault="00737578">
            <w:pPr>
              <w:jc w:val="center"/>
            </w:pPr>
            <w:r>
              <w:rPr>
                <w:color w:val="000000"/>
                <w:sz w:val="24"/>
                <w:szCs w:val="24"/>
              </w:rPr>
              <w:t>6</w:t>
            </w:r>
          </w:p>
        </w:tc>
        <w:tc>
          <w:tcPr>
            <w:tcW w:w="1334" w:type="dxa"/>
            <w:vAlign w:val="center"/>
          </w:tcPr>
          <w:p w:rsidR="002D048A" w:rsidRDefault="00737578">
            <w:pPr>
              <w:jc w:val="center"/>
            </w:pPr>
            <w:r>
              <w:rPr>
                <w:color w:val="000000"/>
                <w:sz w:val="24"/>
                <w:szCs w:val="24"/>
              </w:rPr>
              <w:t>002841</w:t>
            </w:r>
          </w:p>
        </w:tc>
        <w:tc>
          <w:tcPr>
            <w:tcW w:w="1777" w:type="dxa"/>
            <w:vAlign w:val="center"/>
          </w:tcPr>
          <w:p w:rsidR="002D048A" w:rsidRDefault="00737578">
            <w:pPr>
              <w:jc w:val="center"/>
            </w:pPr>
            <w:r>
              <w:rPr>
                <w:color w:val="000000"/>
                <w:sz w:val="24"/>
                <w:szCs w:val="24"/>
              </w:rPr>
              <w:t>视源股份</w:t>
            </w:r>
          </w:p>
        </w:tc>
        <w:tc>
          <w:tcPr>
            <w:tcW w:w="1334" w:type="dxa"/>
            <w:vAlign w:val="center"/>
          </w:tcPr>
          <w:p w:rsidR="002D048A" w:rsidRDefault="00737578">
            <w:pPr>
              <w:jc w:val="right"/>
            </w:pPr>
            <w:r>
              <w:rPr>
                <w:color w:val="000000"/>
                <w:sz w:val="24"/>
                <w:szCs w:val="24"/>
              </w:rPr>
              <w:t>4,549,356</w:t>
            </w:r>
          </w:p>
        </w:tc>
        <w:tc>
          <w:tcPr>
            <w:tcW w:w="1924" w:type="dxa"/>
            <w:vAlign w:val="center"/>
          </w:tcPr>
          <w:p w:rsidR="002D048A" w:rsidRDefault="00737578">
            <w:pPr>
              <w:jc w:val="right"/>
            </w:pPr>
            <w:r>
              <w:rPr>
                <w:color w:val="000000"/>
                <w:sz w:val="24"/>
                <w:szCs w:val="24"/>
              </w:rPr>
              <w:t>523,312,420.68</w:t>
            </w:r>
          </w:p>
        </w:tc>
        <w:tc>
          <w:tcPr>
            <w:tcW w:w="1644" w:type="dxa"/>
            <w:vAlign w:val="center"/>
          </w:tcPr>
          <w:p w:rsidR="002D048A" w:rsidRDefault="00737578">
            <w:pPr>
              <w:jc w:val="right"/>
            </w:pPr>
            <w:r>
              <w:rPr>
                <w:color w:val="000000"/>
                <w:sz w:val="24"/>
                <w:szCs w:val="24"/>
              </w:rPr>
              <w:t>4.96</w:t>
            </w:r>
          </w:p>
        </w:tc>
      </w:tr>
      <w:tr w:rsidR="002D048A">
        <w:trPr>
          <w:jc w:val="center"/>
        </w:trPr>
        <w:tc>
          <w:tcPr>
            <w:tcW w:w="855" w:type="dxa"/>
            <w:vAlign w:val="center"/>
          </w:tcPr>
          <w:p w:rsidR="002D048A" w:rsidRDefault="00737578">
            <w:pPr>
              <w:jc w:val="center"/>
            </w:pPr>
            <w:r>
              <w:rPr>
                <w:color w:val="000000"/>
                <w:sz w:val="24"/>
                <w:szCs w:val="24"/>
              </w:rPr>
              <w:t>7</w:t>
            </w:r>
          </w:p>
        </w:tc>
        <w:tc>
          <w:tcPr>
            <w:tcW w:w="1334" w:type="dxa"/>
            <w:vAlign w:val="center"/>
          </w:tcPr>
          <w:p w:rsidR="002D048A" w:rsidRDefault="00737578">
            <w:pPr>
              <w:jc w:val="center"/>
            </w:pPr>
            <w:r>
              <w:rPr>
                <w:color w:val="000000"/>
                <w:sz w:val="24"/>
                <w:szCs w:val="24"/>
              </w:rPr>
              <w:t>002049</w:t>
            </w:r>
          </w:p>
        </w:tc>
        <w:tc>
          <w:tcPr>
            <w:tcW w:w="1777" w:type="dxa"/>
            <w:vAlign w:val="center"/>
          </w:tcPr>
          <w:p w:rsidR="002D048A" w:rsidRDefault="00737578">
            <w:pPr>
              <w:jc w:val="center"/>
            </w:pPr>
            <w:r>
              <w:rPr>
                <w:color w:val="000000"/>
                <w:sz w:val="24"/>
                <w:szCs w:val="24"/>
              </w:rPr>
              <w:t>紫光国微</w:t>
            </w:r>
          </w:p>
        </w:tc>
        <w:tc>
          <w:tcPr>
            <w:tcW w:w="1334" w:type="dxa"/>
            <w:vAlign w:val="center"/>
          </w:tcPr>
          <w:p w:rsidR="002D048A" w:rsidRDefault="00737578">
            <w:pPr>
              <w:jc w:val="right"/>
            </w:pPr>
            <w:r>
              <w:rPr>
                <w:color w:val="000000"/>
                <w:sz w:val="24"/>
                <w:szCs w:val="24"/>
              </w:rPr>
              <w:t>3,876,263</w:t>
            </w:r>
          </w:p>
        </w:tc>
        <w:tc>
          <w:tcPr>
            <w:tcW w:w="1924" w:type="dxa"/>
            <w:vAlign w:val="center"/>
          </w:tcPr>
          <w:p w:rsidR="002D048A" w:rsidRDefault="00737578">
            <w:pPr>
              <w:jc w:val="right"/>
            </w:pPr>
            <w:r>
              <w:rPr>
                <w:color w:val="000000"/>
                <w:sz w:val="24"/>
                <w:szCs w:val="24"/>
              </w:rPr>
              <w:t>518,682,752.03</w:t>
            </w:r>
          </w:p>
        </w:tc>
        <w:tc>
          <w:tcPr>
            <w:tcW w:w="1644" w:type="dxa"/>
            <w:vAlign w:val="center"/>
          </w:tcPr>
          <w:p w:rsidR="002D048A" w:rsidRDefault="00737578">
            <w:pPr>
              <w:jc w:val="right"/>
            </w:pPr>
            <w:r>
              <w:rPr>
                <w:color w:val="000000"/>
                <w:sz w:val="24"/>
                <w:szCs w:val="24"/>
              </w:rPr>
              <w:t>4.92</w:t>
            </w:r>
          </w:p>
        </w:tc>
      </w:tr>
      <w:tr w:rsidR="002D048A">
        <w:trPr>
          <w:jc w:val="center"/>
        </w:trPr>
        <w:tc>
          <w:tcPr>
            <w:tcW w:w="855" w:type="dxa"/>
            <w:vAlign w:val="center"/>
          </w:tcPr>
          <w:p w:rsidR="002D048A" w:rsidRDefault="00737578">
            <w:pPr>
              <w:jc w:val="center"/>
            </w:pPr>
            <w:r>
              <w:rPr>
                <w:color w:val="000000"/>
                <w:sz w:val="24"/>
                <w:szCs w:val="24"/>
              </w:rPr>
              <w:t>8</w:t>
            </w:r>
          </w:p>
        </w:tc>
        <w:tc>
          <w:tcPr>
            <w:tcW w:w="1334" w:type="dxa"/>
            <w:vAlign w:val="center"/>
          </w:tcPr>
          <w:p w:rsidR="002D048A" w:rsidRDefault="00737578">
            <w:pPr>
              <w:jc w:val="center"/>
            </w:pPr>
            <w:r>
              <w:rPr>
                <w:color w:val="000000"/>
                <w:sz w:val="24"/>
                <w:szCs w:val="24"/>
              </w:rPr>
              <w:t>601318</w:t>
            </w:r>
          </w:p>
        </w:tc>
        <w:tc>
          <w:tcPr>
            <w:tcW w:w="1777" w:type="dxa"/>
            <w:vAlign w:val="center"/>
          </w:tcPr>
          <w:p w:rsidR="002D048A" w:rsidRDefault="00737578">
            <w:pPr>
              <w:jc w:val="center"/>
            </w:pPr>
            <w:r>
              <w:rPr>
                <w:color w:val="000000"/>
                <w:sz w:val="24"/>
                <w:szCs w:val="24"/>
              </w:rPr>
              <w:t>中国平安</w:t>
            </w:r>
          </w:p>
        </w:tc>
        <w:tc>
          <w:tcPr>
            <w:tcW w:w="1334" w:type="dxa"/>
            <w:vAlign w:val="center"/>
          </w:tcPr>
          <w:p w:rsidR="002D048A" w:rsidRDefault="00737578">
            <w:pPr>
              <w:jc w:val="right"/>
            </w:pPr>
            <w:r>
              <w:rPr>
                <w:color w:val="000000"/>
                <w:sz w:val="24"/>
                <w:szCs w:val="24"/>
              </w:rPr>
              <w:t>5,800,062</w:t>
            </w:r>
          </w:p>
        </w:tc>
        <w:tc>
          <w:tcPr>
            <w:tcW w:w="1924" w:type="dxa"/>
            <w:vAlign w:val="center"/>
          </w:tcPr>
          <w:p w:rsidR="002D048A" w:rsidRDefault="00737578">
            <w:pPr>
              <w:jc w:val="right"/>
            </w:pPr>
            <w:r>
              <w:rPr>
                <w:color w:val="000000"/>
                <w:sz w:val="24"/>
                <w:szCs w:val="24"/>
              </w:rPr>
              <w:t>504,489,392.76</w:t>
            </w:r>
          </w:p>
        </w:tc>
        <w:tc>
          <w:tcPr>
            <w:tcW w:w="1644" w:type="dxa"/>
            <w:vAlign w:val="center"/>
          </w:tcPr>
          <w:p w:rsidR="002D048A" w:rsidRDefault="00737578">
            <w:pPr>
              <w:jc w:val="right"/>
            </w:pPr>
            <w:r>
              <w:rPr>
                <w:color w:val="000000"/>
                <w:sz w:val="24"/>
                <w:szCs w:val="24"/>
              </w:rPr>
              <w:t>4.79</w:t>
            </w:r>
          </w:p>
        </w:tc>
      </w:tr>
      <w:tr w:rsidR="002D048A">
        <w:trPr>
          <w:jc w:val="center"/>
        </w:trPr>
        <w:tc>
          <w:tcPr>
            <w:tcW w:w="855" w:type="dxa"/>
            <w:vAlign w:val="center"/>
          </w:tcPr>
          <w:p w:rsidR="002D048A" w:rsidRDefault="00737578">
            <w:pPr>
              <w:jc w:val="center"/>
            </w:pPr>
            <w:r>
              <w:rPr>
                <w:color w:val="000000"/>
                <w:sz w:val="24"/>
                <w:szCs w:val="24"/>
              </w:rPr>
              <w:t>9</w:t>
            </w:r>
          </w:p>
        </w:tc>
        <w:tc>
          <w:tcPr>
            <w:tcW w:w="1334" w:type="dxa"/>
            <w:vAlign w:val="center"/>
          </w:tcPr>
          <w:p w:rsidR="002D048A" w:rsidRDefault="00737578">
            <w:pPr>
              <w:jc w:val="center"/>
            </w:pPr>
            <w:r>
              <w:rPr>
                <w:color w:val="000000"/>
                <w:sz w:val="24"/>
                <w:szCs w:val="24"/>
              </w:rPr>
              <w:t>002415</w:t>
            </w:r>
          </w:p>
        </w:tc>
        <w:tc>
          <w:tcPr>
            <w:tcW w:w="1777" w:type="dxa"/>
            <w:vAlign w:val="center"/>
          </w:tcPr>
          <w:p w:rsidR="002D048A" w:rsidRDefault="00737578">
            <w:pPr>
              <w:jc w:val="center"/>
            </w:pPr>
            <w:r>
              <w:rPr>
                <w:color w:val="000000"/>
                <w:sz w:val="24"/>
                <w:szCs w:val="24"/>
              </w:rPr>
              <w:t>海康威视</w:t>
            </w:r>
          </w:p>
        </w:tc>
        <w:tc>
          <w:tcPr>
            <w:tcW w:w="1334" w:type="dxa"/>
            <w:vAlign w:val="center"/>
          </w:tcPr>
          <w:p w:rsidR="002D048A" w:rsidRDefault="00737578">
            <w:pPr>
              <w:jc w:val="right"/>
            </w:pPr>
            <w:r>
              <w:rPr>
                <w:color w:val="000000"/>
                <w:sz w:val="24"/>
                <w:szCs w:val="24"/>
              </w:rPr>
              <w:t>9,543,434</w:t>
            </w:r>
          </w:p>
        </w:tc>
        <w:tc>
          <w:tcPr>
            <w:tcW w:w="1924" w:type="dxa"/>
            <w:vAlign w:val="center"/>
          </w:tcPr>
          <w:p w:rsidR="002D048A" w:rsidRDefault="00737578">
            <w:pPr>
              <w:jc w:val="right"/>
            </w:pPr>
            <w:r>
              <w:rPr>
                <w:color w:val="000000"/>
                <w:sz w:val="24"/>
                <w:szCs w:val="24"/>
              </w:rPr>
              <w:t>462,951,983.34</w:t>
            </w:r>
          </w:p>
        </w:tc>
        <w:tc>
          <w:tcPr>
            <w:tcW w:w="1644" w:type="dxa"/>
            <w:vAlign w:val="center"/>
          </w:tcPr>
          <w:p w:rsidR="002D048A" w:rsidRDefault="00737578">
            <w:pPr>
              <w:jc w:val="right"/>
            </w:pPr>
            <w:r>
              <w:rPr>
                <w:color w:val="000000"/>
                <w:sz w:val="24"/>
                <w:szCs w:val="24"/>
              </w:rPr>
              <w:t>4.39</w:t>
            </w:r>
          </w:p>
        </w:tc>
      </w:tr>
      <w:tr w:rsidR="002D048A">
        <w:trPr>
          <w:jc w:val="center"/>
        </w:trPr>
        <w:tc>
          <w:tcPr>
            <w:tcW w:w="855" w:type="dxa"/>
            <w:vAlign w:val="center"/>
          </w:tcPr>
          <w:p w:rsidR="002D048A" w:rsidRDefault="00737578">
            <w:pPr>
              <w:jc w:val="center"/>
            </w:pPr>
            <w:r>
              <w:rPr>
                <w:color w:val="000000"/>
                <w:sz w:val="24"/>
                <w:szCs w:val="24"/>
              </w:rPr>
              <w:t>10</w:t>
            </w:r>
          </w:p>
        </w:tc>
        <w:tc>
          <w:tcPr>
            <w:tcW w:w="1334" w:type="dxa"/>
            <w:vAlign w:val="center"/>
          </w:tcPr>
          <w:p w:rsidR="002D048A" w:rsidRDefault="00737578">
            <w:pPr>
              <w:jc w:val="center"/>
            </w:pPr>
            <w:r>
              <w:rPr>
                <w:color w:val="000000"/>
                <w:sz w:val="24"/>
                <w:szCs w:val="24"/>
              </w:rPr>
              <w:t>603259</w:t>
            </w:r>
          </w:p>
        </w:tc>
        <w:tc>
          <w:tcPr>
            <w:tcW w:w="1777" w:type="dxa"/>
            <w:vAlign w:val="center"/>
          </w:tcPr>
          <w:p w:rsidR="002D048A" w:rsidRDefault="00737578">
            <w:pPr>
              <w:jc w:val="center"/>
            </w:pPr>
            <w:r>
              <w:rPr>
                <w:color w:val="000000"/>
                <w:sz w:val="24"/>
                <w:szCs w:val="24"/>
              </w:rPr>
              <w:t>药明康德</w:t>
            </w:r>
          </w:p>
        </w:tc>
        <w:tc>
          <w:tcPr>
            <w:tcW w:w="1334" w:type="dxa"/>
            <w:vAlign w:val="center"/>
          </w:tcPr>
          <w:p w:rsidR="002D048A" w:rsidRDefault="00737578">
            <w:pPr>
              <w:jc w:val="right"/>
            </w:pPr>
            <w:r>
              <w:rPr>
                <w:color w:val="000000"/>
                <w:sz w:val="24"/>
                <w:szCs w:val="24"/>
              </w:rPr>
              <w:t>3,275,909</w:t>
            </w:r>
          </w:p>
        </w:tc>
        <w:tc>
          <w:tcPr>
            <w:tcW w:w="1924" w:type="dxa"/>
            <w:vAlign w:val="center"/>
          </w:tcPr>
          <w:p w:rsidR="002D048A" w:rsidRDefault="00737578">
            <w:pPr>
              <w:jc w:val="right"/>
            </w:pPr>
            <w:r>
              <w:rPr>
                <w:color w:val="000000"/>
                <w:sz w:val="24"/>
                <w:szCs w:val="24"/>
              </w:rPr>
              <w:t>441,330,460.48</w:t>
            </w:r>
          </w:p>
        </w:tc>
        <w:tc>
          <w:tcPr>
            <w:tcW w:w="1644" w:type="dxa"/>
            <w:vAlign w:val="center"/>
          </w:tcPr>
          <w:p w:rsidR="002D048A" w:rsidRDefault="00737578">
            <w:pPr>
              <w:jc w:val="right"/>
            </w:pPr>
            <w:r>
              <w:rPr>
                <w:color w:val="000000"/>
                <w:sz w:val="24"/>
                <w:szCs w:val="24"/>
              </w:rPr>
              <w:t>4.19</w:t>
            </w:r>
          </w:p>
        </w:tc>
      </w:tr>
    </w:tbl>
    <w:p w:rsidR="004061AC" w:rsidRPr="00414345" w:rsidRDefault="004061AC" w:rsidP="00C15CAC">
      <w:pPr>
        <w:autoSpaceDE w:val="0"/>
        <w:autoSpaceDN w:val="0"/>
        <w:adjustRightInd w:val="0"/>
        <w:spacing w:before="29" w:line="288" w:lineRule="auto"/>
        <w:jc w:val="left"/>
        <w:rPr>
          <w:b/>
          <w:bCs/>
          <w:color w:val="000000"/>
          <w:kern w:val="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5.4 </w:t>
      </w:r>
      <w:r w:rsidRPr="00414345">
        <w:rPr>
          <w:b/>
          <w:bCs/>
          <w:color w:val="000000"/>
          <w:kern w:val="0"/>
          <w:sz w:val="24"/>
          <w:szCs w:val="24"/>
        </w:rPr>
        <w:t>报告期末按债券品种分类的债券投资组合</w:t>
      </w:r>
    </w:p>
    <w:p w:rsidR="00CE7169" w:rsidRPr="00CE7169" w:rsidRDefault="009C1009" w:rsidP="009C1009">
      <w:pPr>
        <w:autoSpaceDE w:val="0"/>
        <w:autoSpaceDN w:val="0"/>
        <w:adjustRightInd w:val="0"/>
        <w:spacing w:before="29" w:line="288" w:lineRule="auto"/>
        <w:jc w:val="right"/>
        <w:rPr>
          <w:bCs/>
          <w:color w:val="000000"/>
          <w:kern w:val="0"/>
          <w:sz w:val="24"/>
          <w:szCs w:val="24"/>
        </w:rPr>
      </w:pPr>
      <w:r w:rsidRPr="009C1009">
        <w:rPr>
          <w:rFonts w:hint="eastAsia"/>
          <w:bCs/>
          <w:color w:val="000000"/>
          <w:kern w:val="0"/>
          <w:sz w:val="24"/>
          <w:szCs w:val="24"/>
        </w:rPr>
        <w:t>金额单位：人民币元</w:t>
      </w:r>
    </w:p>
    <w:tbl>
      <w:tblPr>
        <w:tblStyle w:val="af7"/>
        <w:tblW w:w="8868" w:type="dxa"/>
        <w:jc w:val="center"/>
        <w:tblLayout w:type="fixed"/>
        <w:tblLook w:val="04A0" w:firstRow="1" w:lastRow="0" w:firstColumn="1" w:lastColumn="0" w:noHBand="0" w:noVBand="1"/>
      </w:tblPr>
      <w:tblGrid>
        <w:gridCol w:w="828"/>
        <w:gridCol w:w="3302"/>
        <w:gridCol w:w="2987"/>
        <w:gridCol w:w="1751"/>
      </w:tblGrid>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lastRenderedPageBreak/>
              <w:t>序号</w:t>
            </w:r>
          </w:p>
        </w:tc>
        <w:tc>
          <w:tcPr>
            <w:tcW w:w="3302"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债券品种</w:t>
            </w:r>
          </w:p>
        </w:tc>
        <w:tc>
          <w:tcPr>
            <w:tcW w:w="2987"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公允价值</w:t>
            </w:r>
          </w:p>
        </w:tc>
        <w:tc>
          <w:tcPr>
            <w:tcW w:w="1751"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占基金资产净值比例</w:t>
            </w:r>
            <w:r w:rsidR="003F0956">
              <w:rPr>
                <w:rFonts w:hint="eastAsia"/>
                <w:color w:val="000000"/>
                <w:sz w:val="24"/>
              </w:rPr>
              <w:t>(</w:t>
            </w:r>
            <w:r w:rsidR="003F0956">
              <w:rPr>
                <w:color w:val="000000"/>
                <w:sz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1</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国家债券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2</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央行票据</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3</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金融债券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520,034,000.00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4.93</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其中：政策性金融债</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520,034,000.00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4.93</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4</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企业债券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5</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企业短期融资</w:t>
            </w:r>
            <w:r w:rsidR="00963F40" w:rsidRPr="00414345">
              <w:rPr>
                <w:color w:val="000000"/>
                <w:sz w:val="24"/>
                <w:szCs w:val="24"/>
              </w:rPr>
              <w:t>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FB41D3" w:rsidRPr="00414345" w:rsidTr="00F323FF">
        <w:trPr>
          <w:jc w:val="center"/>
        </w:trPr>
        <w:tc>
          <w:tcPr>
            <w:tcW w:w="828" w:type="dxa"/>
            <w:vAlign w:val="center"/>
          </w:tcPr>
          <w:p w:rsidR="00FB41D3" w:rsidRPr="00414345" w:rsidRDefault="00FB41D3" w:rsidP="00C15CAC">
            <w:pPr>
              <w:spacing w:before="29" w:line="288" w:lineRule="auto"/>
              <w:ind w:left="17"/>
              <w:jc w:val="center"/>
              <w:rPr>
                <w:color w:val="000000"/>
                <w:sz w:val="24"/>
                <w:szCs w:val="24"/>
              </w:rPr>
            </w:pPr>
            <w:r w:rsidRPr="00414345">
              <w:rPr>
                <w:color w:val="000000"/>
                <w:sz w:val="24"/>
                <w:szCs w:val="24"/>
              </w:rPr>
              <w:t>6</w:t>
            </w:r>
          </w:p>
        </w:tc>
        <w:tc>
          <w:tcPr>
            <w:tcW w:w="3302" w:type="dxa"/>
            <w:vAlign w:val="center"/>
          </w:tcPr>
          <w:p w:rsidR="00FB41D3" w:rsidRPr="00414345" w:rsidRDefault="00FB41D3" w:rsidP="00C15CAC">
            <w:pPr>
              <w:spacing w:before="29" w:line="288" w:lineRule="auto"/>
              <w:ind w:left="17"/>
              <w:jc w:val="left"/>
              <w:rPr>
                <w:color w:val="000000"/>
                <w:sz w:val="24"/>
                <w:szCs w:val="24"/>
              </w:rPr>
            </w:pPr>
            <w:r w:rsidRPr="00414345">
              <w:rPr>
                <w:color w:val="000000"/>
                <w:sz w:val="24"/>
                <w:szCs w:val="24"/>
              </w:rPr>
              <w:t>中期票据</w:t>
            </w:r>
          </w:p>
        </w:tc>
        <w:tc>
          <w:tcPr>
            <w:tcW w:w="2987" w:type="dxa"/>
            <w:vAlign w:val="center"/>
          </w:tcPr>
          <w:p w:rsidR="00FB41D3" w:rsidRPr="00414345" w:rsidRDefault="00FB41D3"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FB41D3" w:rsidRPr="00414345" w:rsidRDefault="00FB41D3"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FB41D3" w:rsidP="00C15CAC">
            <w:pPr>
              <w:spacing w:before="29" w:line="288" w:lineRule="auto"/>
              <w:ind w:left="17"/>
              <w:jc w:val="center"/>
              <w:rPr>
                <w:color w:val="000000"/>
                <w:sz w:val="24"/>
                <w:szCs w:val="24"/>
              </w:rPr>
            </w:pPr>
            <w:r w:rsidRPr="00414345">
              <w:rPr>
                <w:color w:val="000000"/>
                <w:sz w:val="24"/>
                <w:szCs w:val="24"/>
              </w:rPr>
              <w:t>7</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可转债</w:t>
            </w:r>
            <w:r w:rsidR="00AB6E79">
              <w:rPr>
                <w:rFonts w:hint="eastAsia"/>
                <w:sz w:val="24"/>
              </w:rPr>
              <w:t>（可交换债）</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F323FF" w:rsidRPr="00414345" w:rsidTr="0006711A">
        <w:trPr>
          <w:jc w:val="center"/>
        </w:trPr>
        <w:tc>
          <w:tcPr>
            <w:tcW w:w="828" w:type="dxa"/>
            <w:vAlign w:val="center"/>
          </w:tcPr>
          <w:p w:rsidR="00F323FF" w:rsidRPr="007A70C2" w:rsidRDefault="00F323FF" w:rsidP="0006711A">
            <w:pPr>
              <w:spacing w:before="29" w:line="288" w:lineRule="auto"/>
              <w:ind w:left="17"/>
              <w:jc w:val="center"/>
              <w:rPr>
                <w:color w:val="000000"/>
                <w:sz w:val="24"/>
                <w:szCs w:val="24"/>
              </w:rPr>
            </w:pPr>
            <w:r w:rsidRPr="007A70C2">
              <w:rPr>
                <w:rFonts w:hint="eastAsia"/>
                <w:color w:val="000000"/>
                <w:sz w:val="24"/>
                <w:szCs w:val="24"/>
              </w:rPr>
              <w:t>8</w:t>
            </w:r>
          </w:p>
        </w:tc>
        <w:tc>
          <w:tcPr>
            <w:tcW w:w="3302" w:type="dxa"/>
            <w:vAlign w:val="center"/>
          </w:tcPr>
          <w:p w:rsidR="00F323FF" w:rsidRPr="007A70C2" w:rsidRDefault="00F323FF" w:rsidP="0006711A">
            <w:pPr>
              <w:spacing w:before="29" w:line="288" w:lineRule="auto"/>
              <w:ind w:left="17"/>
              <w:jc w:val="left"/>
              <w:rPr>
                <w:color w:val="000000"/>
                <w:sz w:val="24"/>
                <w:szCs w:val="24"/>
              </w:rPr>
            </w:pPr>
            <w:r w:rsidRPr="007A70C2">
              <w:rPr>
                <w:rFonts w:hint="eastAsia"/>
                <w:color w:val="000000"/>
                <w:sz w:val="24"/>
                <w:szCs w:val="24"/>
              </w:rPr>
              <w:t>同业存单</w:t>
            </w:r>
          </w:p>
        </w:tc>
        <w:tc>
          <w:tcPr>
            <w:tcW w:w="2987" w:type="dxa"/>
            <w:vAlign w:val="center"/>
          </w:tcPr>
          <w:p w:rsidR="00F323FF" w:rsidRPr="007A70C2" w:rsidRDefault="00F323FF" w:rsidP="0006711A">
            <w:pPr>
              <w:spacing w:before="29" w:line="288" w:lineRule="auto"/>
              <w:ind w:left="17"/>
              <w:jc w:val="right"/>
              <w:rPr>
                <w:color w:val="000000"/>
                <w:sz w:val="24"/>
                <w:szCs w:val="24"/>
              </w:rPr>
            </w:pPr>
            <w:r w:rsidRPr="007A70C2">
              <w:rPr>
                <w:rFonts w:hint="eastAsia"/>
                <w:color w:val="000000"/>
                <w:sz w:val="24"/>
                <w:szCs w:val="24"/>
              </w:rPr>
              <w:t>-</w:t>
            </w:r>
          </w:p>
        </w:tc>
        <w:tc>
          <w:tcPr>
            <w:tcW w:w="1751" w:type="dxa"/>
            <w:vAlign w:val="center"/>
          </w:tcPr>
          <w:p w:rsidR="00F323FF" w:rsidRPr="007A70C2" w:rsidRDefault="00F323FF" w:rsidP="0006711A">
            <w:pPr>
              <w:spacing w:before="29" w:line="288" w:lineRule="auto"/>
              <w:ind w:left="17"/>
              <w:jc w:val="right"/>
              <w:rPr>
                <w:color w:val="000000"/>
                <w:sz w:val="24"/>
                <w:szCs w:val="24"/>
              </w:rPr>
            </w:pPr>
            <w:r w:rsidRPr="007A70C2">
              <w:rPr>
                <w:rFonts w:hint="eastAsia"/>
                <w:color w:val="000000"/>
                <w:sz w:val="24"/>
                <w:szCs w:val="24"/>
              </w:rPr>
              <w:t>-</w:t>
            </w:r>
          </w:p>
        </w:tc>
      </w:tr>
      <w:tr w:rsidR="00AC592E" w:rsidRPr="00414345" w:rsidTr="00F323FF">
        <w:trPr>
          <w:jc w:val="center"/>
        </w:trPr>
        <w:tc>
          <w:tcPr>
            <w:tcW w:w="828" w:type="dxa"/>
            <w:vAlign w:val="center"/>
          </w:tcPr>
          <w:p w:rsidR="00AC592E" w:rsidRPr="00414345" w:rsidRDefault="00AC592E" w:rsidP="00F323FF">
            <w:pPr>
              <w:spacing w:before="29" w:line="288" w:lineRule="auto"/>
              <w:ind w:left="17"/>
              <w:jc w:val="center"/>
              <w:rPr>
                <w:color w:val="000000"/>
                <w:sz w:val="24"/>
                <w:szCs w:val="24"/>
              </w:rPr>
            </w:pPr>
            <w:r w:rsidRPr="00414345">
              <w:rPr>
                <w:color w:val="000000"/>
                <w:sz w:val="24"/>
                <w:szCs w:val="24"/>
              </w:rPr>
              <w:t>9</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其他</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F323FF">
            <w:pPr>
              <w:spacing w:before="29" w:line="288" w:lineRule="auto"/>
              <w:ind w:left="17"/>
              <w:jc w:val="center"/>
              <w:rPr>
                <w:color w:val="000000"/>
                <w:sz w:val="24"/>
                <w:szCs w:val="24"/>
              </w:rPr>
            </w:pPr>
            <w:r w:rsidRPr="00414345">
              <w:rPr>
                <w:color w:val="000000"/>
                <w:sz w:val="24"/>
                <w:szCs w:val="24"/>
              </w:rPr>
              <w:t>10</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合计</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520,034,000.00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4.93</w:t>
            </w:r>
          </w:p>
        </w:tc>
      </w:tr>
    </w:tbl>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5.5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的前五名债券投资明细</w:t>
      </w:r>
    </w:p>
    <w:p w:rsidR="005B4C8F" w:rsidRPr="005B4C8F" w:rsidRDefault="009C1009" w:rsidP="009C1009">
      <w:pPr>
        <w:autoSpaceDE w:val="0"/>
        <w:autoSpaceDN w:val="0"/>
        <w:adjustRightInd w:val="0"/>
        <w:spacing w:before="29" w:line="288" w:lineRule="auto"/>
        <w:jc w:val="right"/>
        <w:rPr>
          <w:bCs/>
          <w:color w:val="000000"/>
          <w:kern w:val="0"/>
          <w:sz w:val="24"/>
          <w:szCs w:val="24"/>
        </w:rPr>
      </w:pPr>
      <w:r w:rsidRPr="009C1009">
        <w:rPr>
          <w:rFonts w:hint="eastAsia"/>
          <w:bCs/>
          <w:color w:val="000000"/>
          <w:kern w:val="0"/>
          <w:sz w:val="24"/>
          <w:szCs w:val="24"/>
        </w:rPr>
        <w:t>金额单位：人民币元</w:t>
      </w:r>
    </w:p>
    <w:tbl>
      <w:tblPr>
        <w:tblStyle w:val="af7"/>
        <w:tblW w:w="8868" w:type="dxa"/>
        <w:jc w:val="center"/>
        <w:tblLayout w:type="fixed"/>
        <w:tblCellMar>
          <w:top w:w="57" w:type="dxa"/>
          <w:bottom w:w="57" w:type="dxa"/>
        </w:tblCellMar>
        <w:tblLook w:val="04A0" w:firstRow="1" w:lastRow="0" w:firstColumn="1" w:lastColumn="0" w:noHBand="0" w:noVBand="1"/>
      </w:tblPr>
      <w:tblGrid>
        <w:gridCol w:w="850"/>
        <w:gridCol w:w="1475"/>
        <w:gridCol w:w="1769"/>
        <w:gridCol w:w="1387"/>
        <w:gridCol w:w="2150"/>
        <w:gridCol w:w="1237"/>
      </w:tblGrid>
      <w:tr w:rsidR="00D57B7C" w:rsidRPr="00414345" w:rsidTr="00A324F4">
        <w:trPr>
          <w:jc w:val="center"/>
        </w:trPr>
        <w:tc>
          <w:tcPr>
            <w:tcW w:w="817"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序号</w:t>
            </w:r>
          </w:p>
        </w:tc>
        <w:tc>
          <w:tcPr>
            <w:tcW w:w="1418"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债券代码</w:t>
            </w:r>
          </w:p>
        </w:tc>
        <w:tc>
          <w:tcPr>
            <w:tcW w:w="1701"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债券名称</w:t>
            </w:r>
          </w:p>
        </w:tc>
        <w:tc>
          <w:tcPr>
            <w:tcW w:w="1334"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数量</w:t>
            </w:r>
            <w:r w:rsidR="009D1BD9">
              <w:rPr>
                <w:rFonts w:hint="eastAsia"/>
                <w:color w:val="000000"/>
                <w:sz w:val="24"/>
              </w:rPr>
              <w:t>(</w:t>
            </w:r>
            <w:r w:rsidR="009D1BD9">
              <w:rPr>
                <w:rFonts w:hint="eastAsia"/>
                <w:color w:val="000000"/>
                <w:sz w:val="24"/>
              </w:rPr>
              <w:t>张</w:t>
            </w:r>
            <w:r w:rsidR="009D1BD9">
              <w:rPr>
                <w:color w:val="000000"/>
                <w:sz w:val="24"/>
              </w:rPr>
              <w:t>)</w:t>
            </w:r>
          </w:p>
        </w:tc>
        <w:tc>
          <w:tcPr>
            <w:tcW w:w="2068"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公允价值</w:t>
            </w:r>
          </w:p>
        </w:tc>
        <w:tc>
          <w:tcPr>
            <w:tcW w:w="1190"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占基金资产净值比例</w:t>
            </w:r>
            <w:r w:rsidR="003B3494" w:rsidRPr="00414345">
              <w:rPr>
                <w:color w:val="000000"/>
                <w:sz w:val="24"/>
              </w:rPr>
              <w:t>（％）</w:t>
            </w:r>
          </w:p>
        </w:tc>
      </w:tr>
      <w:tr w:rsidR="002D048A">
        <w:trPr>
          <w:jc w:val="center"/>
        </w:trPr>
        <w:tc>
          <w:tcPr>
            <w:tcW w:w="850" w:type="dxa"/>
            <w:vAlign w:val="center"/>
          </w:tcPr>
          <w:p w:rsidR="002D048A" w:rsidRDefault="00737578">
            <w:pPr>
              <w:jc w:val="center"/>
            </w:pPr>
            <w:r>
              <w:rPr>
                <w:color w:val="000000"/>
                <w:sz w:val="24"/>
                <w:szCs w:val="24"/>
              </w:rPr>
              <w:t>1</w:t>
            </w:r>
          </w:p>
        </w:tc>
        <w:tc>
          <w:tcPr>
            <w:tcW w:w="1475" w:type="dxa"/>
            <w:vAlign w:val="center"/>
          </w:tcPr>
          <w:p w:rsidR="002D048A" w:rsidRDefault="00737578">
            <w:pPr>
              <w:jc w:val="center"/>
            </w:pPr>
            <w:r>
              <w:rPr>
                <w:color w:val="000000"/>
                <w:sz w:val="24"/>
                <w:szCs w:val="24"/>
              </w:rPr>
              <w:t>200216</w:t>
            </w:r>
          </w:p>
        </w:tc>
        <w:tc>
          <w:tcPr>
            <w:tcW w:w="1769" w:type="dxa"/>
            <w:vAlign w:val="center"/>
          </w:tcPr>
          <w:p w:rsidR="002D048A" w:rsidRDefault="00737578">
            <w:pPr>
              <w:jc w:val="center"/>
            </w:pPr>
            <w:r>
              <w:rPr>
                <w:color w:val="000000"/>
                <w:sz w:val="24"/>
                <w:szCs w:val="24"/>
              </w:rPr>
              <w:t>20</w:t>
            </w:r>
            <w:r>
              <w:rPr>
                <w:color w:val="000000"/>
                <w:sz w:val="24"/>
                <w:szCs w:val="24"/>
              </w:rPr>
              <w:t>国开</w:t>
            </w:r>
            <w:r>
              <w:rPr>
                <w:color w:val="000000"/>
                <w:sz w:val="24"/>
                <w:szCs w:val="24"/>
              </w:rPr>
              <w:t>16</w:t>
            </w:r>
          </w:p>
        </w:tc>
        <w:tc>
          <w:tcPr>
            <w:tcW w:w="1387" w:type="dxa"/>
            <w:vAlign w:val="center"/>
          </w:tcPr>
          <w:p w:rsidR="002D048A" w:rsidRDefault="00737578">
            <w:pPr>
              <w:jc w:val="right"/>
            </w:pPr>
            <w:r>
              <w:rPr>
                <w:color w:val="000000"/>
                <w:sz w:val="24"/>
                <w:szCs w:val="24"/>
              </w:rPr>
              <w:t>3,200,000</w:t>
            </w:r>
          </w:p>
        </w:tc>
        <w:tc>
          <w:tcPr>
            <w:tcW w:w="2150" w:type="dxa"/>
            <w:vAlign w:val="center"/>
          </w:tcPr>
          <w:p w:rsidR="002D048A" w:rsidRDefault="00737578">
            <w:pPr>
              <w:jc w:val="right"/>
            </w:pPr>
            <w:r>
              <w:rPr>
                <w:color w:val="000000"/>
                <w:sz w:val="24"/>
                <w:szCs w:val="24"/>
              </w:rPr>
              <w:t>320,544,000.00</w:t>
            </w:r>
          </w:p>
        </w:tc>
        <w:tc>
          <w:tcPr>
            <w:tcW w:w="1237" w:type="dxa"/>
            <w:vAlign w:val="center"/>
          </w:tcPr>
          <w:p w:rsidR="002D048A" w:rsidRDefault="00737578">
            <w:pPr>
              <w:jc w:val="right"/>
            </w:pPr>
            <w:r>
              <w:rPr>
                <w:color w:val="000000"/>
                <w:sz w:val="24"/>
                <w:szCs w:val="24"/>
              </w:rPr>
              <w:t>3.04</w:t>
            </w:r>
          </w:p>
        </w:tc>
      </w:tr>
      <w:tr w:rsidR="002D048A">
        <w:trPr>
          <w:jc w:val="center"/>
        </w:trPr>
        <w:tc>
          <w:tcPr>
            <w:tcW w:w="850" w:type="dxa"/>
            <w:vAlign w:val="center"/>
          </w:tcPr>
          <w:p w:rsidR="002D048A" w:rsidRDefault="00737578">
            <w:pPr>
              <w:jc w:val="center"/>
            </w:pPr>
            <w:r>
              <w:rPr>
                <w:color w:val="000000"/>
                <w:sz w:val="24"/>
                <w:szCs w:val="24"/>
              </w:rPr>
              <w:t>2</w:t>
            </w:r>
          </w:p>
        </w:tc>
        <w:tc>
          <w:tcPr>
            <w:tcW w:w="1475" w:type="dxa"/>
            <w:vAlign w:val="center"/>
          </w:tcPr>
          <w:p w:rsidR="002D048A" w:rsidRDefault="00737578">
            <w:pPr>
              <w:jc w:val="center"/>
            </w:pPr>
            <w:r>
              <w:rPr>
                <w:color w:val="000000"/>
                <w:sz w:val="24"/>
                <w:szCs w:val="24"/>
              </w:rPr>
              <w:t>200406</w:t>
            </w:r>
          </w:p>
        </w:tc>
        <w:tc>
          <w:tcPr>
            <w:tcW w:w="1769" w:type="dxa"/>
            <w:vAlign w:val="center"/>
          </w:tcPr>
          <w:p w:rsidR="002D048A" w:rsidRDefault="00737578">
            <w:pPr>
              <w:jc w:val="center"/>
            </w:pPr>
            <w:r>
              <w:rPr>
                <w:color w:val="000000"/>
                <w:sz w:val="24"/>
                <w:szCs w:val="24"/>
              </w:rPr>
              <w:t>20</w:t>
            </w:r>
            <w:r>
              <w:rPr>
                <w:color w:val="000000"/>
                <w:sz w:val="24"/>
                <w:szCs w:val="24"/>
              </w:rPr>
              <w:t>农发</w:t>
            </w:r>
            <w:r>
              <w:rPr>
                <w:color w:val="000000"/>
                <w:sz w:val="24"/>
                <w:szCs w:val="24"/>
              </w:rPr>
              <w:t>06</w:t>
            </w:r>
          </w:p>
        </w:tc>
        <w:tc>
          <w:tcPr>
            <w:tcW w:w="1387" w:type="dxa"/>
            <w:vAlign w:val="center"/>
          </w:tcPr>
          <w:p w:rsidR="002D048A" w:rsidRDefault="00737578">
            <w:pPr>
              <w:jc w:val="right"/>
            </w:pPr>
            <w:r>
              <w:rPr>
                <w:color w:val="000000"/>
                <w:sz w:val="24"/>
                <w:szCs w:val="24"/>
              </w:rPr>
              <w:t>1,300,000</w:t>
            </w:r>
          </w:p>
        </w:tc>
        <w:tc>
          <w:tcPr>
            <w:tcW w:w="2150" w:type="dxa"/>
            <w:vAlign w:val="center"/>
          </w:tcPr>
          <w:p w:rsidR="002D048A" w:rsidRDefault="00737578">
            <w:pPr>
              <w:jc w:val="right"/>
            </w:pPr>
            <w:r>
              <w:rPr>
                <w:color w:val="000000"/>
                <w:sz w:val="24"/>
                <w:szCs w:val="24"/>
              </w:rPr>
              <w:t>129,688,000.00</w:t>
            </w:r>
          </w:p>
        </w:tc>
        <w:tc>
          <w:tcPr>
            <w:tcW w:w="1237" w:type="dxa"/>
            <w:vAlign w:val="center"/>
          </w:tcPr>
          <w:p w:rsidR="002D048A" w:rsidRDefault="00737578">
            <w:pPr>
              <w:jc w:val="right"/>
            </w:pPr>
            <w:r>
              <w:rPr>
                <w:color w:val="000000"/>
                <w:sz w:val="24"/>
                <w:szCs w:val="24"/>
              </w:rPr>
              <w:t>1.23</w:t>
            </w:r>
          </w:p>
        </w:tc>
      </w:tr>
      <w:tr w:rsidR="002D048A">
        <w:trPr>
          <w:jc w:val="center"/>
        </w:trPr>
        <w:tc>
          <w:tcPr>
            <w:tcW w:w="850" w:type="dxa"/>
            <w:vAlign w:val="center"/>
          </w:tcPr>
          <w:p w:rsidR="002D048A" w:rsidRDefault="00737578">
            <w:pPr>
              <w:jc w:val="center"/>
            </w:pPr>
            <w:r>
              <w:rPr>
                <w:color w:val="000000"/>
                <w:sz w:val="24"/>
                <w:szCs w:val="24"/>
              </w:rPr>
              <w:t>3</w:t>
            </w:r>
          </w:p>
        </w:tc>
        <w:tc>
          <w:tcPr>
            <w:tcW w:w="1475" w:type="dxa"/>
            <w:vAlign w:val="center"/>
          </w:tcPr>
          <w:p w:rsidR="002D048A" w:rsidRDefault="00737578">
            <w:pPr>
              <w:jc w:val="center"/>
            </w:pPr>
            <w:r>
              <w:rPr>
                <w:color w:val="000000"/>
                <w:sz w:val="24"/>
                <w:szCs w:val="24"/>
              </w:rPr>
              <w:t>200211</w:t>
            </w:r>
          </w:p>
        </w:tc>
        <w:tc>
          <w:tcPr>
            <w:tcW w:w="1769" w:type="dxa"/>
            <w:vAlign w:val="center"/>
          </w:tcPr>
          <w:p w:rsidR="002D048A" w:rsidRDefault="00737578">
            <w:pPr>
              <w:jc w:val="center"/>
            </w:pPr>
            <w:r>
              <w:rPr>
                <w:color w:val="000000"/>
                <w:sz w:val="24"/>
                <w:szCs w:val="24"/>
              </w:rPr>
              <w:t>20</w:t>
            </w:r>
            <w:r>
              <w:rPr>
                <w:color w:val="000000"/>
                <w:sz w:val="24"/>
                <w:szCs w:val="24"/>
              </w:rPr>
              <w:t>国开</w:t>
            </w:r>
            <w:r>
              <w:rPr>
                <w:color w:val="000000"/>
                <w:sz w:val="24"/>
                <w:szCs w:val="24"/>
              </w:rPr>
              <w:t>11</w:t>
            </w:r>
          </w:p>
        </w:tc>
        <w:tc>
          <w:tcPr>
            <w:tcW w:w="1387" w:type="dxa"/>
            <w:vAlign w:val="center"/>
          </w:tcPr>
          <w:p w:rsidR="002D048A" w:rsidRDefault="00737578">
            <w:pPr>
              <w:jc w:val="right"/>
            </w:pPr>
            <w:r>
              <w:rPr>
                <w:color w:val="000000"/>
                <w:sz w:val="24"/>
                <w:szCs w:val="24"/>
              </w:rPr>
              <w:t>500,000</w:t>
            </w:r>
          </w:p>
        </w:tc>
        <w:tc>
          <w:tcPr>
            <w:tcW w:w="2150" w:type="dxa"/>
            <w:vAlign w:val="center"/>
          </w:tcPr>
          <w:p w:rsidR="002D048A" w:rsidRDefault="00737578">
            <w:pPr>
              <w:jc w:val="right"/>
            </w:pPr>
            <w:r>
              <w:rPr>
                <w:color w:val="000000"/>
                <w:sz w:val="24"/>
                <w:szCs w:val="24"/>
              </w:rPr>
              <w:t>49,800,000.00</w:t>
            </w:r>
          </w:p>
        </w:tc>
        <w:tc>
          <w:tcPr>
            <w:tcW w:w="1237" w:type="dxa"/>
            <w:vAlign w:val="center"/>
          </w:tcPr>
          <w:p w:rsidR="002D048A" w:rsidRDefault="00737578">
            <w:pPr>
              <w:jc w:val="right"/>
            </w:pPr>
            <w:r>
              <w:rPr>
                <w:color w:val="000000"/>
                <w:sz w:val="24"/>
                <w:szCs w:val="24"/>
              </w:rPr>
              <w:t>0.47</w:t>
            </w:r>
          </w:p>
        </w:tc>
      </w:tr>
      <w:tr w:rsidR="002D048A">
        <w:trPr>
          <w:jc w:val="center"/>
        </w:trPr>
        <w:tc>
          <w:tcPr>
            <w:tcW w:w="850" w:type="dxa"/>
            <w:vAlign w:val="center"/>
          </w:tcPr>
          <w:p w:rsidR="002D048A" w:rsidRDefault="00737578">
            <w:pPr>
              <w:jc w:val="center"/>
            </w:pPr>
            <w:r>
              <w:rPr>
                <w:color w:val="000000"/>
                <w:sz w:val="24"/>
                <w:szCs w:val="24"/>
              </w:rPr>
              <w:t>4</w:t>
            </w:r>
          </w:p>
        </w:tc>
        <w:tc>
          <w:tcPr>
            <w:tcW w:w="1475" w:type="dxa"/>
            <w:vAlign w:val="center"/>
          </w:tcPr>
          <w:p w:rsidR="002D048A" w:rsidRDefault="00737578">
            <w:pPr>
              <w:jc w:val="center"/>
            </w:pPr>
            <w:r>
              <w:rPr>
                <w:color w:val="000000"/>
                <w:sz w:val="24"/>
                <w:szCs w:val="24"/>
              </w:rPr>
              <w:t>200201</w:t>
            </w:r>
          </w:p>
        </w:tc>
        <w:tc>
          <w:tcPr>
            <w:tcW w:w="1769" w:type="dxa"/>
            <w:vAlign w:val="center"/>
          </w:tcPr>
          <w:p w:rsidR="002D048A" w:rsidRDefault="00737578">
            <w:pPr>
              <w:jc w:val="center"/>
            </w:pPr>
            <w:r>
              <w:rPr>
                <w:color w:val="000000"/>
                <w:sz w:val="24"/>
                <w:szCs w:val="24"/>
              </w:rPr>
              <w:t>20</w:t>
            </w:r>
            <w:r>
              <w:rPr>
                <w:color w:val="000000"/>
                <w:sz w:val="24"/>
                <w:szCs w:val="24"/>
              </w:rPr>
              <w:t>国开</w:t>
            </w:r>
            <w:r>
              <w:rPr>
                <w:color w:val="000000"/>
                <w:sz w:val="24"/>
                <w:szCs w:val="24"/>
              </w:rPr>
              <w:t>01</w:t>
            </w:r>
          </w:p>
        </w:tc>
        <w:tc>
          <w:tcPr>
            <w:tcW w:w="1387" w:type="dxa"/>
            <w:vAlign w:val="center"/>
          </w:tcPr>
          <w:p w:rsidR="002D048A" w:rsidRDefault="00737578">
            <w:pPr>
              <w:jc w:val="right"/>
            </w:pPr>
            <w:r>
              <w:rPr>
                <w:color w:val="000000"/>
                <w:sz w:val="24"/>
                <w:szCs w:val="24"/>
              </w:rPr>
              <w:t>200,000</w:t>
            </w:r>
          </w:p>
        </w:tc>
        <w:tc>
          <w:tcPr>
            <w:tcW w:w="2150" w:type="dxa"/>
            <w:vAlign w:val="center"/>
          </w:tcPr>
          <w:p w:rsidR="002D048A" w:rsidRDefault="00737578">
            <w:pPr>
              <w:jc w:val="right"/>
            </w:pPr>
            <w:r>
              <w:rPr>
                <w:color w:val="000000"/>
                <w:sz w:val="24"/>
                <w:szCs w:val="24"/>
              </w:rPr>
              <w:t>20,002,000.00</w:t>
            </w:r>
          </w:p>
        </w:tc>
        <w:tc>
          <w:tcPr>
            <w:tcW w:w="1237" w:type="dxa"/>
            <w:vAlign w:val="center"/>
          </w:tcPr>
          <w:p w:rsidR="002D048A" w:rsidRDefault="00737578">
            <w:pPr>
              <w:jc w:val="right"/>
            </w:pPr>
            <w:r>
              <w:rPr>
                <w:color w:val="000000"/>
                <w:sz w:val="24"/>
                <w:szCs w:val="24"/>
              </w:rPr>
              <w:t>0.19</w:t>
            </w:r>
          </w:p>
        </w:tc>
      </w:tr>
    </w:tbl>
    <w:p w:rsidR="004061AC" w:rsidRPr="00414345" w:rsidRDefault="004061AC" w:rsidP="00C15CAC">
      <w:pPr>
        <w:autoSpaceDE w:val="0"/>
        <w:autoSpaceDN w:val="0"/>
        <w:adjustRightInd w:val="0"/>
        <w:spacing w:before="29" w:line="288" w:lineRule="auto"/>
        <w:jc w:val="left"/>
        <w:rPr>
          <w:b/>
          <w:bCs/>
          <w:color w:val="000000"/>
          <w:kern w:val="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5.6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的前十名资产支持证券投资明细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本基金本报告期末未持有资产支持证券。</w:t>
      </w:r>
    </w:p>
    <w:p w:rsidR="00A54C7D" w:rsidRPr="00414345" w:rsidRDefault="00A54C7D" w:rsidP="00C15CAC">
      <w:pPr>
        <w:autoSpaceDE w:val="0"/>
        <w:autoSpaceDN w:val="0"/>
        <w:adjustRightInd w:val="0"/>
        <w:spacing w:before="29" w:line="288" w:lineRule="auto"/>
        <w:jc w:val="left"/>
        <w:rPr>
          <w:color w:val="000000"/>
          <w:kern w:val="0"/>
          <w:sz w:val="24"/>
          <w:szCs w:val="24"/>
        </w:rPr>
      </w:pPr>
      <w:r w:rsidRPr="00414345">
        <w:rPr>
          <w:b/>
          <w:bCs/>
          <w:color w:val="000000"/>
          <w:kern w:val="0"/>
          <w:sz w:val="24"/>
          <w:szCs w:val="24"/>
        </w:rPr>
        <w:t>5.7</w:t>
      </w:r>
      <w:r w:rsidRPr="00414345">
        <w:rPr>
          <w:rFonts w:hAnsi="宋体"/>
          <w:b/>
          <w:bCs/>
          <w:color w:val="000000"/>
          <w:kern w:val="0"/>
          <w:sz w:val="24"/>
          <w:szCs w:val="24"/>
        </w:rPr>
        <w:t>报告期末按公允价值占基金资产净值比例大小排序的前五名贵金属投资明细</w:t>
      </w:r>
    </w:p>
    <w:p w:rsidR="00632B0F" w:rsidRPr="00414345" w:rsidRDefault="00632B0F" w:rsidP="00C15CAC">
      <w:pPr>
        <w:widowControl/>
        <w:spacing w:line="288" w:lineRule="auto"/>
        <w:jc w:val="left"/>
        <w:rPr>
          <w:sz w:val="24"/>
          <w:szCs w:val="24"/>
        </w:rPr>
      </w:pPr>
      <w:r w:rsidRPr="00414345">
        <w:rPr>
          <w:sz w:val="24"/>
          <w:szCs w:val="24"/>
        </w:rPr>
        <w:t>本基金本报告期末未持有贵金属。</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A917B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5.8</w:t>
      </w:r>
      <w:r w:rsidR="004061AC"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004061AC" w:rsidRPr="00414345">
        <w:rPr>
          <w:b/>
          <w:bCs/>
          <w:color w:val="000000"/>
          <w:kern w:val="0"/>
          <w:sz w:val="24"/>
          <w:szCs w:val="24"/>
        </w:rPr>
        <w:t>的前五名权证投资明细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本基金本报告期末未持有权证。</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275745"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A917BF" w:rsidRPr="00414345">
        <w:rPr>
          <w:b/>
          <w:bCs/>
          <w:color w:val="000000"/>
          <w:kern w:val="0"/>
          <w:sz w:val="24"/>
          <w:szCs w:val="24"/>
        </w:rPr>
        <w:t>.</w:t>
      </w:r>
      <w:r w:rsidR="0059076B" w:rsidRPr="00414345">
        <w:rPr>
          <w:b/>
          <w:bCs/>
          <w:color w:val="000000"/>
          <w:kern w:val="0"/>
          <w:sz w:val="24"/>
          <w:szCs w:val="24"/>
        </w:rPr>
        <w:t>9</w:t>
      </w:r>
      <w:r w:rsidR="00275745" w:rsidRPr="00414345">
        <w:rPr>
          <w:b/>
          <w:bCs/>
          <w:color w:val="000000"/>
          <w:kern w:val="0"/>
          <w:sz w:val="24"/>
          <w:szCs w:val="24"/>
        </w:rPr>
        <w:t>报告期末本基金投资的股指期货交易情况说明</w:t>
      </w:r>
    </w:p>
    <w:p w:rsidR="00275745" w:rsidRPr="00414345" w:rsidRDefault="00AA3A38" w:rsidP="00C15CAC">
      <w:pPr>
        <w:autoSpaceDE w:val="0"/>
        <w:autoSpaceDN w:val="0"/>
        <w:adjustRightInd w:val="0"/>
        <w:spacing w:before="29" w:line="288" w:lineRule="auto"/>
        <w:jc w:val="left"/>
        <w:rPr>
          <w:color w:val="000000"/>
          <w:sz w:val="24"/>
          <w:szCs w:val="24"/>
        </w:rPr>
      </w:pPr>
      <w:r w:rsidRPr="00414345">
        <w:rPr>
          <w:color w:val="000000"/>
          <w:sz w:val="24"/>
          <w:szCs w:val="24"/>
        </w:rPr>
        <w:lastRenderedPageBreak/>
        <w:t>本基金本报告期末未持有股指期货。</w:t>
      </w:r>
      <w:r w:rsidRPr="00414345">
        <w:rPr>
          <w:color w:val="000000"/>
          <w:sz w:val="24"/>
          <w:szCs w:val="24"/>
        </w:rPr>
        <w:t xml:space="preserve"> </w:t>
      </w:r>
    </w:p>
    <w:p w:rsidR="00AA3A38" w:rsidRPr="00414345" w:rsidRDefault="00AA3A38" w:rsidP="00C15CAC">
      <w:pPr>
        <w:adjustRightInd w:val="0"/>
        <w:snapToGrid w:val="0"/>
        <w:spacing w:before="29" w:line="288" w:lineRule="auto"/>
        <w:rPr>
          <w:sz w:val="24"/>
          <w:szCs w:val="24"/>
        </w:rPr>
      </w:pPr>
    </w:p>
    <w:p w:rsidR="00A669FC" w:rsidRPr="00414345" w:rsidRDefault="00312A9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5.10</w:t>
      </w:r>
      <w:r w:rsidRPr="00414345">
        <w:rPr>
          <w:b/>
          <w:bCs/>
          <w:color w:val="000000"/>
          <w:kern w:val="0"/>
          <w:sz w:val="24"/>
          <w:szCs w:val="24"/>
        </w:rPr>
        <w:t>报告期末本基金投资的国债期货交易情况说明</w:t>
      </w:r>
    </w:p>
    <w:p w:rsidR="00312A9F" w:rsidRPr="00414345" w:rsidRDefault="00312A9F"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本基金本报告期末未持有国债期货。</w:t>
      </w:r>
    </w:p>
    <w:p w:rsidR="00426096" w:rsidRPr="00414345" w:rsidRDefault="00426096" w:rsidP="00C15CAC">
      <w:pPr>
        <w:autoSpaceDE w:val="0"/>
        <w:autoSpaceDN w:val="0"/>
        <w:adjustRightInd w:val="0"/>
        <w:spacing w:before="29" w:line="288" w:lineRule="auto"/>
        <w:jc w:val="left"/>
        <w:rPr>
          <w:color w:val="000000"/>
          <w:sz w:val="24"/>
          <w:szCs w:val="24"/>
        </w:rPr>
      </w:pPr>
    </w:p>
    <w:p w:rsidR="004061AC"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275745" w:rsidRPr="00414345">
        <w:rPr>
          <w:b/>
          <w:bCs/>
          <w:color w:val="000000"/>
          <w:kern w:val="0"/>
          <w:sz w:val="24"/>
          <w:szCs w:val="24"/>
        </w:rPr>
        <w:t>.</w:t>
      </w:r>
      <w:r w:rsidR="0059076B" w:rsidRPr="00414345">
        <w:rPr>
          <w:b/>
          <w:bCs/>
          <w:color w:val="000000"/>
          <w:kern w:val="0"/>
          <w:sz w:val="24"/>
          <w:szCs w:val="24"/>
        </w:rPr>
        <w:t>11</w:t>
      </w:r>
      <w:r w:rsidR="004061AC" w:rsidRPr="00414345">
        <w:rPr>
          <w:b/>
          <w:bCs/>
          <w:color w:val="000000"/>
          <w:kern w:val="0"/>
          <w:sz w:val="24"/>
          <w:szCs w:val="24"/>
        </w:rPr>
        <w:t>投资组合报告附注</w:t>
      </w:r>
    </w:p>
    <w:p w:rsidR="00BE5388" w:rsidRPr="00B34FB5" w:rsidRDefault="00BE5388" w:rsidP="00E40D31">
      <w:pPr>
        <w:autoSpaceDE w:val="0"/>
        <w:autoSpaceDN w:val="0"/>
        <w:adjustRightInd w:val="0"/>
        <w:spacing w:before="29" w:line="288" w:lineRule="auto"/>
        <w:jc w:val="left"/>
        <w:rPr>
          <w:b/>
          <w:bCs/>
          <w:color w:val="000000"/>
          <w:kern w:val="0"/>
          <w:sz w:val="24"/>
          <w:szCs w:val="24"/>
        </w:rPr>
      </w:pPr>
      <w:r w:rsidRPr="00B34FB5">
        <w:rPr>
          <w:b/>
          <w:bCs/>
          <w:color w:val="000000"/>
          <w:kern w:val="0"/>
          <w:sz w:val="24"/>
          <w:szCs w:val="24"/>
        </w:rPr>
        <w:t>5.11.1</w:t>
      </w:r>
      <w:r w:rsidRPr="00AA3969">
        <w:rPr>
          <w:bCs/>
          <w:color w:val="000000"/>
          <w:kern w:val="0"/>
          <w:sz w:val="24"/>
          <w:szCs w:val="24"/>
        </w:rPr>
        <w:t>报告期内本基金投资的前十名证券的发行主体未被监管部门立案调查，在本报告编制日前一年内本基金投资的前十名证券的发行主体未受到公开谴责和处罚。</w:t>
      </w:r>
    </w:p>
    <w:p w:rsidR="00BE5388" w:rsidRPr="00AA3969" w:rsidRDefault="00BE5388" w:rsidP="00E40D31">
      <w:pPr>
        <w:autoSpaceDE w:val="0"/>
        <w:autoSpaceDN w:val="0"/>
        <w:adjustRightInd w:val="0"/>
        <w:spacing w:before="29" w:line="288" w:lineRule="auto"/>
        <w:jc w:val="left"/>
        <w:rPr>
          <w:bCs/>
          <w:color w:val="000000"/>
          <w:kern w:val="0"/>
          <w:sz w:val="24"/>
          <w:szCs w:val="24"/>
        </w:rPr>
      </w:pPr>
      <w:r w:rsidRPr="00B34FB5">
        <w:rPr>
          <w:b/>
          <w:bCs/>
          <w:color w:val="000000"/>
          <w:kern w:val="0"/>
          <w:sz w:val="24"/>
          <w:szCs w:val="24"/>
        </w:rPr>
        <w:t>5.11.2</w:t>
      </w:r>
      <w:r w:rsidRPr="00AA3969">
        <w:rPr>
          <w:bCs/>
          <w:color w:val="000000"/>
          <w:kern w:val="0"/>
          <w:sz w:val="24"/>
          <w:szCs w:val="24"/>
        </w:rPr>
        <w:t>本基金投资的前十名股票中，没有超出基金合同规定的备选股票库之外的股票。</w:t>
      </w:r>
    </w:p>
    <w:p w:rsidR="004061AC" w:rsidRPr="006B0D08" w:rsidRDefault="003259C8" w:rsidP="00C15CAC">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275745" w:rsidRPr="006B0D08">
        <w:rPr>
          <w:b/>
          <w:bCs/>
          <w:color w:val="000000"/>
          <w:kern w:val="0"/>
          <w:sz w:val="24"/>
          <w:szCs w:val="24"/>
        </w:rPr>
        <w:t>.</w:t>
      </w:r>
      <w:r w:rsidR="0059076B" w:rsidRPr="006B0D08">
        <w:rPr>
          <w:b/>
          <w:bCs/>
          <w:color w:val="000000"/>
          <w:kern w:val="0"/>
          <w:sz w:val="24"/>
          <w:szCs w:val="24"/>
        </w:rPr>
        <w:t>11.3</w:t>
      </w:r>
      <w:r w:rsidR="0035383E" w:rsidRPr="006B0D08">
        <w:rPr>
          <w:b/>
          <w:bCs/>
          <w:color w:val="000000"/>
          <w:kern w:val="0"/>
          <w:sz w:val="24"/>
          <w:szCs w:val="24"/>
        </w:rPr>
        <w:t>其他</w:t>
      </w:r>
      <w:r w:rsidR="004061AC" w:rsidRPr="006B0D08">
        <w:rPr>
          <w:b/>
          <w:bCs/>
          <w:color w:val="000000"/>
          <w:kern w:val="0"/>
          <w:sz w:val="24"/>
          <w:szCs w:val="24"/>
        </w:rPr>
        <w:t>资产构成</w:t>
      </w:r>
    </w:p>
    <w:p w:rsidR="00DD7A00" w:rsidRPr="00414345" w:rsidRDefault="004A0AA9" w:rsidP="00DD7A00">
      <w:pPr>
        <w:autoSpaceDE w:val="0"/>
        <w:autoSpaceDN w:val="0"/>
        <w:adjustRightInd w:val="0"/>
        <w:spacing w:before="29" w:line="288" w:lineRule="auto"/>
        <w:jc w:val="right"/>
        <w:rPr>
          <w:bCs/>
          <w:color w:val="000000"/>
          <w:kern w:val="0"/>
          <w:sz w:val="24"/>
          <w:szCs w:val="24"/>
        </w:rPr>
      </w:pPr>
      <w:r w:rsidRPr="004A0AA9">
        <w:rPr>
          <w:rFonts w:hint="eastAsia"/>
          <w:bCs/>
          <w:color w:val="000000"/>
          <w:kern w:val="0"/>
          <w:sz w:val="24"/>
          <w:szCs w:val="24"/>
        </w:rPr>
        <w:t>金额单位：人民币元</w:t>
      </w:r>
    </w:p>
    <w:tbl>
      <w:tblPr>
        <w:tblStyle w:val="af7"/>
        <w:tblpPr w:leftFromText="180" w:rightFromText="180" w:vertAnchor="text" w:horzAnchor="margin" w:tblpXSpec="center" w:tblpY="265"/>
        <w:tblW w:w="8868" w:type="dxa"/>
        <w:jc w:val="center"/>
        <w:tblLayout w:type="fixed"/>
        <w:tblCellMar>
          <w:top w:w="-1" w:type="dxa"/>
          <w:bottom w:w="-1" w:type="dxa"/>
        </w:tblCellMar>
        <w:tblLook w:val="04A0" w:firstRow="1" w:lastRow="0" w:firstColumn="1" w:lastColumn="0" w:noHBand="0" w:noVBand="1"/>
      </w:tblPr>
      <w:tblGrid>
        <w:gridCol w:w="1287"/>
        <w:gridCol w:w="2573"/>
        <w:gridCol w:w="5008"/>
      </w:tblGrid>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序号</w:t>
            </w:r>
          </w:p>
        </w:tc>
        <w:tc>
          <w:tcPr>
            <w:tcW w:w="2470"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名称</w:t>
            </w:r>
          </w:p>
        </w:tc>
        <w:tc>
          <w:tcPr>
            <w:tcW w:w="4808"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金额</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1</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存出保证金</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2,223,316.83</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2</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应收证券清算款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74,495,952.21</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3</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应收股利</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4</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应收利息</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4,726,376.73</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5</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应收申购款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15,204,010.50</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6</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其他应收款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7</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待摊费用</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8</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9</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合计</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96,649,656.27</w:t>
            </w:r>
          </w:p>
        </w:tc>
      </w:tr>
    </w:tbl>
    <w:p w:rsidR="002918E3" w:rsidRPr="00414345" w:rsidRDefault="002918E3" w:rsidP="00C15CAC">
      <w:pPr>
        <w:autoSpaceDE w:val="0"/>
        <w:autoSpaceDN w:val="0"/>
        <w:adjustRightInd w:val="0"/>
        <w:spacing w:before="29" w:line="288" w:lineRule="auto"/>
        <w:rPr>
          <w:color w:val="000000"/>
          <w:sz w:val="24"/>
          <w:szCs w:val="24"/>
        </w:rPr>
      </w:pPr>
    </w:p>
    <w:p w:rsidR="004061AC" w:rsidRPr="006B0D08" w:rsidRDefault="003259C8" w:rsidP="00C15CAC">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275745" w:rsidRPr="006B0D08">
        <w:rPr>
          <w:b/>
          <w:bCs/>
          <w:color w:val="000000"/>
          <w:kern w:val="0"/>
          <w:sz w:val="24"/>
          <w:szCs w:val="24"/>
        </w:rPr>
        <w:t>.</w:t>
      </w:r>
      <w:r w:rsidR="0059076B" w:rsidRPr="006B0D08">
        <w:rPr>
          <w:b/>
          <w:bCs/>
          <w:color w:val="000000"/>
          <w:kern w:val="0"/>
          <w:sz w:val="24"/>
          <w:szCs w:val="24"/>
        </w:rPr>
        <w:t>11.4</w:t>
      </w:r>
      <w:r w:rsidR="004061AC" w:rsidRPr="006B0D08">
        <w:rPr>
          <w:b/>
          <w:bCs/>
          <w:color w:val="000000"/>
          <w:kern w:val="0"/>
          <w:sz w:val="24"/>
          <w:szCs w:val="24"/>
        </w:rPr>
        <w:t>报告期末持有的处于转股期的可转换债券明细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本基金本报告期末未持有处于转股期的可转换债券。</w:t>
      </w:r>
    </w:p>
    <w:p w:rsidR="004061AC" w:rsidRPr="006B0D08" w:rsidRDefault="003259C8" w:rsidP="00C15CAC">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4061AC" w:rsidRPr="006B0D08">
        <w:rPr>
          <w:b/>
          <w:bCs/>
          <w:color w:val="000000"/>
          <w:kern w:val="0"/>
          <w:sz w:val="24"/>
          <w:szCs w:val="24"/>
        </w:rPr>
        <w:t>.</w:t>
      </w:r>
      <w:r w:rsidR="0059076B" w:rsidRPr="006B0D08">
        <w:rPr>
          <w:b/>
          <w:bCs/>
          <w:color w:val="000000"/>
          <w:kern w:val="0"/>
          <w:sz w:val="24"/>
          <w:szCs w:val="24"/>
        </w:rPr>
        <w:t>11.5</w:t>
      </w:r>
      <w:r w:rsidR="004061AC" w:rsidRPr="006B0D08">
        <w:rPr>
          <w:b/>
          <w:bCs/>
          <w:color w:val="000000"/>
          <w:kern w:val="0"/>
          <w:sz w:val="24"/>
          <w:szCs w:val="24"/>
        </w:rPr>
        <w:t>报告期末前十名股票中存在流通受限情况的说明</w:t>
      </w:r>
    </w:p>
    <w:p w:rsidR="00066A97" w:rsidRPr="00414345" w:rsidRDefault="00066A97" w:rsidP="00066A97">
      <w:pPr>
        <w:autoSpaceDE w:val="0"/>
        <w:autoSpaceDN w:val="0"/>
        <w:adjustRightInd w:val="0"/>
        <w:spacing w:before="29" w:line="288" w:lineRule="auto"/>
        <w:jc w:val="right"/>
        <w:rPr>
          <w:bCs/>
          <w:color w:val="000000"/>
          <w:kern w:val="0"/>
          <w:sz w:val="24"/>
          <w:szCs w:val="24"/>
        </w:rPr>
      </w:pPr>
      <w:r w:rsidRPr="00173B44">
        <w:rPr>
          <w:rFonts w:hint="eastAsia"/>
          <w:bCs/>
          <w:color w:val="000000"/>
          <w:kern w:val="0"/>
          <w:sz w:val="24"/>
          <w:szCs w:val="24"/>
        </w:rPr>
        <w:t>金额单位：人民币元</w:t>
      </w:r>
    </w:p>
    <w:tbl>
      <w:tblPr>
        <w:tblStyle w:val="af7"/>
        <w:tblW w:w="8868" w:type="dxa"/>
        <w:jc w:val="center"/>
        <w:tblLayout w:type="fixed"/>
        <w:tblCellMar>
          <w:top w:w="57" w:type="dxa"/>
          <w:bottom w:w="57" w:type="dxa"/>
        </w:tblCellMar>
        <w:tblLook w:val="04A0" w:firstRow="1" w:lastRow="0" w:firstColumn="1" w:lastColumn="0" w:noHBand="0" w:noVBand="1"/>
      </w:tblPr>
      <w:tblGrid>
        <w:gridCol w:w="1129"/>
        <w:gridCol w:w="1356"/>
        <w:gridCol w:w="1355"/>
        <w:gridCol w:w="1880"/>
        <w:gridCol w:w="1724"/>
        <w:gridCol w:w="1424"/>
      </w:tblGrid>
      <w:tr w:rsidR="003E62FB" w:rsidRPr="00414345" w:rsidTr="00BC216C">
        <w:trPr>
          <w:jc w:val="center"/>
        </w:trPr>
        <w:tc>
          <w:tcPr>
            <w:tcW w:w="1083"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序号</w:t>
            </w:r>
          </w:p>
        </w:tc>
        <w:tc>
          <w:tcPr>
            <w:tcW w:w="1302"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股票代码</w:t>
            </w:r>
          </w:p>
        </w:tc>
        <w:tc>
          <w:tcPr>
            <w:tcW w:w="1301"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股票名称</w:t>
            </w:r>
          </w:p>
        </w:tc>
        <w:tc>
          <w:tcPr>
            <w:tcW w:w="1805" w:type="dxa"/>
            <w:vAlign w:val="center"/>
          </w:tcPr>
          <w:p w:rsidR="003E62FB" w:rsidRPr="005F1F22" w:rsidRDefault="003E62FB" w:rsidP="00C15CAC">
            <w:pPr>
              <w:spacing w:before="29" w:line="288" w:lineRule="auto"/>
              <w:ind w:left="17"/>
              <w:jc w:val="center"/>
              <w:rPr>
                <w:color w:val="000000"/>
                <w:sz w:val="24"/>
                <w:szCs w:val="24"/>
              </w:rPr>
            </w:pPr>
            <w:r w:rsidRPr="00414345">
              <w:rPr>
                <w:color w:val="000000"/>
                <w:sz w:val="24"/>
                <w:szCs w:val="24"/>
              </w:rPr>
              <w:t>流通受限部分的公允价值</w:t>
            </w:r>
          </w:p>
        </w:tc>
        <w:tc>
          <w:tcPr>
            <w:tcW w:w="1655"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占基金资产净值比例</w:t>
            </w:r>
            <w:r w:rsidR="005F1F22">
              <w:rPr>
                <w:color w:val="000000"/>
                <w:sz w:val="24"/>
                <w:szCs w:val="24"/>
              </w:rPr>
              <w:t>(%)</w:t>
            </w:r>
          </w:p>
        </w:tc>
        <w:tc>
          <w:tcPr>
            <w:tcW w:w="1367"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流通受限情况说明</w:t>
            </w:r>
          </w:p>
        </w:tc>
      </w:tr>
      <w:tr w:rsidR="002D048A">
        <w:trPr>
          <w:jc w:val="center"/>
        </w:trPr>
        <w:tc>
          <w:tcPr>
            <w:tcW w:w="1129" w:type="dxa"/>
            <w:vAlign w:val="center"/>
          </w:tcPr>
          <w:p w:rsidR="002D048A" w:rsidRDefault="00737578">
            <w:pPr>
              <w:jc w:val="center"/>
            </w:pPr>
            <w:r>
              <w:rPr>
                <w:color w:val="000000"/>
                <w:sz w:val="24"/>
                <w:szCs w:val="24"/>
              </w:rPr>
              <w:t>1</w:t>
            </w:r>
          </w:p>
        </w:tc>
        <w:tc>
          <w:tcPr>
            <w:tcW w:w="1356" w:type="dxa"/>
            <w:vAlign w:val="center"/>
          </w:tcPr>
          <w:p w:rsidR="002D048A" w:rsidRDefault="00737578">
            <w:pPr>
              <w:jc w:val="center"/>
            </w:pPr>
            <w:r>
              <w:rPr>
                <w:color w:val="000000"/>
                <w:sz w:val="24"/>
                <w:szCs w:val="24"/>
              </w:rPr>
              <w:t>002352</w:t>
            </w:r>
          </w:p>
        </w:tc>
        <w:tc>
          <w:tcPr>
            <w:tcW w:w="1355" w:type="dxa"/>
            <w:vAlign w:val="center"/>
          </w:tcPr>
          <w:p w:rsidR="002D048A" w:rsidRDefault="00737578">
            <w:pPr>
              <w:jc w:val="center"/>
            </w:pPr>
            <w:r>
              <w:rPr>
                <w:color w:val="000000"/>
                <w:sz w:val="24"/>
                <w:szCs w:val="24"/>
              </w:rPr>
              <w:t>顺丰控股</w:t>
            </w:r>
          </w:p>
        </w:tc>
        <w:tc>
          <w:tcPr>
            <w:tcW w:w="1880" w:type="dxa"/>
            <w:vAlign w:val="center"/>
          </w:tcPr>
          <w:p w:rsidR="002D048A" w:rsidRDefault="00737578">
            <w:pPr>
              <w:jc w:val="right"/>
            </w:pPr>
            <w:r>
              <w:rPr>
                <w:color w:val="000000"/>
                <w:sz w:val="24"/>
                <w:szCs w:val="24"/>
              </w:rPr>
              <w:t>211,191,300.00</w:t>
            </w:r>
          </w:p>
        </w:tc>
        <w:tc>
          <w:tcPr>
            <w:tcW w:w="1724" w:type="dxa"/>
            <w:vAlign w:val="center"/>
          </w:tcPr>
          <w:p w:rsidR="002D048A" w:rsidRDefault="00737578">
            <w:pPr>
              <w:jc w:val="right"/>
            </w:pPr>
            <w:r>
              <w:rPr>
                <w:color w:val="000000"/>
                <w:sz w:val="24"/>
                <w:szCs w:val="24"/>
              </w:rPr>
              <w:t>2.00</w:t>
            </w:r>
          </w:p>
        </w:tc>
        <w:tc>
          <w:tcPr>
            <w:tcW w:w="1424" w:type="dxa"/>
            <w:vAlign w:val="center"/>
          </w:tcPr>
          <w:p w:rsidR="002D048A" w:rsidRDefault="00737578">
            <w:pPr>
              <w:jc w:val="right"/>
            </w:pPr>
            <w:r>
              <w:rPr>
                <w:color w:val="000000"/>
                <w:sz w:val="24"/>
                <w:szCs w:val="24"/>
              </w:rPr>
              <w:t>限售股</w:t>
            </w:r>
          </w:p>
        </w:tc>
      </w:tr>
      <w:tr w:rsidR="002D048A">
        <w:trPr>
          <w:jc w:val="center"/>
        </w:trPr>
        <w:tc>
          <w:tcPr>
            <w:tcW w:w="1129" w:type="dxa"/>
            <w:vAlign w:val="center"/>
          </w:tcPr>
          <w:p w:rsidR="002D048A" w:rsidRDefault="00737578">
            <w:pPr>
              <w:jc w:val="center"/>
            </w:pPr>
            <w:r>
              <w:rPr>
                <w:color w:val="000000"/>
                <w:sz w:val="24"/>
                <w:szCs w:val="24"/>
              </w:rPr>
              <w:t>2</w:t>
            </w:r>
          </w:p>
        </w:tc>
        <w:tc>
          <w:tcPr>
            <w:tcW w:w="1356" w:type="dxa"/>
            <w:vAlign w:val="center"/>
          </w:tcPr>
          <w:p w:rsidR="002D048A" w:rsidRDefault="00737578">
            <w:pPr>
              <w:jc w:val="center"/>
            </w:pPr>
            <w:r>
              <w:rPr>
                <w:color w:val="000000"/>
                <w:sz w:val="24"/>
                <w:szCs w:val="24"/>
              </w:rPr>
              <w:t>002493</w:t>
            </w:r>
          </w:p>
        </w:tc>
        <w:tc>
          <w:tcPr>
            <w:tcW w:w="1355" w:type="dxa"/>
            <w:vAlign w:val="center"/>
          </w:tcPr>
          <w:p w:rsidR="002D048A" w:rsidRDefault="00737578">
            <w:pPr>
              <w:jc w:val="center"/>
            </w:pPr>
            <w:r>
              <w:rPr>
                <w:color w:val="000000"/>
                <w:sz w:val="24"/>
                <w:szCs w:val="24"/>
              </w:rPr>
              <w:t>荣盛石化</w:t>
            </w:r>
          </w:p>
        </w:tc>
        <w:tc>
          <w:tcPr>
            <w:tcW w:w="1880" w:type="dxa"/>
            <w:vAlign w:val="center"/>
          </w:tcPr>
          <w:p w:rsidR="002D048A" w:rsidRDefault="00737578">
            <w:pPr>
              <w:jc w:val="right"/>
            </w:pPr>
            <w:r>
              <w:rPr>
                <w:color w:val="000000"/>
                <w:sz w:val="24"/>
                <w:szCs w:val="24"/>
              </w:rPr>
              <w:t>117,850,747.84</w:t>
            </w:r>
          </w:p>
        </w:tc>
        <w:tc>
          <w:tcPr>
            <w:tcW w:w="1724" w:type="dxa"/>
            <w:vAlign w:val="center"/>
          </w:tcPr>
          <w:p w:rsidR="002D048A" w:rsidRDefault="00737578">
            <w:pPr>
              <w:jc w:val="right"/>
            </w:pPr>
            <w:r>
              <w:rPr>
                <w:color w:val="000000"/>
                <w:sz w:val="24"/>
                <w:szCs w:val="24"/>
              </w:rPr>
              <w:t>1.12</w:t>
            </w:r>
          </w:p>
        </w:tc>
        <w:tc>
          <w:tcPr>
            <w:tcW w:w="1424" w:type="dxa"/>
            <w:vAlign w:val="center"/>
          </w:tcPr>
          <w:p w:rsidR="002D048A" w:rsidRDefault="00737578">
            <w:pPr>
              <w:jc w:val="right"/>
            </w:pPr>
            <w:r>
              <w:rPr>
                <w:color w:val="000000"/>
                <w:sz w:val="24"/>
                <w:szCs w:val="24"/>
              </w:rPr>
              <w:t>非公开发行</w:t>
            </w:r>
          </w:p>
        </w:tc>
      </w:tr>
    </w:tbl>
    <w:p w:rsidR="002918E3" w:rsidRPr="00414345" w:rsidRDefault="002918E3" w:rsidP="00C15CAC">
      <w:pPr>
        <w:autoSpaceDE w:val="0"/>
        <w:autoSpaceDN w:val="0"/>
        <w:adjustRightInd w:val="0"/>
        <w:spacing w:before="29" w:line="288" w:lineRule="auto"/>
        <w:rPr>
          <w:color w:val="000000"/>
          <w:sz w:val="24"/>
          <w:szCs w:val="24"/>
        </w:rPr>
      </w:pPr>
    </w:p>
    <w:p w:rsidR="004061AC" w:rsidRPr="006B0D08" w:rsidRDefault="003259C8" w:rsidP="00C15CAC">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4061AC" w:rsidRPr="006B0D08">
        <w:rPr>
          <w:b/>
          <w:bCs/>
          <w:color w:val="000000"/>
          <w:kern w:val="0"/>
          <w:sz w:val="24"/>
          <w:szCs w:val="24"/>
        </w:rPr>
        <w:t>.</w:t>
      </w:r>
      <w:r w:rsidR="0059076B" w:rsidRPr="006B0D08">
        <w:rPr>
          <w:b/>
          <w:bCs/>
          <w:color w:val="000000"/>
          <w:kern w:val="0"/>
          <w:sz w:val="24"/>
          <w:szCs w:val="24"/>
        </w:rPr>
        <w:t>11.6</w:t>
      </w:r>
      <w:r w:rsidR="001675CD" w:rsidRPr="006B0D08">
        <w:rPr>
          <w:b/>
          <w:bCs/>
          <w:color w:val="000000"/>
          <w:kern w:val="0"/>
          <w:sz w:val="24"/>
          <w:szCs w:val="24"/>
        </w:rPr>
        <w:t>投资组合报告附注的其他文字描述部分</w:t>
      </w:r>
    </w:p>
    <w:p w:rsidR="006B2FF6" w:rsidRPr="00414345" w:rsidRDefault="004061AC" w:rsidP="00E40D31">
      <w:pPr>
        <w:spacing w:before="29" w:line="288" w:lineRule="auto"/>
        <w:rPr>
          <w:color w:val="000000"/>
          <w:sz w:val="24"/>
          <w:szCs w:val="24"/>
        </w:rPr>
      </w:pPr>
      <w:r w:rsidRPr="00414345">
        <w:rPr>
          <w:color w:val="000000"/>
          <w:sz w:val="24"/>
          <w:szCs w:val="24"/>
        </w:rPr>
        <w:t>由于四舍五入的原因，分项之和与合计项之间可能存在尾差。</w:t>
      </w:r>
    </w:p>
    <w:p w:rsidR="006B2FF6" w:rsidRDefault="006B2FF6" w:rsidP="00C15CAC">
      <w:pPr>
        <w:spacing w:before="29" w:line="288" w:lineRule="auto"/>
        <w:ind w:firstLineChars="200" w:firstLine="480"/>
        <w:rPr>
          <w:color w:val="000000"/>
          <w:sz w:val="24"/>
          <w:szCs w:val="24"/>
        </w:rPr>
      </w:pPr>
    </w:p>
    <w:p w:rsidR="001F3E2A" w:rsidRDefault="001F3E2A" w:rsidP="00C15CAC">
      <w:pPr>
        <w:spacing w:before="29" w:line="288" w:lineRule="auto"/>
        <w:ind w:firstLineChars="200" w:firstLine="480"/>
        <w:rPr>
          <w:color w:val="000000"/>
          <w:sz w:val="24"/>
          <w:szCs w:val="24"/>
        </w:rPr>
      </w:pPr>
    </w:p>
    <w:p w:rsidR="001F3E2A" w:rsidRPr="00414345" w:rsidRDefault="001F3E2A" w:rsidP="00C15CAC">
      <w:pPr>
        <w:spacing w:before="29" w:line="288" w:lineRule="auto"/>
        <w:ind w:firstLineChars="200" w:firstLine="480"/>
        <w:rPr>
          <w:color w:val="000000"/>
          <w:sz w:val="24"/>
          <w:szCs w:val="24"/>
        </w:rPr>
      </w:pPr>
    </w:p>
    <w:p w:rsidR="004061AC" w:rsidRPr="005A3D62" w:rsidRDefault="004061AC" w:rsidP="0011537B">
      <w:pPr>
        <w:pStyle w:val="1"/>
        <w:spacing w:beforeLines="100" w:before="312" w:afterLines="100" w:after="312" w:line="360" w:lineRule="auto"/>
        <w:jc w:val="center"/>
        <w:rPr>
          <w:rFonts w:eastAsiaTheme="minorEastAsia"/>
          <w:color w:val="000000" w:themeColor="text1"/>
          <w:kern w:val="0"/>
          <w:sz w:val="24"/>
          <w:szCs w:val="24"/>
        </w:rPr>
      </w:pPr>
      <w:r w:rsidRPr="005A3D62">
        <w:rPr>
          <w:rFonts w:eastAsiaTheme="minorEastAsia"/>
          <w:color w:val="000000" w:themeColor="text1"/>
          <w:kern w:val="0"/>
          <w:sz w:val="24"/>
          <w:szCs w:val="24"/>
        </w:rPr>
        <w:t>§</w:t>
      </w:r>
      <w:r w:rsidR="0072794E" w:rsidRPr="005A3D62">
        <w:rPr>
          <w:rFonts w:eastAsiaTheme="minorEastAsia"/>
          <w:color w:val="000000" w:themeColor="text1"/>
          <w:kern w:val="0"/>
          <w:sz w:val="24"/>
          <w:szCs w:val="24"/>
        </w:rPr>
        <w:t>6</w:t>
      </w:r>
      <w:r w:rsidRPr="005A3D62">
        <w:rPr>
          <w:rFonts w:eastAsiaTheme="minorEastAsia"/>
          <w:color w:val="000000" w:themeColor="text1"/>
          <w:kern w:val="0"/>
          <w:sz w:val="24"/>
          <w:szCs w:val="24"/>
        </w:rPr>
        <w:t xml:space="preserve">  </w:t>
      </w:r>
      <w:r w:rsidRPr="005A3D62">
        <w:rPr>
          <w:rFonts w:eastAsiaTheme="minorEastAsia"/>
          <w:color w:val="000000" w:themeColor="text1"/>
          <w:kern w:val="0"/>
          <w:sz w:val="24"/>
          <w:szCs w:val="24"/>
        </w:rPr>
        <w:t>开放式基金份额变动</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单位：份</w:t>
      </w:r>
    </w:p>
    <w:tbl>
      <w:tblPr>
        <w:tblW w:w="8868" w:type="dxa"/>
        <w:jc w:val="center"/>
        <w:tblLayout w:type="fixed"/>
        <w:tblCellMar>
          <w:top w:w="-1" w:type="dxa"/>
          <w:bottom w:w="-1" w:type="dxa"/>
        </w:tblCellMar>
        <w:tblLook w:val="0000" w:firstRow="0" w:lastRow="0" w:firstColumn="0" w:lastColumn="0" w:noHBand="0" w:noVBand="0"/>
      </w:tblPr>
      <w:tblGrid>
        <w:gridCol w:w="4734"/>
        <w:gridCol w:w="4134"/>
      </w:tblGrid>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7,503,250,683.07</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2,416,281,508.76</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减：</w:t>
            </w:r>
            <w:r w:rsidR="00FE179F" w:rsidRPr="00414345">
              <w:rPr>
                <w:color w:val="000000"/>
                <w:kern w:val="0"/>
                <w:sz w:val="24"/>
                <w:szCs w:val="24"/>
              </w:rPr>
              <w:t>本报告期</w:t>
            </w:r>
            <w:r w:rsidR="00F31B0C">
              <w:rPr>
                <w:rFonts w:hint="eastAsia"/>
                <w:color w:val="000000"/>
                <w:kern w:val="0"/>
                <w:sz w:val="24"/>
                <w:szCs w:val="24"/>
              </w:rPr>
              <w:t>期间</w:t>
            </w:r>
            <w:r w:rsidRPr="00414345">
              <w:rPr>
                <w:color w:val="000000"/>
                <w:kern w:val="0"/>
                <w:sz w:val="24"/>
                <w:szCs w:val="24"/>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1,286,700,579.78</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35076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基金拆分变动份额</w:t>
            </w:r>
            <w:r w:rsidR="00F31B0C" w:rsidRPr="006664D2">
              <w:rPr>
                <w:rFonts w:hint="eastAsia"/>
                <w:color w:val="000000"/>
                <w:kern w:val="0"/>
                <w:sz w:val="24"/>
              </w:rPr>
              <w:t>（份额减少以</w:t>
            </w:r>
            <w:r w:rsidR="00F31B0C" w:rsidRPr="004D5D71">
              <w:rPr>
                <w:color w:val="000000"/>
              </w:rPr>
              <w:t>“-”</w:t>
            </w:r>
            <w:r w:rsidR="00F31B0C" w:rsidRPr="006664D2">
              <w:rPr>
                <w:rFonts w:hint="eastAsia"/>
                <w:color w:val="000000"/>
                <w:kern w:val="0"/>
                <w:sz w:val="24"/>
              </w:rPr>
              <w:t>填列）</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w:t>
            </w:r>
          </w:p>
        </w:tc>
      </w:tr>
      <w:tr w:rsidR="006D7FF8"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8,632,831,612.05</w:t>
            </w:r>
          </w:p>
        </w:tc>
      </w:tr>
    </w:tbl>
    <w:p w:rsidR="002D048A" w:rsidRDefault="00737578">
      <w:pPr>
        <w:autoSpaceDE w:val="0"/>
        <w:autoSpaceDN w:val="0"/>
        <w:adjustRightInd w:val="0"/>
        <w:spacing w:before="29" w:line="288" w:lineRule="auto"/>
        <w:jc w:val="left"/>
        <w:rPr>
          <w:color w:val="000000"/>
          <w:sz w:val="24"/>
          <w:szCs w:val="24"/>
        </w:rPr>
      </w:pPr>
      <w:r>
        <w:rPr>
          <w:color w:val="000000"/>
          <w:sz w:val="24"/>
          <w:szCs w:val="24"/>
        </w:rPr>
        <w:t>注：</w:t>
      </w:r>
      <w:r>
        <w:rPr>
          <w:color w:val="000000"/>
          <w:sz w:val="24"/>
          <w:szCs w:val="24"/>
        </w:rPr>
        <w:t>1</w:t>
      </w:r>
      <w:r>
        <w:rPr>
          <w:color w:val="000000"/>
          <w:sz w:val="24"/>
          <w:szCs w:val="24"/>
        </w:rPr>
        <w:t>、如果本报告期间发生转换入、红利再投业务，则总申购份额中包含该业务；</w:t>
      </w:r>
      <w:r>
        <w:rPr>
          <w:color w:val="000000"/>
          <w:sz w:val="24"/>
          <w:szCs w:val="24"/>
        </w:rPr>
        <w:t xml:space="preserve"> </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 xml:space="preserve">    2</w:t>
      </w:r>
      <w:r w:rsidRPr="00414345">
        <w:rPr>
          <w:color w:val="000000"/>
          <w:sz w:val="24"/>
          <w:szCs w:val="24"/>
        </w:rPr>
        <w:t>、如果本报告期间发生转换出业务，则总赎回份额中包含该业务。</w:t>
      </w:r>
      <w:r w:rsidRPr="00414345">
        <w:rPr>
          <w:color w:val="000000"/>
          <w:sz w:val="24"/>
          <w:szCs w:val="24"/>
        </w:rPr>
        <w:t xml:space="preserve"> </w:t>
      </w:r>
    </w:p>
    <w:p w:rsidR="00320E90" w:rsidRDefault="00320E90" w:rsidP="00C15CAC">
      <w:pPr>
        <w:autoSpaceDE w:val="0"/>
        <w:autoSpaceDN w:val="0"/>
        <w:adjustRightInd w:val="0"/>
        <w:spacing w:before="29" w:line="288" w:lineRule="auto"/>
        <w:jc w:val="left"/>
        <w:rPr>
          <w:color w:val="000000"/>
          <w:sz w:val="24"/>
          <w:szCs w:val="24"/>
        </w:rPr>
      </w:pPr>
    </w:p>
    <w:p w:rsidR="00ED2620" w:rsidRPr="00ED2620" w:rsidRDefault="000A2FC0" w:rsidP="0011537B">
      <w:pPr>
        <w:pStyle w:val="1"/>
        <w:tabs>
          <w:tab w:val="center" w:pos="4156"/>
          <w:tab w:val="right" w:pos="8312"/>
        </w:tabs>
        <w:spacing w:beforeLines="100" w:before="312" w:afterLines="100" w:after="312" w:line="288" w:lineRule="auto"/>
        <w:jc w:val="center"/>
        <w:rPr>
          <w:sz w:val="24"/>
          <w:szCs w:val="24"/>
        </w:rPr>
      </w:pPr>
      <w:r w:rsidRPr="00414345">
        <w:rPr>
          <w:color w:val="000000"/>
          <w:kern w:val="0"/>
          <w:sz w:val="24"/>
          <w:szCs w:val="24"/>
        </w:rPr>
        <w:t>§</w:t>
      </w:r>
      <w:r w:rsidR="00ED2620" w:rsidRPr="00ED2620">
        <w:rPr>
          <w:rFonts w:eastAsiaTheme="minorEastAsia"/>
          <w:color w:val="000000"/>
          <w:kern w:val="0"/>
          <w:sz w:val="24"/>
          <w:szCs w:val="24"/>
        </w:rPr>
        <w:t xml:space="preserve">7  </w:t>
      </w:r>
      <w:r w:rsidR="00ED2620" w:rsidRPr="00ED2620">
        <w:rPr>
          <w:sz w:val="24"/>
          <w:szCs w:val="24"/>
        </w:rPr>
        <w:t>基金管理人运用固有资金投资本基金情况</w:t>
      </w:r>
    </w:p>
    <w:p w:rsidR="00ED2620" w:rsidRPr="00ED2620" w:rsidRDefault="00ED2620" w:rsidP="00C15CAC">
      <w:pPr>
        <w:spacing w:line="288" w:lineRule="auto"/>
        <w:jc w:val="left"/>
        <w:rPr>
          <w:sz w:val="24"/>
          <w:szCs w:val="24"/>
        </w:rPr>
      </w:pPr>
      <w:r w:rsidRPr="00ED2620">
        <w:rPr>
          <w:b/>
          <w:sz w:val="24"/>
        </w:rPr>
        <w:t xml:space="preserve">7.1 </w:t>
      </w:r>
      <w:r w:rsidRPr="00ED2620">
        <w:rPr>
          <w:b/>
          <w:sz w:val="24"/>
        </w:rPr>
        <w:t>基金管理人持有本基金份额变动情况</w:t>
      </w:r>
    </w:p>
    <w:p w:rsidR="00410630" w:rsidRDefault="00ED2620" w:rsidP="00C15CAC">
      <w:pPr>
        <w:autoSpaceDE w:val="0"/>
        <w:autoSpaceDN w:val="0"/>
        <w:adjustRightInd w:val="0"/>
        <w:spacing w:before="29" w:line="288" w:lineRule="auto"/>
        <w:jc w:val="left"/>
        <w:rPr>
          <w:rFonts w:eastAsiaTheme="minorEastAsia"/>
          <w:color w:val="000000"/>
          <w:sz w:val="24"/>
        </w:rPr>
      </w:pPr>
      <w:r w:rsidRPr="00ED2620">
        <w:rPr>
          <w:rFonts w:eastAsiaTheme="minorEastAsia"/>
          <w:color w:val="000000"/>
          <w:sz w:val="24"/>
        </w:rPr>
        <w:t>本报告期内未发生基金管理人运用固有资金投资本基金的情况。</w:t>
      </w:r>
    </w:p>
    <w:p w:rsidR="00410630" w:rsidRDefault="00410630" w:rsidP="00C15CAC">
      <w:pPr>
        <w:autoSpaceDE w:val="0"/>
        <w:autoSpaceDN w:val="0"/>
        <w:adjustRightInd w:val="0"/>
        <w:spacing w:before="29" w:line="288" w:lineRule="auto"/>
        <w:jc w:val="left"/>
        <w:rPr>
          <w:rFonts w:eastAsiaTheme="minorEastAsia"/>
          <w:color w:val="000000"/>
          <w:sz w:val="24"/>
        </w:rPr>
      </w:pPr>
    </w:p>
    <w:p w:rsidR="00410630" w:rsidRPr="00BB5E0E" w:rsidRDefault="00410630" w:rsidP="00BB5E0E">
      <w:pPr>
        <w:spacing w:line="288" w:lineRule="auto"/>
        <w:jc w:val="left"/>
        <w:rPr>
          <w:b/>
          <w:sz w:val="24"/>
        </w:rPr>
      </w:pPr>
      <w:r w:rsidRPr="00410630">
        <w:rPr>
          <w:b/>
          <w:sz w:val="24"/>
        </w:rPr>
        <w:t>7.2</w:t>
      </w:r>
      <w:r w:rsidRPr="00410630">
        <w:rPr>
          <w:rFonts w:hint="eastAsia"/>
          <w:b/>
          <w:sz w:val="24"/>
        </w:rPr>
        <w:t>基金管理人运用固有资金投资本基金交易明细</w:t>
      </w:r>
    </w:p>
    <w:p w:rsidR="00320300" w:rsidRPr="00414345" w:rsidRDefault="00320300" w:rsidP="00C15CAC">
      <w:pPr>
        <w:autoSpaceDE w:val="0"/>
        <w:autoSpaceDN w:val="0"/>
        <w:adjustRightInd w:val="0"/>
        <w:spacing w:before="29" w:line="288" w:lineRule="auto"/>
        <w:jc w:val="left"/>
        <w:rPr>
          <w:color w:val="000000"/>
          <w:sz w:val="24"/>
        </w:rPr>
      </w:pPr>
      <w:r w:rsidRPr="00414345">
        <w:rPr>
          <w:color w:val="000000"/>
          <w:sz w:val="24"/>
        </w:rPr>
        <w:t>本基金管理人本报告期内未进行本基金的申购、赎回、红利再投等。</w:t>
      </w:r>
    </w:p>
    <w:p w:rsidR="00480B35" w:rsidRPr="00414345" w:rsidRDefault="00480B35" w:rsidP="00C15CAC">
      <w:pPr>
        <w:autoSpaceDE w:val="0"/>
        <w:autoSpaceDN w:val="0"/>
        <w:adjustRightInd w:val="0"/>
        <w:spacing w:before="29" w:line="288" w:lineRule="auto"/>
        <w:jc w:val="left"/>
        <w:rPr>
          <w:color w:val="000000"/>
          <w:sz w:val="24"/>
        </w:rPr>
      </w:pPr>
    </w:p>
    <w:p w:rsidR="003C50AD" w:rsidRPr="00220C32" w:rsidRDefault="003C50AD" w:rsidP="0011537B">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hint="eastAsia"/>
          <w:color w:val="000000" w:themeColor="text1"/>
          <w:kern w:val="0"/>
          <w:sz w:val="24"/>
          <w:szCs w:val="24"/>
        </w:rPr>
        <w:t>§8</w:t>
      </w:r>
      <w:r w:rsidRPr="00220C32">
        <w:rPr>
          <w:rFonts w:asciiTheme="minorEastAsia" w:eastAsiaTheme="minorEastAsia" w:hAnsiTheme="minorEastAsia"/>
          <w:color w:val="000000" w:themeColor="text1"/>
          <w:kern w:val="0"/>
          <w:sz w:val="24"/>
          <w:szCs w:val="24"/>
        </w:rPr>
        <w:t xml:space="preserve">  </w:t>
      </w:r>
      <w:r w:rsidRPr="00220C32">
        <w:rPr>
          <w:rFonts w:asciiTheme="minorEastAsia" w:eastAsiaTheme="minorEastAsia" w:hAnsiTheme="minorEastAsia" w:hint="eastAsia"/>
          <w:color w:val="000000" w:themeColor="text1"/>
          <w:kern w:val="0"/>
          <w:sz w:val="24"/>
          <w:szCs w:val="24"/>
        </w:rPr>
        <w:t>影响投资者决策的其他重要信息</w:t>
      </w:r>
    </w:p>
    <w:p w:rsidR="003C50AD" w:rsidRPr="009A5C99" w:rsidRDefault="003C50AD" w:rsidP="003C50AD">
      <w:pPr>
        <w:autoSpaceDE w:val="0"/>
        <w:autoSpaceDN w:val="0"/>
        <w:adjustRightInd w:val="0"/>
        <w:spacing w:line="360" w:lineRule="auto"/>
        <w:jc w:val="left"/>
        <w:rPr>
          <w:rFonts w:ascii="宋体" w:hAnsi="宋体"/>
          <w:b/>
          <w:bCs/>
          <w:color w:val="000000"/>
          <w:kern w:val="0"/>
          <w:sz w:val="24"/>
          <w:szCs w:val="24"/>
        </w:rPr>
      </w:pPr>
      <w:r w:rsidRPr="009A5C99">
        <w:rPr>
          <w:rFonts w:ascii="宋体" w:hAnsi="宋体" w:hint="eastAsia"/>
          <w:b/>
          <w:bCs/>
          <w:color w:val="000000"/>
          <w:kern w:val="0"/>
          <w:sz w:val="24"/>
          <w:szCs w:val="24"/>
        </w:rPr>
        <w:t>8.1 影响投资者决策的其他重要信息</w:t>
      </w:r>
    </w:p>
    <w:p w:rsidR="003C50AD" w:rsidRPr="004F4D27" w:rsidRDefault="003C50AD" w:rsidP="003C50AD">
      <w:pPr>
        <w:spacing w:line="360" w:lineRule="auto"/>
        <w:ind w:firstLineChars="200" w:firstLine="420"/>
        <w:rPr>
          <w:rFonts w:ascii="宋体" w:hAnsi="宋体"/>
          <w:color w:val="000000"/>
        </w:rPr>
      </w:pPr>
      <w:r w:rsidRPr="004F4D27">
        <w:rPr>
          <w:rFonts w:ascii="宋体" w:hAnsi="宋体"/>
          <w:color w:val="000000"/>
        </w:rPr>
        <w:t>根据《中华人民共和国证券投资基金法》、《公开募集证券投资基金运作管理办法》、《存托凭证发行与交易管理办法（试行）》等法律法规及本基金基金合同、招募说明书及其更新等规定，经与基金托管人协商一致，本基金管理人对本基金参与存托凭证投资修订了基金合同等法律文件，欲知详情请查阅本基金管理人发布的最新法律文件。</w:t>
      </w:r>
    </w:p>
    <w:p w:rsidR="00ED6E80" w:rsidRPr="00414345" w:rsidRDefault="00ED6E80" w:rsidP="00C15CAC">
      <w:pPr>
        <w:spacing w:before="29" w:line="288" w:lineRule="auto"/>
        <w:ind w:firstLineChars="200" w:firstLine="480"/>
        <w:rPr>
          <w:color w:val="000000"/>
          <w:sz w:val="24"/>
          <w:szCs w:val="24"/>
        </w:rPr>
      </w:pPr>
    </w:p>
    <w:p w:rsidR="00B22DEE" w:rsidRPr="00E02660"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lastRenderedPageBreak/>
        <w:t>§</w:t>
      </w:r>
      <w:r w:rsidR="00D02347" w:rsidRPr="00414345">
        <w:rPr>
          <w:color w:val="000000"/>
          <w:kern w:val="0"/>
          <w:sz w:val="24"/>
          <w:szCs w:val="24"/>
        </w:rPr>
        <w:t>9</w:t>
      </w:r>
      <w:r w:rsidR="00834E74">
        <w:rPr>
          <w:color w:val="000000"/>
          <w:kern w:val="0"/>
          <w:sz w:val="24"/>
          <w:szCs w:val="24"/>
        </w:rPr>
        <w:t xml:space="preserve">  </w:t>
      </w:r>
      <w:r w:rsidRPr="00414345">
        <w:rPr>
          <w:color w:val="000000"/>
          <w:kern w:val="0"/>
          <w:sz w:val="24"/>
          <w:szCs w:val="24"/>
        </w:rPr>
        <w:t>备查文件目录</w:t>
      </w: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1</w:t>
      </w:r>
      <w:r w:rsidR="004061AC" w:rsidRPr="00414345">
        <w:rPr>
          <w:b/>
          <w:bCs/>
          <w:color w:val="000000"/>
          <w:kern w:val="0"/>
          <w:sz w:val="24"/>
          <w:szCs w:val="24"/>
        </w:rPr>
        <w:t>备查文件目录</w:t>
      </w:r>
    </w:p>
    <w:p w:rsidR="002D048A" w:rsidRDefault="00737578">
      <w:pPr>
        <w:spacing w:before="29" w:line="288" w:lineRule="auto"/>
        <w:ind w:firstLineChars="200" w:firstLine="480"/>
        <w:rPr>
          <w:color w:val="000000"/>
          <w:sz w:val="24"/>
          <w:szCs w:val="24"/>
        </w:rPr>
      </w:pPr>
      <w:r>
        <w:rPr>
          <w:color w:val="000000"/>
          <w:sz w:val="24"/>
          <w:szCs w:val="24"/>
        </w:rPr>
        <w:t>1</w:t>
      </w:r>
      <w:r>
        <w:rPr>
          <w:color w:val="000000"/>
          <w:sz w:val="24"/>
          <w:szCs w:val="24"/>
        </w:rPr>
        <w:t>、中国证监会批准交银施罗德精选股票证券投资基金募集的文件；</w:t>
      </w:r>
      <w:r>
        <w:rPr>
          <w:color w:val="000000"/>
          <w:sz w:val="24"/>
          <w:szCs w:val="24"/>
        </w:rPr>
        <w:t xml:space="preserve"> </w:t>
      </w:r>
    </w:p>
    <w:p w:rsidR="002D048A" w:rsidRDefault="00737578">
      <w:pPr>
        <w:spacing w:before="29" w:line="288" w:lineRule="auto"/>
        <w:ind w:firstLineChars="200" w:firstLine="480"/>
        <w:rPr>
          <w:color w:val="000000"/>
          <w:sz w:val="24"/>
          <w:szCs w:val="24"/>
        </w:rPr>
      </w:pPr>
      <w:r>
        <w:rPr>
          <w:color w:val="000000"/>
          <w:sz w:val="24"/>
          <w:szCs w:val="24"/>
        </w:rPr>
        <w:t>2</w:t>
      </w:r>
      <w:r>
        <w:rPr>
          <w:color w:val="000000"/>
          <w:sz w:val="24"/>
          <w:szCs w:val="24"/>
        </w:rPr>
        <w:t>、《交银施罗德精选混合型证券投资基金基金合同》；</w:t>
      </w:r>
      <w:r>
        <w:rPr>
          <w:color w:val="000000"/>
          <w:sz w:val="24"/>
          <w:szCs w:val="24"/>
        </w:rPr>
        <w:t xml:space="preserve"> </w:t>
      </w:r>
    </w:p>
    <w:p w:rsidR="002D048A" w:rsidRDefault="00737578">
      <w:pPr>
        <w:spacing w:before="29" w:line="288" w:lineRule="auto"/>
        <w:ind w:firstLineChars="200" w:firstLine="480"/>
        <w:rPr>
          <w:color w:val="000000"/>
          <w:sz w:val="24"/>
          <w:szCs w:val="24"/>
        </w:rPr>
      </w:pPr>
      <w:r>
        <w:rPr>
          <w:color w:val="000000"/>
          <w:sz w:val="24"/>
          <w:szCs w:val="24"/>
        </w:rPr>
        <w:t>3</w:t>
      </w:r>
      <w:r>
        <w:rPr>
          <w:color w:val="000000"/>
          <w:sz w:val="24"/>
          <w:szCs w:val="24"/>
        </w:rPr>
        <w:t>、《交银施罗德精选混合型证券投资基金招募说明书》；</w:t>
      </w:r>
      <w:r>
        <w:rPr>
          <w:color w:val="000000"/>
          <w:sz w:val="24"/>
          <w:szCs w:val="24"/>
        </w:rPr>
        <w:t xml:space="preserve"> </w:t>
      </w:r>
    </w:p>
    <w:p w:rsidR="002D048A" w:rsidRDefault="00737578">
      <w:pPr>
        <w:spacing w:before="29" w:line="288" w:lineRule="auto"/>
        <w:ind w:firstLineChars="200" w:firstLine="480"/>
        <w:rPr>
          <w:color w:val="000000"/>
          <w:sz w:val="24"/>
          <w:szCs w:val="24"/>
        </w:rPr>
      </w:pPr>
      <w:r>
        <w:rPr>
          <w:color w:val="000000"/>
          <w:sz w:val="24"/>
          <w:szCs w:val="24"/>
        </w:rPr>
        <w:t>4</w:t>
      </w:r>
      <w:r>
        <w:rPr>
          <w:color w:val="000000"/>
          <w:sz w:val="24"/>
          <w:szCs w:val="24"/>
        </w:rPr>
        <w:t>、《交银施罗德精选混合型证券投资基金托管协议》；</w:t>
      </w:r>
      <w:r>
        <w:rPr>
          <w:color w:val="000000"/>
          <w:sz w:val="24"/>
          <w:szCs w:val="24"/>
        </w:rPr>
        <w:t xml:space="preserve"> </w:t>
      </w:r>
    </w:p>
    <w:p w:rsidR="002D048A" w:rsidRDefault="00737578">
      <w:pPr>
        <w:spacing w:before="29" w:line="288" w:lineRule="auto"/>
        <w:ind w:firstLineChars="200" w:firstLine="480"/>
        <w:rPr>
          <w:color w:val="000000"/>
          <w:sz w:val="24"/>
          <w:szCs w:val="24"/>
        </w:rPr>
      </w:pPr>
      <w:r>
        <w:rPr>
          <w:color w:val="000000"/>
          <w:sz w:val="24"/>
          <w:szCs w:val="24"/>
        </w:rPr>
        <w:t>5</w:t>
      </w:r>
      <w:r>
        <w:rPr>
          <w:color w:val="000000"/>
          <w:sz w:val="24"/>
          <w:szCs w:val="24"/>
        </w:rPr>
        <w:t>、关于募集交银施罗德精选股票证券投资基金之法律意见书；</w:t>
      </w:r>
      <w:r>
        <w:rPr>
          <w:color w:val="000000"/>
          <w:sz w:val="24"/>
          <w:szCs w:val="24"/>
        </w:rPr>
        <w:t xml:space="preserve"> </w:t>
      </w:r>
    </w:p>
    <w:p w:rsidR="002D048A" w:rsidRDefault="00737578">
      <w:pPr>
        <w:spacing w:before="29" w:line="288" w:lineRule="auto"/>
        <w:ind w:firstLineChars="200" w:firstLine="480"/>
        <w:rPr>
          <w:color w:val="000000"/>
          <w:sz w:val="24"/>
          <w:szCs w:val="24"/>
        </w:rPr>
      </w:pPr>
      <w:r>
        <w:rPr>
          <w:color w:val="000000"/>
          <w:sz w:val="24"/>
          <w:szCs w:val="24"/>
        </w:rPr>
        <w:t>6</w:t>
      </w:r>
      <w:r>
        <w:rPr>
          <w:color w:val="000000"/>
          <w:sz w:val="24"/>
          <w:szCs w:val="24"/>
        </w:rPr>
        <w:t>、基金管理人业务资格批件、营业执照；</w:t>
      </w:r>
      <w:r>
        <w:rPr>
          <w:color w:val="000000"/>
          <w:sz w:val="24"/>
          <w:szCs w:val="24"/>
        </w:rPr>
        <w:t xml:space="preserve"> </w:t>
      </w:r>
    </w:p>
    <w:p w:rsidR="002D048A" w:rsidRDefault="00737578">
      <w:pPr>
        <w:spacing w:before="29" w:line="288" w:lineRule="auto"/>
        <w:ind w:firstLineChars="200" w:firstLine="480"/>
        <w:rPr>
          <w:color w:val="000000"/>
          <w:sz w:val="24"/>
          <w:szCs w:val="24"/>
        </w:rPr>
      </w:pPr>
      <w:r>
        <w:rPr>
          <w:color w:val="000000"/>
          <w:sz w:val="24"/>
          <w:szCs w:val="24"/>
        </w:rPr>
        <w:t>7</w:t>
      </w:r>
      <w:r>
        <w:rPr>
          <w:color w:val="000000"/>
          <w:sz w:val="24"/>
          <w:szCs w:val="24"/>
        </w:rPr>
        <w:t>、基金托管人业务资格批件、营业执照；</w:t>
      </w:r>
      <w:r>
        <w:rPr>
          <w:color w:val="000000"/>
          <w:sz w:val="24"/>
          <w:szCs w:val="24"/>
        </w:rPr>
        <w:t xml:space="preserve"> </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8</w:t>
      </w:r>
      <w:r w:rsidRPr="00414345">
        <w:rPr>
          <w:color w:val="000000"/>
          <w:sz w:val="24"/>
          <w:szCs w:val="24"/>
        </w:rPr>
        <w:t>、报告期内交银施罗德精选混合型证券投资基金在指定报刊上各项公告的原稿。</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2</w:t>
      </w:r>
      <w:r w:rsidR="004061AC" w:rsidRPr="00414345">
        <w:rPr>
          <w:b/>
          <w:bCs/>
          <w:color w:val="000000"/>
          <w:kern w:val="0"/>
          <w:sz w:val="24"/>
          <w:szCs w:val="24"/>
        </w:rPr>
        <w:t>存放地点</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备查文件存放于基金管理人的办公场所。</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3</w:t>
      </w:r>
      <w:r w:rsidR="004061AC" w:rsidRPr="00414345">
        <w:rPr>
          <w:b/>
          <w:bCs/>
          <w:color w:val="000000"/>
          <w:kern w:val="0"/>
          <w:sz w:val="24"/>
          <w:szCs w:val="24"/>
        </w:rPr>
        <w:t>查阅方式</w:t>
      </w:r>
    </w:p>
    <w:p w:rsidR="002D048A" w:rsidRDefault="00737578">
      <w:pPr>
        <w:spacing w:before="29" w:line="288" w:lineRule="auto"/>
        <w:ind w:firstLineChars="200" w:firstLine="480"/>
        <w:rPr>
          <w:color w:val="000000"/>
          <w:sz w:val="24"/>
          <w:szCs w:val="24"/>
        </w:rPr>
      </w:pPr>
      <w:r>
        <w:rPr>
          <w:color w:val="000000"/>
          <w:sz w:val="24"/>
          <w:szCs w:val="24"/>
        </w:rPr>
        <w:t>投资者可在办公时间内至基金管理人的办公场所免费查阅备查文件，或者登录基金管理人的网站</w:t>
      </w:r>
      <w:r>
        <w:rPr>
          <w:color w:val="000000"/>
          <w:sz w:val="24"/>
          <w:szCs w:val="24"/>
        </w:rPr>
        <w:t>(www.fund001.com)</w:t>
      </w:r>
      <w:r>
        <w:rPr>
          <w:color w:val="000000"/>
          <w:sz w:val="24"/>
          <w:szCs w:val="24"/>
        </w:rPr>
        <w:t>查阅。在支付工本费后，投资者可在合理时间内取得上述文件的复制件或复印件。</w:t>
      </w:r>
      <w:r>
        <w:rPr>
          <w:color w:val="000000"/>
          <w:sz w:val="24"/>
          <w:szCs w:val="24"/>
        </w:rPr>
        <w:t xml:space="preserve"> </w:t>
      </w:r>
    </w:p>
    <w:p w:rsidR="00A90049" w:rsidRPr="00414345" w:rsidRDefault="006D7FF8" w:rsidP="00C15CAC">
      <w:pPr>
        <w:spacing w:before="29" w:line="288" w:lineRule="auto"/>
        <w:ind w:firstLineChars="200" w:firstLine="480"/>
        <w:rPr>
          <w:color w:val="000000"/>
          <w:sz w:val="24"/>
          <w:szCs w:val="24"/>
        </w:rPr>
      </w:pPr>
      <w:r w:rsidRPr="00414345">
        <w:rPr>
          <w:color w:val="000000"/>
          <w:sz w:val="24"/>
          <w:szCs w:val="24"/>
        </w:rPr>
        <w:t>投资者对本报告书如有疑问，可咨询本基金管理人交银施罗德基金管理有限公司。本公司客户服务中心电话：</w:t>
      </w:r>
      <w:r w:rsidRPr="00414345">
        <w:rPr>
          <w:color w:val="000000"/>
          <w:sz w:val="24"/>
          <w:szCs w:val="24"/>
        </w:rPr>
        <w:t>400-700-5000</w:t>
      </w:r>
      <w:r w:rsidRPr="00414345">
        <w:rPr>
          <w:color w:val="000000"/>
          <w:sz w:val="24"/>
          <w:szCs w:val="24"/>
        </w:rPr>
        <w:t>（免长途话费），</w:t>
      </w:r>
      <w:r w:rsidRPr="00414345">
        <w:rPr>
          <w:color w:val="000000"/>
          <w:sz w:val="24"/>
          <w:szCs w:val="24"/>
        </w:rPr>
        <w:t>021-61055000</w:t>
      </w:r>
      <w:r w:rsidRPr="00414345">
        <w:rPr>
          <w:color w:val="000000"/>
          <w:sz w:val="24"/>
          <w:szCs w:val="24"/>
        </w:rPr>
        <w:t>，电子邮件：</w:t>
      </w:r>
      <w:r w:rsidRPr="00414345">
        <w:rPr>
          <w:color w:val="000000"/>
          <w:sz w:val="24"/>
          <w:szCs w:val="24"/>
        </w:rPr>
        <w:t>services@jysld.com</w:t>
      </w:r>
      <w:r w:rsidRPr="00414345">
        <w:rPr>
          <w:color w:val="000000"/>
          <w:sz w:val="24"/>
          <w:szCs w:val="24"/>
        </w:rPr>
        <w:t>。</w:t>
      </w:r>
    </w:p>
    <w:p w:rsidR="002C3C7A" w:rsidRPr="00414345" w:rsidRDefault="002C3C7A" w:rsidP="00C15CAC">
      <w:pPr>
        <w:spacing w:before="29" w:line="288" w:lineRule="auto"/>
        <w:ind w:firstLineChars="200" w:firstLine="480"/>
        <w:rPr>
          <w:color w:val="000000"/>
          <w:sz w:val="24"/>
          <w:szCs w:val="24"/>
        </w:rPr>
      </w:pPr>
    </w:p>
    <w:sectPr w:rsidR="002C3C7A" w:rsidRPr="00414345" w:rsidSect="00000678">
      <w:pgSz w:w="11906" w:h="16838" w:code="9"/>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578" w:rsidRDefault="00737578" w:rsidP="00876D65">
      <w:r>
        <w:separator/>
      </w:r>
    </w:p>
  </w:endnote>
  <w:endnote w:type="continuationSeparator" w:id="0">
    <w:p w:rsidR="00737578" w:rsidRDefault="00737578" w:rsidP="0087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angSong">
    <w:altName w:val="黑体"/>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93A" w:rsidRDefault="00D9393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40C" w:rsidRPr="001D0DB0" w:rsidRDefault="004D340C" w:rsidP="004D340C">
    <w:pPr>
      <w:pStyle w:val="a6"/>
      <w:jc w:val="center"/>
    </w:pPr>
    <w:r>
      <w:rPr>
        <w:rFonts w:hint="eastAsia"/>
        <w:kern w:val="0"/>
        <w:szCs w:val="21"/>
      </w:rPr>
      <w:t>第</w:t>
    </w:r>
    <w:r w:rsidR="00381EE8">
      <w:rPr>
        <w:kern w:val="0"/>
        <w:szCs w:val="21"/>
      </w:rPr>
      <w:fldChar w:fldCharType="begin"/>
    </w:r>
    <w:r>
      <w:rPr>
        <w:kern w:val="0"/>
        <w:szCs w:val="21"/>
      </w:rPr>
      <w:instrText xml:space="preserve"> PAGE </w:instrText>
    </w:r>
    <w:r w:rsidR="00381EE8">
      <w:rPr>
        <w:kern w:val="0"/>
        <w:szCs w:val="21"/>
      </w:rPr>
      <w:fldChar w:fldCharType="separate"/>
    </w:r>
    <w:r w:rsidR="00B62678">
      <w:rPr>
        <w:noProof/>
        <w:kern w:val="0"/>
        <w:szCs w:val="21"/>
      </w:rPr>
      <w:t>6</w:t>
    </w:r>
    <w:r w:rsidR="00381EE8">
      <w:rPr>
        <w:kern w:val="0"/>
        <w:szCs w:val="21"/>
      </w:rPr>
      <w:fldChar w:fldCharType="end"/>
    </w:r>
    <w:r>
      <w:rPr>
        <w:rFonts w:hint="eastAsia"/>
        <w:kern w:val="0"/>
        <w:szCs w:val="21"/>
      </w:rPr>
      <w:t>页共</w:t>
    </w:r>
    <w:r w:rsidR="00381EE8">
      <w:rPr>
        <w:kern w:val="0"/>
        <w:szCs w:val="21"/>
      </w:rPr>
      <w:fldChar w:fldCharType="begin"/>
    </w:r>
    <w:r>
      <w:rPr>
        <w:kern w:val="0"/>
        <w:szCs w:val="21"/>
      </w:rPr>
      <w:instrText xml:space="preserve"> NUMPAGES </w:instrText>
    </w:r>
    <w:r w:rsidR="00381EE8">
      <w:rPr>
        <w:kern w:val="0"/>
        <w:szCs w:val="21"/>
      </w:rPr>
      <w:fldChar w:fldCharType="separate"/>
    </w:r>
    <w:r w:rsidR="00B62678">
      <w:rPr>
        <w:noProof/>
        <w:kern w:val="0"/>
        <w:szCs w:val="21"/>
      </w:rPr>
      <w:t>12</w:t>
    </w:r>
    <w:r w:rsidR="00381EE8">
      <w:rPr>
        <w:kern w:val="0"/>
        <w:szCs w:val="21"/>
      </w:rPr>
      <w:fldChar w:fldCharType="end"/>
    </w:r>
    <w:r>
      <w:rPr>
        <w:rFonts w:hint="eastAsia"/>
        <w:kern w:val="0"/>
        <w:szCs w:val="21"/>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93A" w:rsidRDefault="00D939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578" w:rsidRDefault="00737578" w:rsidP="00876D65">
      <w:r>
        <w:separator/>
      </w:r>
    </w:p>
  </w:footnote>
  <w:footnote w:type="continuationSeparator" w:id="0">
    <w:p w:rsidR="00737578" w:rsidRDefault="00737578" w:rsidP="00876D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93A" w:rsidRDefault="00D9393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EF0" w:rsidRPr="00DC456F" w:rsidRDefault="00DC456F" w:rsidP="00090A26">
    <w:pPr>
      <w:pStyle w:val="a9"/>
      <w:pBdr>
        <w:bottom w:val="single" w:sz="6" w:space="0" w:color="auto"/>
      </w:pBdr>
      <w:jc w:val="right"/>
      <w:rPr>
        <w:sz w:val="24"/>
        <w:szCs w:val="24"/>
      </w:rPr>
    </w:pPr>
    <w:r w:rsidRPr="003E676C">
      <w:rPr>
        <w:sz w:val="24"/>
        <w:szCs w:val="24"/>
      </w:rPr>
      <w:t>交银施罗德精选混合型证券投资基金</w:t>
    </w:r>
    <w:r w:rsidRPr="003E676C">
      <w:rPr>
        <w:sz w:val="24"/>
        <w:szCs w:val="24"/>
      </w:rPr>
      <w:t>2020</w:t>
    </w:r>
    <w:r w:rsidRPr="003E676C">
      <w:rPr>
        <w:sz w:val="24"/>
        <w:szCs w:val="24"/>
      </w:rPr>
      <w:t>年第</w:t>
    </w:r>
    <w:r w:rsidRPr="003E676C">
      <w:rPr>
        <w:sz w:val="24"/>
        <w:szCs w:val="24"/>
      </w:rPr>
      <w:t>4</w:t>
    </w:r>
    <w:r w:rsidRPr="003E676C">
      <w:rPr>
        <w:sz w:val="24"/>
        <w:szCs w:val="24"/>
      </w:rPr>
      <w:t>季度报告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93A" w:rsidRDefault="00D9393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1"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szCs w:val="24"/>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2"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00678"/>
    <w:rsid w:val="00006A28"/>
    <w:rsid w:val="00014099"/>
    <w:rsid w:val="000160C5"/>
    <w:rsid w:val="000210E7"/>
    <w:rsid w:val="000243BD"/>
    <w:rsid w:val="00024F7F"/>
    <w:rsid w:val="00031EBB"/>
    <w:rsid w:val="00033B8D"/>
    <w:rsid w:val="0004308C"/>
    <w:rsid w:val="00043852"/>
    <w:rsid w:val="000450DD"/>
    <w:rsid w:val="000463DE"/>
    <w:rsid w:val="0006147E"/>
    <w:rsid w:val="000625ED"/>
    <w:rsid w:val="00064D40"/>
    <w:rsid w:val="00066A97"/>
    <w:rsid w:val="000815C0"/>
    <w:rsid w:val="000824E7"/>
    <w:rsid w:val="0008313A"/>
    <w:rsid w:val="00085E78"/>
    <w:rsid w:val="0008689B"/>
    <w:rsid w:val="00086D4E"/>
    <w:rsid w:val="000907D2"/>
    <w:rsid w:val="00090A26"/>
    <w:rsid w:val="000A2B53"/>
    <w:rsid w:val="000A2FC0"/>
    <w:rsid w:val="000A4173"/>
    <w:rsid w:val="000B1D21"/>
    <w:rsid w:val="000B1EB7"/>
    <w:rsid w:val="000B5C78"/>
    <w:rsid w:val="000B624F"/>
    <w:rsid w:val="000B73C6"/>
    <w:rsid w:val="000C190B"/>
    <w:rsid w:val="000C1E17"/>
    <w:rsid w:val="000C5216"/>
    <w:rsid w:val="000D0E6C"/>
    <w:rsid w:val="000D11DE"/>
    <w:rsid w:val="000D3ED4"/>
    <w:rsid w:val="000E5DA5"/>
    <w:rsid w:val="000E7E5E"/>
    <w:rsid w:val="000F6CC8"/>
    <w:rsid w:val="00111261"/>
    <w:rsid w:val="0011537B"/>
    <w:rsid w:val="00133015"/>
    <w:rsid w:val="00137452"/>
    <w:rsid w:val="00137B31"/>
    <w:rsid w:val="00144F93"/>
    <w:rsid w:val="00147376"/>
    <w:rsid w:val="0015450B"/>
    <w:rsid w:val="00154BE1"/>
    <w:rsid w:val="0015710B"/>
    <w:rsid w:val="00160EDC"/>
    <w:rsid w:val="00162D61"/>
    <w:rsid w:val="001675CD"/>
    <w:rsid w:val="0017126E"/>
    <w:rsid w:val="001717D5"/>
    <w:rsid w:val="00171EF0"/>
    <w:rsid w:val="00173B44"/>
    <w:rsid w:val="001761D2"/>
    <w:rsid w:val="00176C21"/>
    <w:rsid w:val="0018138B"/>
    <w:rsid w:val="001830D7"/>
    <w:rsid w:val="00185A34"/>
    <w:rsid w:val="001934F6"/>
    <w:rsid w:val="00196E6C"/>
    <w:rsid w:val="001A280A"/>
    <w:rsid w:val="001A73E8"/>
    <w:rsid w:val="001B0A62"/>
    <w:rsid w:val="001B2F35"/>
    <w:rsid w:val="001B4DD6"/>
    <w:rsid w:val="001B5607"/>
    <w:rsid w:val="001C0993"/>
    <w:rsid w:val="001C79F2"/>
    <w:rsid w:val="001D6A4B"/>
    <w:rsid w:val="001E4630"/>
    <w:rsid w:val="001F0964"/>
    <w:rsid w:val="001F30DA"/>
    <w:rsid w:val="001F3E2A"/>
    <w:rsid w:val="001F5DC5"/>
    <w:rsid w:val="00200FAB"/>
    <w:rsid w:val="00213821"/>
    <w:rsid w:val="00213DFB"/>
    <w:rsid w:val="00217B92"/>
    <w:rsid w:val="0022309F"/>
    <w:rsid w:val="00224294"/>
    <w:rsid w:val="002279D3"/>
    <w:rsid w:val="00240248"/>
    <w:rsid w:val="0024363B"/>
    <w:rsid w:val="00246049"/>
    <w:rsid w:val="00247332"/>
    <w:rsid w:val="00253578"/>
    <w:rsid w:val="00261111"/>
    <w:rsid w:val="00264E55"/>
    <w:rsid w:val="00270744"/>
    <w:rsid w:val="002731EC"/>
    <w:rsid w:val="00275745"/>
    <w:rsid w:val="0027688F"/>
    <w:rsid w:val="00276E44"/>
    <w:rsid w:val="00285DB3"/>
    <w:rsid w:val="00285F38"/>
    <w:rsid w:val="00286BEF"/>
    <w:rsid w:val="00286FA2"/>
    <w:rsid w:val="002902E9"/>
    <w:rsid w:val="002918E3"/>
    <w:rsid w:val="00295CD0"/>
    <w:rsid w:val="002973A9"/>
    <w:rsid w:val="002B1D1A"/>
    <w:rsid w:val="002C2834"/>
    <w:rsid w:val="002C3C7A"/>
    <w:rsid w:val="002C5F95"/>
    <w:rsid w:val="002C657A"/>
    <w:rsid w:val="002D048A"/>
    <w:rsid w:val="002D48DF"/>
    <w:rsid w:val="002D6872"/>
    <w:rsid w:val="002D6FB6"/>
    <w:rsid w:val="002E3B09"/>
    <w:rsid w:val="002E52B3"/>
    <w:rsid w:val="00301559"/>
    <w:rsid w:val="00302816"/>
    <w:rsid w:val="00304A12"/>
    <w:rsid w:val="00305636"/>
    <w:rsid w:val="00311662"/>
    <w:rsid w:val="00312A9F"/>
    <w:rsid w:val="00315D5D"/>
    <w:rsid w:val="00316484"/>
    <w:rsid w:val="00316E01"/>
    <w:rsid w:val="00320300"/>
    <w:rsid w:val="00320E90"/>
    <w:rsid w:val="00324508"/>
    <w:rsid w:val="003259C8"/>
    <w:rsid w:val="003307FE"/>
    <w:rsid w:val="00333AD0"/>
    <w:rsid w:val="00336EAF"/>
    <w:rsid w:val="00345A47"/>
    <w:rsid w:val="003470E2"/>
    <w:rsid w:val="0035076C"/>
    <w:rsid w:val="00352719"/>
    <w:rsid w:val="0035383E"/>
    <w:rsid w:val="00355364"/>
    <w:rsid w:val="00364CCB"/>
    <w:rsid w:val="00365798"/>
    <w:rsid w:val="00372F16"/>
    <w:rsid w:val="00381EE8"/>
    <w:rsid w:val="0039085F"/>
    <w:rsid w:val="00394069"/>
    <w:rsid w:val="00396809"/>
    <w:rsid w:val="003A58DC"/>
    <w:rsid w:val="003A6061"/>
    <w:rsid w:val="003B3494"/>
    <w:rsid w:val="003B5E08"/>
    <w:rsid w:val="003B6FBC"/>
    <w:rsid w:val="003C32C0"/>
    <w:rsid w:val="003C50AD"/>
    <w:rsid w:val="003D2269"/>
    <w:rsid w:val="003D742E"/>
    <w:rsid w:val="003E62FB"/>
    <w:rsid w:val="003E6867"/>
    <w:rsid w:val="003F0956"/>
    <w:rsid w:val="003F09B5"/>
    <w:rsid w:val="003F1ECB"/>
    <w:rsid w:val="003F39DF"/>
    <w:rsid w:val="003F63BE"/>
    <w:rsid w:val="004003F8"/>
    <w:rsid w:val="004033ED"/>
    <w:rsid w:val="004061AC"/>
    <w:rsid w:val="00406DA6"/>
    <w:rsid w:val="00410630"/>
    <w:rsid w:val="00414345"/>
    <w:rsid w:val="004149AC"/>
    <w:rsid w:val="0042009D"/>
    <w:rsid w:val="004216D2"/>
    <w:rsid w:val="00421CD2"/>
    <w:rsid w:val="00426096"/>
    <w:rsid w:val="00426A8F"/>
    <w:rsid w:val="00427F58"/>
    <w:rsid w:val="00433805"/>
    <w:rsid w:val="00442F8D"/>
    <w:rsid w:val="00443869"/>
    <w:rsid w:val="00443ABF"/>
    <w:rsid w:val="00460575"/>
    <w:rsid w:val="00463EC0"/>
    <w:rsid w:val="00464787"/>
    <w:rsid w:val="00471408"/>
    <w:rsid w:val="00480B35"/>
    <w:rsid w:val="004858E0"/>
    <w:rsid w:val="00487A40"/>
    <w:rsid w:val="004917C3"/>
    <w:rsid w:val="00491C81"/>
    <w:rsid w:val="004934E9"/>
    <w:rsid w:val="004943C2"/>
    <w:rsid w:val="004949F3"/>
    <w:rsid w:val="004A0AA9"/>
    <w:rsid w:val="004A11A7"/>
    <w:rsid w:val="004A459C"/>
    <w:rsid w:val="004A6731"/>
    <w:rsid w:val="004A7B1D"/>
    <w:rsid w:val="004B2AF4"/>
    <w:rsid w:val="004C0914"/>
    <w:rsid w:val="004C20CA"/>
    <w:rsid w:val="004C702F"/>
    <w:rsid w:val="004D340C"/>
    <w:rsid w:val="004D495A"/>
    <w:rsid w:val="004E5975"/>
    <w:rsid w:val="004E790A"/>
    <w:rsid w:val="004F1A4E"/>
    <w:rsid w:val="004F50FD"/>
    <w:rsid w:val="00500A03"/>
    <w:rsid w:val="00512200"/>
    <w:rsid w:val="005143CD"/>
    <w:rsid w:val="005144F2"/>
    <w:rsid w:val="00516618"/>
    <w:rsid w:val="00517989"/>
    <w:rsid w:val="005242A5"/>
    <w:rsid w:val="0052479B"/>
    <w:rsid w:val="005249DD"/>
    <w:rsid w:val="00524D96"/>
    <w:rsid w:val="00530ABE"/>
    <w:rsid w:val="00531BA5"/>
    <w:rsid w:val="00531F10"/>
    <w:rsid w:val="00532E86"/>
    <w:rsid w:val="00536432"/>
    <w:rsid w:val="005401DB"/>
    <w:rsid w:val="00540818"/>
    <w:rsid w:val="00542434"/>
    <w:rsid w:val="00542470"/>
    <w:rsid w:val="00542546"/>
    <w:rsid w:val="005454FB"/>
    <w:rsid w:val="005608EF"/>
    <w:rsid w:val="005659E4"/>
    <w:rsid w:val="00570842"/>
    <w:rsid w:val="00572784"/>
    <w:rsid w:val="00572D9F"/>
    <w:rsid w:val="00573097"/>
    <w:rsid w:val="00575270"/>
    <w:rsid w:val="005761EE"/>
    <w:rsid w:val="00582D99"/>
    <w:rsid w:val="00585263"/>
    <w:rsid w:val="005866D3"/>
    <w:rsid w:val="0059076B"/>
    <w:rsid w:val="005910BF"/>
    <w:rsid w:val="005A0A33"/>
    <w:rsid w:val="005A0F1F"/>
    <w:rsid w:val="005A3D62"/>
    <w:rsid w:val="005A6675"/>
    <w:rsid w:val="005B04A5"/>
    <w:rsid w:val="005B09FA"/>
    <w:rsid w:val="005B2E9C"/>
    <w:rsid w:val="005B3CC0"/>
    <w:rsid w:val="005B4C8F"/>
    <w:rsid w:val="005B4F93"/>
    <w:rsid w:val="005B73D2"/>
    <w:rsid w:val="005D2B36"/>
    <w:rsid w:val="005E475E"/>
    <w:rsid w:val="005F118D"/>
    <w:rsid w:val="005F1F22"/>
    <w:rsid w:val="005F3996"/>
    <w:rsid w:val="005F3B86"/>
    <w:rsid w:val="005F6AF6"/>
    <w:rsid w:val="00604E50"/>
    <w:rsid w:val="006054CF"/>
    <w:rsid w:val="006066D2"/>
    <w:rsid w:val="006075E6"/>
    <w:rsid w:val="0061286A"/>
    <w:rsid w:val="00613BB8"/>
    <w:rsid w:val="00614CC4"/>
    <w:rsid w:val="0062025E"/>
    <w:rsid w:val="00625BFC"/>
    <w:rsid w:val="00626998"/>
    <w:rsid w:val="006269FB"/>
    <w:rsid w:val="00627E2D"/>
    <w:rsid w:val="00627EDE"/>
    <w:rsid w:val="00631ED8"/>
    <w:rsid w:val="006326E3"/>
    <w:rsid w:val="00632B0F"/>
    <w:rsid w:val="00636DB7"/>
    <w:rsid w:val="0063783A"/>
    <w:rsid w:val="00641048"/>
    <w:rsid w:val="006423B9"/>
    <w:rsid w:val="00642FA0"/>
    <w:rsid w:val="00653458"/>
    <w:rsid w:val="00654B0D"/>
    <w:rsid w:val="0065599B"/>
    <w:rsid w:val="00655CD8"/>
    <w:rsid w:val="00655E1C"/>
    <w:rsid w:val="006571DC"/>
    <w:rsid w:val="00660D4B"/>
    <w:rsid w:val="00664ECC"/>
    <w:rsid w:val="00670547"/>
    <w:rsid w:val="00670989"/>
    <w:rsid w:val="00672A26"/>
    <w:rsid w:val="006742DC"/>
    <w:rsid w:val="006757DC"/>
    <w:rsid w:val="00676095"/>
    <w:rsid w:val="006823C3"/>
    <w:rsid w:val="006928F1"/>
    <w:rsid w:val="00693843"/>
    <w:rsid w:val="0069426C"/>
    <w:rsid w:val="00694DFB"/>
    <w:rsid w:val="006A0893"/>
    <w:rsid w:val="006A10AB"/>
    <w:rsid w:val="006A1C62"/>
    <w:rsid w:val="006A48FD"/>
    <w:rsid w:val="006A5EA9"/>
    <w:rsid w:val="006A61EE"/>
    <w:rsid w:val="006A67F8"/>
    <w:rsid w:val="006A7AF1"/>
    <w:rsid w:val="006B0D08"/>
    <w:rsid w:val="006B11BB"/>
    <w:rsid w:val="006B2FF6"/>
    <w:rsid w:val="006B5457"/>
    <w:rsid w:val="006B5F69"/>
    <w:rsid w:val="006C12B8"/>
    <w:rsid w:val="006C2C1B"/>
    <w:rsid w:val="006C37FC"/>
    <w:rsid w:val="006C7EA3"/>
    <w:rsid w:val="006D2F96"/>
    <w:rsid w:val="006D39E9"/>
    <w:rsid w:val="006D3BE3"/>
    <w:rsid w:val="006D7004"/>
    <w:rsid w:val="006D789D"/>
    <w:rsid w:val="006D7FF8"/>
    <w:rsid w:val="006E042A"/>
    <w:rsid w:val="006E6726"/>
    <w:rsid w:val="006F5E68"/>
    <w:rsid w:val="00706D60"/>
    <w:rsid w:val="007075E3"/>
    <w:rsid w:val="00707F66"/>
    <w:rsid w:val="00710AE0"/>
    <w:rsid w:val="00713A1A"/>
    <w:rsid w:val="00713B5F"/>
    <w:rsid w:val="00720D28"/>
    <w:rsid w:val="00722509"/>
    <w:rsid w:val="00723CB2"/>
    <w:rsid w:val="0072794E"/>
    <w:rsid w:val="00727DD8"/>
    <w:rsid w:val="00727FCD"/>
    <w:rsid w:val="007311DB"/>
    <w:rsid w:val="00733DDD"/>
    <w:rsid w:val="00737578"/>
    <w:rsid w:val="00750CDF"/>
    <w:rsid w:val="00752BA5"/>
    <w:rsid w:val="00755D86"/>
    <w:rsid w:val="007570FE"/>
    <w:rsid w:val="00767C98"/>
    <w:rsid w:val="00770971"/>
    <w:rsid w:val="00772547"/>
    <w:rsid w:val="00775B61"/>
    <w:rsid w:val="007815D8"/>
    <w:rsid w:val="00794090"/>
    <w:rsid w:val="00796CA8"/>
    <w:rsid w:val="007972F5"/>
    <w:rsid w:val="00797305"/>
    <w:rsid w:val="007A0693"/>
    <w:rsid w:val="007A093F"/>
    <w:rsid w:val="007B035B"/>
    <w:rsid w:val="007B2639"/>
    <w:rsid w:val="007B4C04"/>
    <w:rsid w:val="007B5AFB"/>
    <w:rsid w:val="007B5F21"/>
    <w:rsid w:val="007C395A"/>
    <w:rsid w:val="007C5862"/>
    <w:rsid w:val="007D0922"/>
    <w:rsid w:val="007D100C"/>
    <w:rsid w:val="007E2686"/>
    <w:rsid w:val="007E57C0"/>
    <w:rsid w:val="007F29B1"/>
    <w:rsid w:val="007F6DD1"/>
    <w:rsid w:val="007F7F0B"/>
    <w:rsid w:val="008014F9"/>
    <w:rsid w:val="0080358B"/>
    <w:rsid w:val="008059BD"/>
    <w:rsid w:val="0081286B"/>
    <w:rsid w:val="00812D46"/>
    <w:rsid w:val="008148E0"/>
    <w:rsid w:val="00815769"/>
    <w:rsid w:val="00815A38"/>
    <w:rsid w:val="0082103F"/>
    <w:rsid w:val="00821235"/>
    <w:rsid w:val="00824239"/>
    <w:rsid w:val="008279FE"/>
    <w:rsid w:val="00831259"/>
    <w:rsid w:val="0083208A"/>
    <w:rsid w:val="0083218A"/>
    <w:rsid w:val="00832A00"/>
    <w:rsid w:val="00834E74"/>
    <w:rsid w:val="00837845"/>
    <w:rsid w:val="00843513"/>
    <w:rsid w:val="008442C4"/>
    <w:rsid w:val="00844DB2"/>
    <w:rsid w:val="00846739"/>
    <w:rsid w:val="00853140"/>
    <w:rsid w:val="00854537"/>
    <w:rsid w:val="00855F31"/>
    <w:rsid w:val="008606B6"/>
    <w:rsid w:val="00861E6D"/>
    <w:rsid w:val="008700EC"/>
    <w:rsid w:val="008749A7"/>
    <w:rsid w:val="00875DAC"/>
    <w:rsid w:val="00876D65"/>
    <w:rsid w:val="008837D3"/>
    <w:rsid w:val="00883B3C"/>
    <w:rsid w:val="00883D7C"/>
    <w:rsid w:val="008868F3"/>
    <w:rsid w:val="00891261"/>
    <w:rsid w:val="008A21B2"/>
    <w:rsid w:val="008A3DAA"/>
    <w:rsid w:val="008A5B20"/>
    <w:rsid w:val="008B2FDD"/>
    <w:rsid w:val="008B3C7E"/>
    <w:rsid w:val="008B4A75"/>
    <w:rsid w:val="008C15BF"/>
    <w:rsid w:val="008C75E7"/>
    <w:rsid w:val="008C7CA8"/>
    <w:rsid w:val="008C7FFA"/>
    <w:rsid w:val="008D09EC"/>
    <w:rsid w:val="008D7CBF"/>
    <w:rsid w:val="008E07EB"/>
    <w:rsid w:val="008E1D74"/>
    <w:rsid w:val="008E2DCB"/>
    <w:rsid w:val="008E326D"/>
    <w:rsid w:val="008E35F0"/>
    <w:rsid w:val="008F3B64"/>
    <w:rsid w:val="008F5F67"/>
    <w:rsid w:val="008F60F2"/>
    <w:rsid w:val="0090217D"/>
    <w:rsid w:val="00905C5E"/>
    <w:rsid w:val="009078DC"/>
    <w:rsid w:val="009200F6"/>
    <w:rsid w:val="00921735"/>
    <w:rsid w:val="00921AC7"/>
    <w:rsid w:val="00924582"/>
    <w:rsid w:val="00931291"/>
    <w:rsid w:val="0093367D"/>
    <w:rsid w:val="009431FA"/>
    <w:rsid w:val="00945AF6"/>
    <w:rsid w:val="009550BE"/>
    <w:rsid w:val="00955531"/>
    <w:rsid w:val="00955BE8"/>
    <w:rsid w:val="00957594"/>
    <w:rsid w:val="00963F40"/>
    <w:rsid w:val="009730B8"/>
    <w:rsid w:val="009734BB"/>
    <w:rsid w:val="0097424F"/>
    <w:rsid w:val="0098122D"/>
    <w:rsid w:val="00986596"/>
    <w:rsid w:val="00990685"/>
    <w:rsid w:val="009A0ABE"/>
    <w:rsid w:val="009A4E5D"/>
    <w:rsid w:val="009B2D4B"/>
    <w:rsid w:val="009C1009"/>
    <w:rsid w:val="009C5186"/>
    <w:rsid w:val="009C60F7"/>
    <w:rsid w:val="009D0952"/>
    <w:rsid w:val="009D1BD9"/>
    <w:rsid w:val="009E19A9"/>
    <w:rsid w:val="009E31DA"/>
    <w:rsid w:val="009E402C"/>
    <w:rsid w:val="009E7C6A"/>
    <w:rsid w:val="009F27F9"/>
    <w:rsid w:val="009F3659"/>
    <w:rsid w:val="009F4861"/>
    <w:rsid w:val="009F61BE"/>
    <w:rsid w:val="009F7643"/>
    <w:rsid w:val="009F7ED4"/>
    <w:rsid w:val="00A03AAC"/>
    <w:rsid w:val="00A047D1"/>
    <w:rsid w:val="00A21300"/>
    <w:rsid w:val="00A22AD0"/>
    <w:rsid w:val="00A22DA8"/>
    <w:rsid w:val="00A3030E"/>
    <w:rsid w:val="00A31574"/>
    <w:rsid w:val="00A31671"/>
    <w:rsid w:val="00A324F4"/>
    <w:rsid w:val="00A36930"/>
    <w:rsid w:val="00A45320"/>
    <w:rsid w:val="00A504C9"/>
    <w:rsid w:val="00A54C7D"/>
    <w:rsid w:val="00A5612C"/>
    <w:rsid w:val="00A5689C"/>
    <w:rsid w:val="00A57AE4"/>
    <w:rsid w:val="00A63A97"/>
    <w:rsid w:val="00A63F19"/>
    <w:rsid w:val="00A669FC"/>
    <w:rsid w:val="00A66F42"/>
    <w:rsid w:val="00A76625"/>
    <w:rsid w:val="00A81F53"/>
    <w:rsid w:val="00A83500"/>
    <w:rsid w:val="00A8721A"/>
    <w:rsid w:val="00A90049"/>
    <w:rsid w:val="00A917BF"/>
    <w:rsid w:val="00A96A94"/>
    <w:rsid w:val="00AA3969"/>
    <w:rsid w:val="00AA3A38"/>
    <w:rsid w:val="00AA4F94"/>
    <w:rsid w:val="00AA6513"/>
    <w:rsid w:val="00AB047E"/>
    <w:rsid w:val="00AB4DB6"/>
    <w:rsid w:val="00AB6E79"/>
    <w:rsid w:val="00AC063D"/>
    <w:rsid w:val="00AC592E"/>
    <w:rsid w:val="00AC6C10"/>
    <w:rsid w:val="00AC7BC6"/>
    <w:rsid w:val="00AD24AA"/>
    <w:rsid w:val="00AE7962"/>
    <w:rsid w:val="00AF0A7F"/>
    <w:rsid w:val="00AF1BA1"/>
    <w:rsid w:val="00AF3AB2"/>
    <w:rsid w:val="00AF6FFB"/>
    <w:rsid w:val="00B11A78"/>
    <w:rsid w:val="00B11BE5"/>
    <w:rsid w:val="00B11F31"/>
    <w:rsid w:val="00B12B7D"/>
    <w:rsid w:val="00B16985"/>
    <w:rsid w:val="00B22DEE"/>
    <w:rsid w:val="00B27479"/>
    <w:rsid w:val="00B32AA7"/>
    <w:rsid w:val="00B34678"/>
    <w:rsid w:val="00B34FB5"/>
    <w:rsid w:val="00B35024"/>
    <w:rsid w:val="00B371B4"/>
    <w:rsid w:val="00B40CF0"/>
    <w:rsid w:val="00B40F64"/>
    <w:rsid w:val="00B42A76"/>
    <w:rsid w:val="00B47982"/>
    <w:rsid w:val="00B56F53"/>
    <w:rsid w:val="00B61C8A"/>
    <w:rsid w:val="00B62678"/>
    <w:rsid w:val="00B62AC1"/>
    <w:rsid w:val="00B64723"/>
    <w:rsid w:val="00B7378D"/>
    <w:rsid w:val="00B7444D"/>
    <w:rsid w:val="00B816A7"/>
    <w:rsid w:val="00B82413"/>
    <w:rsid w:val="00B83A00"/>
    <w:rsid w:val="00B85352"/>
    <w:rsid w:val="00B86CD8"/>
    <w:rsid w:val="00B87214"/>
    <w:rsid w:val="00B92FF5"/>
    <w:rsid w:val="00B959E6"/>
    <w:rsid w:val="00BA604D"/>
    <w:rsid w:val="00BB5DA7"/>
    <w:rsid w:val="00BB5E0E"/>
    <w:rsid w:val="00BC14B3"/>
    <w:rsid w:val="00BC216C"/>
    <w:rsid w:val="00BC4585"/>
    <w:rsid w:val="00BC50F1"/>
    <w:rsid w:val="00BC73E5"/>
    <w:rsid w:val="00BD0031"/>
    <w:rsid w:val="00BD05E0"/>
    <w:rsid w:val="00BD70E0"/>
    <w:rsid w:val="00BD7473"/>
    <w:rsid w:val="00BD7703"/>
    <w:rsid w:val="00BE14ED"/>
    <w:rsid w:val="00BE420D"/>
    <w:rsid w:val="00BE5388"/>
    <w:rsid w:val="00BF0019"/>
    <w:rsid w:val="00C012F9"/>
    <w:rsid w:val="00C102E6"/>
    <w:rsid w:val="00C11AA1"/>
    <w:rsid w:val="00C15CAC"/>
    <w:rsid w:val="00C21520"/>
    <w:rsid w:val="00C222B2"/>
    <w:rsid w:val="00C225FB"/>
    <w:rsid w:val="00C23547"/>
    <w:rsid w:val="00C2499B"/>
    <w:rsid w:val="00C451A3"/>
    <w:rsid w:val="00C46B88"/>
    <w:rsid w:val="00C47163"/>
    <w:rsid w:val="00C5218C"/>
    <w:rsid w:val="00C52191"/>
    <w:rsid w:val="00C53472"/>
    <w:rsid w:val="00C53D1B"/>
    <w:rsid w:val="00C5642F"/>
    <w:rsid w:val="00C6002A"/>
    <w:rsid w:val="00C6209F"/>
    <w:rsid w:val="00C629B1"/>
    <w:rsid w:val="00C63554"/>
    <w:rsid w:val="00C678B0"/>
    <w:rsid w:val="00C7047C"/>
    <w:rsid w:val="00C71497"/>
    <w:rsid w:val="00C72F5B"/>
    <w:rsid w:val="00C73BCD"/>
    <w:rsid w:val="00C74E5E"/>
    <w:rsid w:val="00C77AEF"/>
    <w:rsid w:val="00C85A6E"/>
    <w:rsid w:val="00C87129"/>
    <w:rsid w:val="00C91E1B"/>
    <w:rsid w:val="00C9613D"/>
    <w:rsid w:val="00C9690F"/>
    <w:rsid w:val="00CA574C"/>
    <w:rsid w:val="00CA5FD5"/>
    <w:rsid w:val="00CA7703"/>
    <w:rsid w:val="00CB0F92"/>
    <w:rsid w:val="00CD4E6D"/>
    <w:rsid w:val="00CD4F19"/>
    <w:rsid w:val="00CD5707"/>
    <w:rsid w:val="00CD7702"/>
    <w:rsid w:val="00CE29EA"/>
    <w:rsid w:val="00CE39AB"/>
    <w:rsid w:val="00CE473F"/>
    <w:rsid w:val="00CE7169"/>
    <w:rsid w:val="00CF04CF"/>
    <w:rsid w:val="00CF2D3E"/>
    <w:rsid w:val="00CF6572"/>
    <w:rsid w:val="00D01FE6"/>
    <w:rsid w:val="00D02347"/>
    <w:rsid w:val="00D03EB3"/>
    <w:rsid w:val="00D046DB"/>
    <w:rsid w:val="00D04755"/>
    <w:rsid w:val="00D1076E"/>
    <w:rsid w:val="00D1116B"/>
    <w:rsid w:val="00D13737"/>
    <w:rsid w:val="00D1638E"/>
    <w:rsid w:val="00D2061C"/>
    <w:rsid w:val="00D21FFF"/>
    <w:rsid w:val="00D2206B"/>
    <w:rsid w:val="00D272A5"/>
    <w:rsid w:val="00D346D9"/>
    <w:rsid w:val="00D43AFB"/>
    <w:rsid w:val="00D44EE8"/>
    <w:rsid w:val="00D57B7C"/>
    <w:rsid w:val="00D65B44"/>
    <w:rsid w:val="00D75E69"/>
    <w:rsid w:val="00D8099B"/>
    <w:rsid w:val="00D866A8"/>
    <w:rsid w:val="00D91E06"/>
    <w:rsid w:val="00D9393A"/>
    <w:rsid w:val="00D94B8D"/>
    <w:rsid w:val="00D96C8D"/>
    <w:rsid w:val="00D974EF"/>
    <w:rsid w:val="00DA0C61"/>
    <w:rsid w:val="00DA14B0"/>
    <w:rsid w:val="00DA2876"/>
    <w:rsid w:val="00DA66D0"/>
    <w:rsid w:val="00DC0B51"/>
    <w:rsid w:val="00DC141F"/>
    <w:rsid w:val="00DC28F1"/>
    <w:rsid w:val="00DC456F"/>
    <w:rsid w:val="00DC6B55"/>
    <w:rsid w:val="00DD7A00"/>
    <w:rsid w:val="00DE27F7"/>
    <w:rsid w:val="00DE4B43"/>
    <w:rsid w:val="00E02660"/>
    <w:rsid w:val="00E04BE1"/>
    <w:rsid w:val="00E12DBF"/>
    <w:rsid w:val="00E20C3C"/>
    <w:rsid w:val="00E215BA"/>
    <w:rsid w:val="00E36549"/>
    <w:rsid w:val="00E40D31"/>
    <w:rsid w:val="00E41260"/>
    <w:rsid w:val="00E44E18"/>
    <w:rsid w:val="00E45584"/>
    <w:rsid w:val="00E52DBC"/>
    <w:rsid w:val="00E54301"/>
    <w:rsid w:val="00E54BF5"/>
    <w:rsid w:val="00E554A1"/>
    <w:rsid w:val="00E55ABD"/>
    <w:rsid w:val="00E60817"/>
    <w:rsid w:val="00E609C6"/>
    <w:rsid w:val="00E62DE5"/>
    <w:rsid w:val="00E705CC"/>
    <w:rsid w:val="00E84C7E"/>
    <w:rsid w:val="00E85E4B"/>
    <w:rsid w:val="00E8670B"/>
    <w:rsid w:val="00EA1826"/>
    <w:rsid w:val="00EA70F1"/>
    <w:rsid w:val="00EB2516"/>
    <w:rsid w:val="00EB2C07"/>
    <w:rsid w:val="00EB572B"/>
    <w:rsid w:val="00EC14ED"/>
    <w:rsid w:val="00EC1E04"/>
    <w:rsid w:val="00ED0328"/>
    <w:rsid w:val="00ED14D5"/>
    <w:rsid w:val="00ED2620"/>
    <w:rsid w:val="00ED4D47"/>
    <w:rsid w:val="00ED62BE"/>
    <w:rsid w:val="00ED6E80"/>
    <w:rsid w:val="00ED7B83"/>
    <w:rsid w:val="00EE3BC8"/>
    <w:rsid w:val="00EE49FE"/>
    <w:rsid w:val="00EF17AB"/>
    <w:rsid w:val="00EF6FA5"/>
    <w:rsid w:val="00F04FC3"/>
    <w:rsid w:val="00F11104"/>
    <w:rsid w:val="00F11BB5"/>
    <w:rsid w:val="00F16E3F"/>
    <w:rsid w:val="00F2070B"/>
    <w:rsid w:val="00F22499"/>
    <w:rsid w:val="00F22B0F"/>
    <w:rsid w:val="00F24B42"/>
    <w:rsid w:val="00F24F73"/>
    <w:rsid w:val="00F27299"/>
    <w:rsid w:val="00F31B0C"/>
    <w:rsid w:val="00F31F6E"/>
    <w:rsid w:val="00F323FF"/>
    <w:rsid w:val="00F3389C"/>
    <w:rsid w:val="00F375F2"/>
    <w:rsid w:val="00F45C47"/>
    <w:rsid w:val="00F51C4E"/>
    <w:rsid w:val="00F534A2"/>
    <w:rsid w:val="00F53B0E"/>
    <w:rsid w:val="00F54EAE"/>
    <w:rsid w:val="00F66A51"/>
    <w:rsid w:val="00F71057"/>
    <w:rsid w:val="00F71A4B"/>
    <w:rsid w:val="00F728CF"/>
    <w:rsid w:val="00F743D4"/>
    <w:rsid w:val="00F80AC3"/>
    <w:rsid w:val="00F81917"/>
    <w:rsid w:val="00F83B17"/>
    <w:rsid w:val="00F87EDA"/>
    <w:rsid w:val="00F970EE"/>
    <w:rsid w:val="00FA775C"/>
    <w:rsid w:val="00FB0BC9"/>
    <w:rsid w:val="00FB41D3"/>
    <w:rsid w:val="00FB4F70"/>
    <w:rsid w:val="00FB5EFC"/>
    <w:rsid w:val="00FB77BB"/>
    <w:rsid w:val="00FC15AA"/>
    <w:rsid w:val="00FC2922"/>
    <w:rsid w:val="00FC7FBA"/>
    <w:rsid w:val="00FD1375"/>
    <w:rsid w:val="00FD359E"/>
    <w:rsid w:val="00FD5F37"/>
    <w:rsid w:val="00FD6B92"/>
    <w:rsid w:val="00FE0A17"/>
    <w:rsid w:val="00FE179F"/>
    <w:rsid w:val="00FE1A3B"/>
    <w:rsid w:val="00FF213A"/>
    <w:rsid w:val="00FF3F27"/>
    <w:rsid w:val="00FF469F"/>
    <w:rsid w:val="00FF5196"/>
    <w:rsid w:val="00FF6E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5B536B-9DA6-4920-8EA4-43C10A5F3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1AC"/>
    <w:pPr>
      <w:widowControl w:val="0"/>
      <w:jc w:val="both"/>
    </w:pPr>
    <w:rPr>
      <w:rFonts w:ascii="Times New Roman" w:eastAsia="宋体" w:hAnsi="Times New Roman" w:cs="Times New Roman"/>
      <w:szCs w:val="21"/>
    </w:rPr>
  </w:style>
  <w:style w:type="paragraph" w:styleId="1">
    <w:name w:val="heading 1"/>
    <w:basedOn w:val="a"/>
    <w:next w:val="a"/>
    <w:link w:val="1Char"/>
    <w:uiPriority w:val="99"/>
    <w:qFormat/>
    <w:rsid w:val="004061AC"/>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rsid w:val="004061AC"/>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Char"/>
    <w:uiPriority w:val="99"/>
    <w:qFormat/>
    <w:rsid w:val="004061A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rsid w:val="004061AC"/>
    <w:rPr>
      <w:rFonts w:ascii="Times New Roman" w:eastAsia="宋体" w:hAnsi="Times New Roman" w:cs="Times New Roman"/>
      <w:b/>
      <w:bCs/>
      <w:kern w:val="44"/>
      <w:sz w:val="44"/>
      <w:szCs w:val="44"/>
    </w:rPr>
  </w:style>
  <w:style w:type="character" w:customStyle="1" w:styleId="2Char">
    <w:name w:val="标题 2 Char"/>
    <w:basedOn w:val="a1"/>
    <w:link w:val="2"/>
    <w:uiPriority w:val="99"/>
    <w:rsid w:val="004061AC"/>
    <w:rPr>
      <w:rFonts w:ascii="Arial" w:eastAsia="宋体" w:hAnsi="Arial" w:cs="Arial"/>
      <w:b/>
      <w:bCs/>
      <w:sz w:val="24"/>
      <w:szCs w:val="24"/>
    </w:rPr>
  </w:style>
  <w:style w:type="character" w:customStyle="1" w:styleId="3Char">
    <w:name w:val="标题 3 Char"/>
    <w:basedOn w:val="a1"/>
    <w:link w:val="3"/>
    <w:uiPriority w:val="99"/>
    <w:rsid w:val="004061AC"/>
    <w:rPr>
      <w:rFonts w:ascii="Times New Roman" w:eastAsia="宋体" w:hAnsi="Times New Roman" w:cs="Times New Roman"/>
      <w:b/>
      <w:bCs/>
      <w:sz w:val="32"/>
      <w:szCs w:val="32"/>
    </w:rPr>
  </w:style>
  <w:style w:type="paragraph" w:styleId="a0">
    <w:name w:val="Normal Indent"/>
    <w:basedOn w:val="a"/>
    <w:uiPriority w:val="99"/>
    <w:rsid w:val="004061AC"/>
    <w:pPr>
      <w:ind w:firstLineChars="200" w:firstLine="420"/>
    </w:pPr>
  </w:style>
  <w:style w:type="paragraph" w:styleId="a4">
    <w:name w:val="Body Text Indent"/>
    <w:basedOn w:val="a"/>
    <w:link w:val="Char"/>
    <w:uiPriority w:val="99"/>
    <w:rsid w:val="004061AC"/>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Char">
    <w:name w:val="正文文本缩进 Char"/>
    <w:basedOn w:val="a1"/>
    <w:link w:val="a4"/>
    <w:uiPriority w:val="99"/>
    <w:rsid w:val="004061AC"/>
    <w:rPr>
      <w:rFonts w:ascii="Arial Unicode MS" w:eastAsia="Arial Unicode MS" w:hAnsi="Arial Unicode MS" w:cs="Arial Unicode MS"/>
      <w:kern w:val="0"/>
      <w:sz w:val="24"/>
      <w:szCs w:val="24"/>
    </w:rPr>
  </w:style>
  <w:style w:type="paragraph" w:styleId="a5">
    <w:name w:val="Plain Text"/>
    <w:basedOn w:val="a"/>
    <w:link w:val="Char0"/>
    <w:uiPriority w:val="99"/>
    <w:rsid w:val="004061AC"/>
    <w:rPr>
      <w:rFonts w:ascii="宋体" w:hAnsi="Courier New" w:cs="宋体"/>
    </w:rPr>
  </w:style>
  <w:style w:type="character" w:customStyle="1" w:styleId="Char0">
    <w:name w:val="纯文本 Char"/>
    <w:basedOn w:val="a1"/>
    <w:link w:val="a5"/>
    <w:uiPriority w:val="99"/>
    <w:rsid w:val="004061AC"/>
    <w:rPr>
      <w:rFonts w:ascii="宋体" w:eastAsia="宋体" w:hAnsi="Courier New" w:cs="宋体"/>
      <w:szCs w:val="21"/>
    </w:rPr>
  </w:style>
  <w:style w:type="paragraph" w:styleId="20">
    <w:name w:val="Body Text Indent 2"/>
    <w:basedOn w:val="a"/>
    <w:link w:val="2Char0"/>
    <w:uiPriority w:val="99"/>
    <w:rsid w:val="004061AC"/>
    <w:pPr>
      <w:spacing w:line="560" w:lineRule="exact"/>
      <w:ind w:firstLineChars="200" w:firstLine="480"/>
    </w:pPr>
    <w:rPr>
      <w:rFonts w:ascii="宋体" w:hAnsi="宋体" w:cs="宋体"/>
      <w:color w:val="FF0000"/>
      <w:sz w:val="24"/>
      <w:szCs w:val="24"/>
    </w:rPr>
  </w:style>
  <w:style w:type="character" w:customStyle="1" w:styleId="2Char0">
    <w:name w:val="正文文本缩进 2 Char"/>
    <w:basedOn w:val="a1"/>
    <w:link w:val="20"/>
    <w:uiPriority w:val="99"/>
    <w:rsid w:val="004061AC"/>
    <w:rPr>
      <w:rFonts w:ascii="宋体" w:eastAsia="宋体" w:hAnsi="宋体" w:cs="宋体"/>
      <w:color w:val="FF0000"/>
      <w:sz w:val="24"/>
      <w:szCs w:val="24"/>
    </w:rPr>
  </w:style>
  <w:style w:type="paragraph" w:styleId="a6">
    <w:name w:val="footer"/>
    <w:basedOn w:val="a"/>
    <w:link w:val="Char1"/>
    <w:rsid w:val="004061AC"/>
    <w:pPr>
      <w:tabs>
        <w:tab w:val="center" w:pos="4153"/>
        <w:tab w:val="right" w:pos="8306"/>
      </w:tabs>
      <w:snapToGrid w:val="0"/>
      <w:jc w:val="left"/>
    </w:pPr>
    <w:rPr>
      <w:sz w:val="18"/>
      <w:szCs w:val="18"/>
    </w:rPr>
  </w:style>
  <w:style w:type="character" w:customStyle="1" w:styleId="Char1">
    <w:name w:val="页脚 Char"/>
    <w:basedOn w:val="a1"/>
    <w:link w:val="a6"/>
    <w:uiPriority w:val="99"/>
    <w:rsid w:val="004061AC"/>
    <w:rPr>
      <w:rFonts w:ascii="Times New Roman" w:eastAsia="宋体" w:hAnsi="Times New Roman" w:cs="Times New Roman"/>
      <w:sz w:val="18"/>
      <w:szCs w:val="18"/>
    </w:rPr>
  </w:style>
  <w:style w:type="character" w:styleId="a7">
    <w:name w:val="page number"/>
    <w:basedOn w:val="a1"/>
    <w:uiPriority w:val="99"/>
    <w:rsid w:val="004061AC"/>
  </w:style>
  <w:style w:type="character" w:styleId="a8">
    <w:name w:val="Hyperlink"/>
    <w:basedOn w:val="a1"/>
    <w:uiPriority w:val="99"/>
    <w:rsid w:val="004061AC"/>
    <w:rPr>
      <w:color w:val="0000FF"/>
      <w:u w:val="single"/>
    </w:rPr>
  </w:style>
  <w:style w:type="paragraph" w:styleId="30">
    <w:name w:val="Body Text Indent 3"/>
    <w:basedOn w:val="a"/>
    <w:link w:val="3Char0"/>
    <w:uiPriority w:val="99"/>
    <w:rsid w:val="004061AC"/>
    <w:pPr>
      <w:spacing w:line="560" w:lineRule="exact"/>
      <w:ind w:firstLineChars="200" w:firstLine="420"/>
    </w:pPr>
    <w:rPr>
      <w:rFonts w:ascii="Arial" w:hAnsi="Arial" w:cs="Arial"/>
      <w:color w:val="FF0000"/>
    </w:rPr>
  </w:style>
  <w:style w:type="character" w:customStyle="1" w:styleId="3Char0">
    <w:name w:val="正文文本缩进 3 Char"/>
    <w:basedOn w:val="a1"/>
    <w:link w:val="30"/>
    <w:uiPriority w:val="99"/>
    <w:rsid w:val="004061AC"/>
    <w:rPr>
      <w:rFonts w:ascii="Arial" w:eastAsia="宋体" w:hAnsi="Arial" w:cs="Arial"/>
      <w:color w:val="FF0000"/>
      <w:szCs w:val="21"/>
    </w:rPr>
  </w:style>
  <w:style w:type="paragraph" w:styleId="a9">
    <w:name w:val="header"/>
    <w:basedOn w:val="a"/>
    <w:link w:val="Char2"/>
    <w:uiPriority w:val="99"/>
    <w:rsid w:val="004061A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9"/>
    <w:uiPriority w:val="99"/>
    <w:rsid w:val="004061AC"/>
    <w:rPr>
      <w:rFonts w:ascii="Times New Roman" w:eastAsia="宋体" w:hAnsi="Times New Roman" w:cs="Times New Roman"/>
      <w:sz w:val="18"/>
      <w:szCs w:val="18"/>
    </w:rPr>
  </w:style>
  <w:style w:type="character" w:styleId="aa">
    <w:name w:val="FollowedHyperlink"/>
    <w:basedOn w:val="a1"/>
    <w:uiPriority w:val="99"/>
    <w:rsid w:val="004061AC"/>
    <w:rPr>
      <w:color w:val="800080"/>
      <w:u w:val="single"/>
    </w:rPr>
  </w:style>
  <w:style w:type="paragraph" w:styleId="ab">
    <w:name w:val="List"/>
    <w:basedOn w:val="ac"/>
    <w:uiPriority w:val="99"/>
    <w:rsid w:val="004061AC"/>
    <w:pPr>
      <w:spacing w:after="220" w:line="220" w:lineRule="atLeast"/>
      <w:ind w:left="1440" w:hanging="360"/>
    </w:pPr>
  </w:style>
  <w:style w:type="paragraph" w:styleId="ac">
    <w:name w:val="Body Text"/>
    <w:basedOn w:val="a"/>
    <w:link w:val="Char3"/>
    <w:uiPriority w:val="99"/>
    <w:rsid w:val="004061AC"/>
    <w:pPr>
      <w:spacing w:after="120"/>
    </w:pPr>
  </w:style>
  <w:style w:type="character" w:customStyle="1" w:styleId="Char3">
    <w:name w:val="正文文本 Char"/>
    <w:basedOn w:val="a1"/>
    <w:link w:val="ac"/>
    <w:uiPriority w:val="99"/>
    <w:rsid w:val="004061AC"/>
    <w:rPr>
      <w:rFonts w:ascii="Times New Roman" w:eastAsia="宋体" w:hAnsi="Times New Roman" w:cs="Times New Roman"/>
      <w:szCs w:val="21"/>
    </w:rPr>
  </w:style>
  <w:style w:type="paragraph" w:styleId="ad">
    <w:name w:val="Date"/>
    <w:basedOn w:val="a"/>
    <w:next w:val="a"/>
    <w:link w:val="Char4"/>
    <w:rsid w:val="004061AC"/>
    <w:rPr>
      <w:sz w:val="24"/>
      <w:szCs w:val="24"/>
    </w:rPr>
  </w:style>
  <w:style w:type="character" w:customStyle="1" w:styleId="Char4">
    <w:name w:val="日期 Char"/>
    <w:basedOn w:val="a1"/>
    <w:link w:val="ad"/>
    <w:rsid w:val="004061AC"/>
    <w:rPr>
      <w:rFonts w:ascii="Times New Roman" w:eastAsia="宋体" w:hAnsi="Times New Roman" w:cs="Times New Roman"/>
      <w:sz w:val="24"/>
      <w:szCs w:val="24"/>
    </w:rPr>
  </w:style>
  <w:style w:type="character" w:customStyle="1" w:styleId="c1">
    <w:name w:val="c1"/>
    <w:basedOn w:val="a1"/>
    <w:uiPriority w:val="99"/>
    <w:rsid w:val="004061AC"/>
    <w:rPr>
      <w:color w:val="000000"/>
      <w:sz w:val="18"/>
      <w:szCs w:val="18"/>
    </w:rPr>
  </w:style>
  <w:style w:type="paragraph" w:styleId="10">
    <w:name w:val="index 1"/>
    <w:basedOn w:val="a"/>
    <w:next w:val="a"/>
    <w:autoRedefine/>
    <w:uiPriority w:val="99"/>
    <w:semiHidden/>
    <w:rsid w:val="004061AC"/>
    <w:pPr>
      <w:jc w:val="right"/>
    </w:pPr>
    <w:rPr>
      <w:color w:val="008000"/>
    </w:rPr>
  </w:style>
  <w:style w:type="paragraph" w:customStyle="1" w:styleId="font5">
    <w:name w:val="font5"/>
    <w:basedOn w:val="a"/>
    <w:uiPriority w:val="99"/>
    <w:rsid w:val="004061AC"/>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rsid w:val="004061AC"/>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uiPriority w:val="99"/>
    <w:semiHidden/>
    <w:rsid w:val="004061AC"/>
    <w:rPr>
      <w:sz w:val="18"/>
      <w:szCs w:val="18"/>
    </w:rPr>
  </w:style>
  <w:style w:type="character" w:customStyle="1" w:styleId="Char5">
    <w:name w:val="批注框文本 Char"/>
    <w:basedOn w:val="a1"/>
    <w:link w:val="ae"/>
    <w:uiPriority w:val="99"/>
    <w:semiHidden/>
    <w:rsid w:val="004061AC"/>
    <w:rPr>
      <w:rFonts w:ascii="Times New Roman" w:eastAsia="宋体" w:hAnsi="Times New Roman" w:cs="Times New Roman"/>
      <w:sz w:val="18"/>
      <w:szCs w:val="18"/>
    </w:rPr>
  </w:style>
  <w:style w:type="character" w:styleId="af">
    <w:name w:val="annotation reference"/>
    <w:basedOn w:val="a1"/>
    <w:uiPriority w:val="99"/>
    <w:semiHidden/>
    <w:rsid w:val="004061AC"/>
    <w:rPr>
      <w:sz w:val="21"/>
      <w:szCs w:val="21"/>
    </w:rPr>
  </w:style>
  <w:style w:type="paragraph" w:styleId="af0">
    <w:name w:val="annotation text"/>
    <w:basedOn w:val="a"/>
    <w:link w:val="Char6"/>
    <w:uiPriority w:val="99"/>
    <w:semiHidden/>
    <w:rsid w:val="004061AC"/>
    <w:pPr>
      <w:jc w:val="left"/>
    </w:pPr>
  </w:style>
  <w:style w:type="character" w:customStyle="1" w:styleId="Char6">
    <w:name w:val="批注文字 Char"/>
    <w:basedOn w:val="a1"/>
    <w:link w:val="af0"/>
    <w:uiPriority w:val="99"/>
    <w:semiHidden/>
    <w:rsid w:val="004061AC"/>
    <w:rPr>
      <w:rFonts w:ascii="Times New Roman" w:eastAsia="宋体" w:hAnsi="Times New Roman" w:cs="Times New Roman"/>
      <w:szCs w:val="21"/>
    </w:rPr>
  </w:style>
  <w:style w:type="paragraph" w:styleId="af1">
    <w:name w:val="annotation subject"/>
    <w:basedOn w:val="af0"/>
    <w:next w:val="af0"/>
    <w:link w:val="Char7"/>
    <w:uiPriority w:val="99"/>
    <w:semiHidden/>
    <w:rsid w:val="004061AC"/>
    <w:rPr>
      <w:b/>
      <w:bCs/>
    </w:rPr>
  </w:style>
  <w:style w:type="character" w:customStyle="1" w:styleId="Char7">
    <w:name w:val="批注主题 Char"/>
    <w:basedOn w:val="Char6"/>
    <w:link w:val="af1"/>
    <w:uiPriority w:val="99"/>
    <w:semiHidden/>
    <w:rsid w:val="004061AC"/>
    <w:rPr>
      <w:rFonts w:ascii="Times New Roman" w:eastAsia="宋体" w:hAnsi="Times New Roman" w:cs="Times New Roman"/>
      <w:b/>
      <w:bCs/>
      <w:szCs w:val="21"/>
    </w:rPr>
  </w:style>
  <w:style w:type="paragraph" w:customStyle="1" w:styleId="Char8">
    <w:name w:val="Char"/>
    <w:basedOn w:val="a"/>
    <w:uiPriority w:val="99"/>
    <w:rsid w:val="004061AC"/>
  </w:style>
  <w:style w:type="paragraph" w:styleId="af2">
    <w:name w:val="Document Map"/>
    <w:basedOn w:val="a"/>
    <w:link w:val="Char9"/>
    <w:uiPriority w:val="99"/>
    <w:semiHidden/>
    <w:rsid w:val="004061AC"/>
    <w:pPr>
      <w:shd w:val="clear" w:color="auto" w:fill="000080"/>
    </w:pPr>
  </w:style>
  <w:style w:type="character" w:customStyle="1" w:styleId="Char9">
    <w:name w:val="文档结构图 Char"/>
    <w:basedOn w:val="a1"/>
    <w:link w:val="af2"/>
    <w:uiPriority w:val="99"/>
    <w:semiHidden/>
    <w:rsid w:val="004061AC"/>
    <w:rPr>
      <w:rFonts w:ascii="Times New Roman" w:eastAsia="宋体" w:hAnsi="Times New Roman" w:cs="Times New Roman"/>
      <w:szCs w:val="21"/>
      <w:shd w:val="clear" w:color="auto" w:fill="000080"/>
    </w:rPr>
  </w:style>
  <w:style w:type="paragraph" w:customStyle="1" w:styleId="af3">
    <w:name w:val="正文 + (符号) 宋体"/>
    <w:aliases w:val="小四,紧缩量  0.2 磅"/>
    <w:basedOn w:val="a"/>
    <w:uiPriority w:val="99"/>
    <w:rsid w:val="004061AC"/>
    <w:pPr>
      <w:autoSpaceDE w:val="0"/>
      <w:autoSpaceDN w:val="0"/>
      <w:adjustRightInd w:val="0"/>
      <w:ind w:rightChars="671" w:right="1409" w:firstLineChars="512" w:firstLine="1229"/>
      <w:jc w:val="distribute"/>
    </w:pPr>
    <w:rPr>
      <w:sz w:val="24"/>
      <w:szCs w:val="24"/>
    </w:rPr>
  </w:style>
  <w:style w:type="paragraph" w:styleId="af4">
    <w:name w:val="footnote text"/>
    <w:basedOn w:val="a"/>
    <w:link w:val="Chara"/>
    <w:rsid w:val="004061AC"/>
    <w:pPr>
      <w:snapToGrid w:val="0"/>
      <w:jc w:val="left"/>
    </w:pPr>
    <w:rPr>
      <w:sz w:val="18"/>
      <w:szCs w:val="18"/>
    </w:rPr>
  </w:style>
  <w:style w:type="character" w:customStyle="1" w:styleId="Chara">
    <w:name w:val="脚注文本 Char"/>
    <w:basedOn w:val="a1"/>
    <w:link w:val="af4"/>
    <w:rsid w:val="004061AC"/>
    <w:rPr>
      <w:rFonts w:ascii="Times New Roman" w:eastAsia="宋体" w:hAnsi="Times New Roman" w:cs="Times New Roman"/>
      <w:sz w:val="18"/>
      <w:szCs w:val="18"/>
    </w:rPr>
  </w:style>
  <w:style w:type="character" w:styleId="af5">
    <w:name w:val="footnote reference"/>
    <w:basedOn w:val="a1"/>
    <w:rsid w:val="004061AC"/>
    <w:rPr>
      <w:vertAlign w:val="superscript"/>
    </w:rPr>
  </w:style>
  <w:style w:type="paragraph" w:styleId="af6">
    <w:name w:val="Normal (Web)"/>
    <w:basedOn w:val="a"/>
    <w:uiPriority w:val="99"/>
    <w:rsid w:val="004061AC"/>
    <w:pPr>
      <w:widowControl/>
      <w:spacing w:before="100" w:beforeAutospacing="1" w:after="100" w:afterAutospacing="1"/>
      <w:jc w:val="left"/>
    </w:pPr>
    <w:rPr>
      <w:rFonts w:ascii="宋体" w:hAnsi="宋体" w:cs="宋体"/>
      <w:kern w:val="0"/>
      <w:sz w:val="24"/>
      <w:szCs w:val="24"/>
    </w:rPr>
  </w:style>
  <w:style w:type="table" w:styleId="af7">
    <w:name w:val="Table Grid"/>
    <w:basedOn w:val="a2"/>
    <w:qFormat/>
    <w:rsid w:val="004061A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4061AC"/>
  </w:style>
  <w:style w:type="paragraph" w:customStyle="1" w:styleId="CharCharCharCharCharChar1CharCharChar">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8">
    <w:name w:val="Title"/>
    <w:basedOn w:val="a"/>
    <w:next w:val="a"/>
    <w:link w:val="Charb"/>
    <w:uiPriority w:val="99"/>
    <w:qFormat/>
    <w:rsid w:val="004061AC"/>
    <w:pPr>
      <w:spacing w:before="240" w:after="60"/>
      <w:jc w:val="center"/>
      <w:outlineLvl w:val="0"/>
    </w:pPr>
    <w:rPr>
      <w:rFonts w:ascii="Cambria" w:hAnsi="Cambria" w:cs="Cambria"/>
      <w:b/>
      <w:bCs/>
      <w:sz w:val="32"/>
      <w:szCs w:val="32"/>
    </w:rPr>
  </w:style>
  <w:style w:type="character" w:customStyle="1" w:styleId="Charb">
    <w:name w:val="标题 Char"/>
    <w:basedOn w:val="a1"/>
    <w:link w:val="af8"/>
    <w:uiPriority w:val="99"/>
    <w:rsid w:val="004061AC"/>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9">
    <w:name w:val="No Spacing"/>
    <w:link w:val="Charc"/>
    <w:uiPriority w:val="1"/>
    <w:qFormat/>
    <w:rsid w:val="004061AC"/>
    <w:rPr>
      <w:rFonts w:ascii="Calibri" w:eastAsia="宋体" w:hAnsi="Calibri" w:cs="Calibri"/>
      <w:kern w:val="0"/>
      <w:sz w:val="22"/>
    </w:rPr>
  </w:style>
  <w:style w:type="character" w:customStyle="1" w:styleId="Charc">
    <w:name w:val="无间隔 Char"/>
    <w:basedOn w:val="a1"/>
    <w:link w:val="af9"/>
    <w:uiPriority w:val="1"/>
    <w:locked/>
    <w:rsid w:val="004061AC"/>
    <w:rPr>
      <w:rFonts w:ascii="Calibri" w:eastAsia="宋体" w:hAnsi="Calibri" w:cs="Calibri"/>
      <w:kern w:val="0"/>
      <w:sz w:val="22"/>
    </w:rPr>
  </w:style>
  <w:style w:type="character" w:customStyle="1" w:styleId="t1">
    <w:name w:val="t1"/>
    <w:basedOn w:val="a1"/>
    <w:uiPriority w:val="99"/>
    <w:rsid w:val="004061AC"/>
    <w:rPr>
      <w:color w:val="auto"/>
    </w:rPr>
  </w:style>
  <w:style w:type="paragraph" w:styleId="afa">
    <w:name w:val="List Paragraph"/>
    <w:basedOn w:val="a"/>
    <w:uiPriority w:val="34"/>
    <w:qFormat/>
    <w:rsid w:val="00154BE1"/>
    <w:pPr>
      <w:ind w:firstLineChars="200" w:firstLine="420"/>
    </w:pPr>
  </w:style>
  <w:style w:type="paragraph" w:customStyle="1" w:styleId="Default">
    <w:name w:val="Default"/>
    <w:rsid w:val="00275745"/>
    <w:pPr>
      <w:widowControl w:val="0"/>
      <w:autoSpaceDE w:val="0"/>
      <w:autoSpaceDN w:val="0"/>
      <w:adjustRightInd w:val="0"/>
    </w:pPr>
    <w:rPr>
      <w:rFonts w:ascii="FangSong" w:eastAsia="宋体" w:hAnsi="FangSong" w:cs="FangSong"/>
      <w:color w:val="000000"/>
      <w:kern w:val="0"/>
      <w:sz w:val="24"/>
      <w:szCs w:val="24"/>
    </w:rPr>
  </w:style>
  <w:style w:type="character" w:styleId="afb">
    <w:name w:val="Strong"/>
    <w:basedOn w:val="a1"/>
    <w:uiPriority w:val="22"/>
    <w:qFormat/>
    <w:rsid w:val="00E52D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149922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BB41A-E984-41D4-ABBF-E5BE4CDBD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1832</TotalTime>
  <Pages>12</Pages>
  <Words>1127</Words>
  <Characters>6425</Characters>
  <Application>Microsoft Office Word</Application>
  <DocSecurity>0</DocSecurity>
  <Lines>53</Lines>
  <Paragraphs>15</Paragraphs>
  <ScaleCrop>false</ScaleCrop>
  <Company/>
  <LinksUpToDate>false</LinksUpToDate>
  <CharactersWithSpaces>7537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郝婷婷</cp:lastModifiedBy>
  <cp:revision>601</cp:revision>
  <dcterms:created xsi:type="dcterms:W3CDTF">2012-10-16T06:07:00Z</dcterms:created>
  <dcterms:modified xsi:type="dcterms:W3CDTF">2021-01-18T08:50:00Z</dcterms:modified>
</cp:coreProperties>
</file>