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交银施罗德股息优化混合型证券投资基金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2017年8月25日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266,493,560.15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42,429,660.33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132,743,668.96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0.6169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738,545,282.57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2.7713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29.57%</w:t>
            </w:r>
          </w:p>
        </w:tc>
        <w:tc>
          <w:tcPr>
            <w:vAlign w:val="center"/>
          </w:tcPr>
          <w:p>
            <w:pPr>
              <w:jc w:val="center"/>
            </w:pPr>
            <w:r>
              <w:rPr>
                <w:color w:val="000000"/>
                <w:sz w:val="24"/>
                <w:szCs w:val="24"/>
              </w:rPr>
              <w:t>1.11%</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21.02%</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54.61%</w:t>
            </w:r>
          </w:p>
        </w:tc>
        <w:tc>
          <w:tcPr>
            <w:vAlign w:val="center"/>
          </w:tcPr>
          <w:p>
            <w:pPr>
              <w:jc w:val="center"/>
            </w:pPr>
            <w:r>
              <w:rPr>
                <w:color w:val="000000"/>
                <w:sz w:val="24"/>
                <w:szCs w:val="24"/>
              </w:rPr>
              <w:t>1.38%</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39.59%</w:t>
            </w:r>
          </w:p>
        </w:tc>
        <w:tc>
          <w:tcPr>
            <w:vAlign w:val="center"/>
          </w:tcPr>
          <w:p>
            <w:pPr>
              <w:jc w:val="center"/>
            </w:pPr>
            <w:r>
              <w:rPr>
                <w:color w:val="000000"/>
                <w:sz w:val="24"/>
                <w:szCs w:val="24"/>
              </w:rPr>
              <w:t>0.58%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102.73%</w:t>
            </w:r>
          </w:p>
        </w:tc>
        <w:tc>
          <w:tcPr>
            <w:vAlign w:val="center"/>
          </w:tcPr>
          <w:p>
            <w:pPr>
              <w:jc w:val="center"/>
            </w:pPr>
            <w:r>
              <w:rPr>
                <w:color w:val="000000"/>
                <w:sz w:val="24"/>
                <w:szCs w:val="24"/>
              </w:rPr>
              <w:t>1.51%</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85.10%</w:t>
            </w:r>
          </w:p>
        </w:tc>
        <w:tc>
          <w:tcPr>
            <w:vAlign w:val="center"/>
          </w:tcPr>
          <w:p>
            <w:pPr>
              <w:jc w:val="center"/>
            </w:pPr>
            <w:r>
              <w:rPr>
                <w:color w:val="000000"/>
                <w:sz w:val="24"/>
                <w:szCs w:val="24"/>
              </w:rPr>
              <w:t>0.66%</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149.71%</w:t>
            </w:r>
          </w:p>
        </w:tc>
        <w:tc>
          <w:tcPr>
            <w:vAlign w:val="center"/>
          </w:tcPr>
          <w:p>
            <w:pPr>
              <w:jc w:val="center"/>
            </w:pPr>
            <w:r>
              <w:rPr>
                <w:color w:val="000000"/>
                <w:sz w:val="24"/>
                <w:szCs w:val="24"/>
              </w:rPr>
              <w:t>1.51%</w:t>
            </w:r>
          </w:p>
        </w:tc>
        <w:tc>
          <w:tcPr>
            <w:vAlign w:val="center"/>
          </w:tcPr>
          <w:p>
            <w:pPr>
              <w:jc w:val="center"/>
            </w:pPr>
            <w:r>
              <w:rPr>
                <w:color w:val="000000"/>
                <w:sz w:val="24"/>
                <w:szCs w:val="24"/>
              </w:rPr>
              <w:t>26.08%</w:t>
            </w:r>
          </w:p>
        </w:tc>
        <w:tc>
          <w:tcPr>
            <w:vAlign w:val="center"/>
          </w:tcPr>
          <w:p>
            <w:pPr>
              <w:jc w:val="center"/>
            </w:pPr>
            <w:r>
              <w:rPr>
                <w:color w:val="000000"/>
                <w:sz w:val="24"/>
                <w:szCs w:val="24"/>
              </w:rPr>
              <w:t>0.80%</w:t>
            </w:r>
          </w:p>
        </w:tc>
        <w:tc>
          <w:tcPr>
            <w:vAlign w:val="center"/>
          </w:tcPr>
          <w:p>
            <w:pPr>
              <w:jc w:val="center"/>
            </w:pPr>
            <w:r>
              <w:rPr>
                <w:color w:val="000000"/>
                <w:sz w:val="24"/>
                <w:szCs w:val="24"/>
              </w:rPr>
              <w:t>123.63%</w:t>
            </w:r>
          </w:p>
        </w:tc>
        <w:tc>
          <w:tcPr>
            <w:vAlign w:val="center"/>
          </w:tcPr>
          <w:p>
            <w:pPr>
              <w:jc w:val="center"/>
            </w:pPr>
            <w:r>
              <w:rPr>
                <w:color w:val="000000"/>
                <w:sz w:val="24"/>
                <w:szCs w:val="24"/>
              </w:rPr>
              <w:t>0.71%</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177.13%</w:t>
            </w:r>
          </w:p>
        </w:tc>
        <w:tc>
          <w:tcPr>
            <w:vAlign w:val="center"/>
          </w:tcPr>
          <w:p>
            <w:pPr>
              <w:jc w:val="center"/>
            </w:pPr>
            <w:r>
              <w:rPr>
                <w:color w:val="000000"/>
                <w:sz w:val="24"/>
                <w:szCs w:val="24"/>
              </w:rPr>
              <w:t>1.45%</w:t>
            </w:r>
          </w:p>
        </w:tc>
        <w:tc>
          <w:tcPr>
            <w:vAlign w:val="center"/>
          </w:tcPr>
          <w:p>
            <w:pPr>
              <w:jc w:val="center"/>
            </w:pPr>
            <w:r>
              <w:rPr>
                <w:color w:val="000000"/>
                <w:sz w:val="24"/>
                <w:szCs w:val="24"/>
              </w:rPr>
              <w:t>32.00%</w:t>
            </w:r>
          </w:p>
        </w:tc>
        <w:tc>
          <w:tcPr>
            <w:vAlign w:val="center"/>
          </w:tcPr>
          <w:p>
            <w:pPr>
              <w:jc w:val="center"/>
            </w:pPr>
            <w:r>
              <w:rPr>
                <w:color w:val="000000"/>
                <w:sz w:val="24"/>
                <w:szCs w:val="24"/>
              </w:rPr>
              <w:t>0.77%</w:t>
            </w:r>
          </w:p>
        </w:tc>
        <w:tc>
          <w:tcPr>
            <w:vAlign w:val="center"/>
          </w:tcPr>
          <w:p>
            <w:pPr>
              <w:jc w:val="center"/>
            </w:pPr>
            <w:r>
              <w:rPr>
                <w:color w:val="000000"/>
                <w:sz w:val="24"/>
                <w:szCs w:val="24"/>
              </w:rPr>
              <w:t>145.13%</w:t>
            </w:r>
          </w:p>
        </w:tc>
        <w:tc>
          <w:tcPr>
            <w:vAlign w:val="center"/>
          </w:tcPr>
          <w:p>
            <w:pPr>
              <w:jc w:val="center"/>
            </w:pPr>
            <w:r>
              <w:rPr>
                <w:color w:val="000000"/>
                <w:sz w:val="24"/>
                <w:szCs w:val="24"/>
              </w:rPr>
              <w:t>0.68%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交银施罗德股息优化混合型证券投资基金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2017年8月25日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交银策略回报灵活配置混合、交银消费新驱动股票、交银股息优化混合、交银品质升级混合、交银内需增长混合的基金经理</w:t>
            </w:r>
          </w:p>
        </w:tc>
        <w:tc>
          <w:tcPr>
            <w:vAlign w:val="center"/>
          </w:tcPr>
          <w:p>
            <w:pPr>
              <w:jc w:val="center"/>
            </w:pPr>
            <w:r>
              <w:rPr>
                <w:color w:val="000000"/>
                <w:sz w:val="24"/>
                <w:szCs w:val="24"/>
              </w:rPr>
              <w:t>2017-08-25</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四季度，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pPr>
        <w:spacing w:before="29" w:line="288" w:lineRule="auto"/>
        <w:ind w:firstLine="480" w:firstLineChars="200"/>
        <w:rPr>
          <w:color w:val="000000"/>
          <w:sz w:val="24"/>
          <w:szCs w:val="24"/>
        </w:rPr>
      </w:pPr>
      <w:r>
        <w:rPr>
          <w:color w:val="000000"/>
          <w:sz w:val="24"/>
          <w:szCs w:val="24"/>
        </w:rPr>
        <w:t>本基金四季度依然维持以消费医药白马为基础底仓的思路，适度增持了一些低估值的金融地产，增加了整个组合的均衡度和平衡感，降低了整个组合的估值水平。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保持谨慎乐观，整体预期收益率较前两年可能要出现明显下降：（1）如果海外疫情得不到控制，整个全球流动性将依然保持高水位。考虑到人民币汇率升值压力，国内流动性也将维持在较为宽松的水平，但是整个国内信用收缩或将成为必然。（2）外资流入加快。我们认为，2021年一季度的资本市场将出现进一步分化，特别是热门赛道里也将出现比较明显的分化。我们在组合上将进一步均衡，希望寻找各个行业的阿尔法来抵消未来可能出现的整体估值下行。（1）寻找消费、医药行业中，未来还有可能提升一致预期的公司；（2）均衡组合配置，以部分低估值高分红公司（剔除价值陷阱）替代现金。</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633,741,017.34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633,741,017.34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98,284,528.15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15,443,223.12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747,468,768.61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442,537,627.91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6,296,063.47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36,139,586.43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4.89</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6,237,948.79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21,663,271.61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55,494,685.14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30,505,568.56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548,409.10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29,217,819.60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5,083,714.01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633,741,017.34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85.81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34,406</w:t>
            </w:r>
          </w:p>
        </w:tc>
        <w:tc>
          <w:tcPr>
            <w:vAlign w:val="center"/>
          </w:tcPr>
          <w:p>
            <w:pPr>
              <w:jc w:val="right"/>
            </w:pPr>
            <w:r>
              <w:rPr>
                <w:color w:val="000000"/>
                <w:sz w:val="24"/>
                <w:szCs w:val="24"/>
              </w:rPr>
              <w:t>68,743,188.00</w:t>
            </w:r>
          </w:p>
        </w:tc>
        <w:tc>
          <w:tcPr>
            <w:vAlign w:val="center"/>
          </w:tcPr>
          <w:p>
            <w:pPr>
              <w:jc w:val="right"/>
            </w:pPr>
            <w:r>
              <w:rPr>
                <w:color w:val="000000"/>
                <w:sz w:val="24"/>
                <w:szCs w:val="24"/>
              </w:rPr>
              <w:t>9.31</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282,300</w:t>
            </w:r>
          </w:p>
        </w:tc>
        <w:tc>
          <w:tcPr>
            <w:vAlign w:val="center"/>
          </w:tcPr>
          <w:p>
            <w:pPr>
              <w:jc w:val="right"/>
            </w:pPr>
            <w:r>
              <w:rPr>
                <w:color w:val="000000"/>
                <w:sz w:val="24"/>
                <w:szCs w:val="24"/>
              </w:rPr>
              <w:t>66,619,977.00</w:t>
            </w:r>
          </w:p>
        </w:tc>
        <w:tc>
          <w:tcPr>
            <w:vAlign w:val="center"/>
          </w:tcPr>
          <w:p>
            <w:pPr>
              <w:jc w:val="right"/>
            </w:pPr>
            <w:r>
              <w:rPr>
                <w:color w:val="000000"/>
                <w:sz w:val="24"/>
                <w:szCs w:val="24"/>
              </w:rPr>
              <w:t>9.02</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1,933,300</w:t>
            </w:r>
          </w:p>
        </w:tc>
        <w:tc>
          <w:tcPr>
            <w:vAlign w:val="center"/>
          </w:tcPr>
          <w:p>
            <w:pPr>
              <w:jc w:val="right"/>
            </w:pPr>
            <w:r>
              <w:rPr>
                <w:color w:val="000000"/>
                <w:sz w:val="24"/>
                <w:szCs w:val="24"/>
              </w:rPr>
              <w:t>55,485,710.00</w:t>
            </w:r>
          </w:p>
        </w:tc>
        <w:tc>
          <w:tcPr>
            <w:vAlign w:val="center"/>
          </w:tcPr>
          <w:p>
            <w:pPr>
              <w:jc w:val="right"/>
            </w:pPr>
            <w:r>
              <w:rPr>
                <w:color w:val="000000"/>
                <w:sz w:val="24"/>
                <w:szCs w:val="24"/>
              </w:rPr>
              <w:t>7.51</w:t>
            </w:r>
          </w:p>
        </w:tc>
      </w:tr>
      <w:tr>
        <w:tc>
          <w:tcPr>
            <w:vAlign w:val="center"/>
          </w:tcPr>
          <w:p>
            <w:pPr>
              <w:jc w:val="center"/>
            </w:pPr>
            <w:r>
              <w:rPr>
                <w:color w:val="000000"/>
                <w:sz w:val="24"/>
                <w:szCs w:val="24"/>
              </w:rPr>
              <w:t>4</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177,570</w:t>
            </w:r>
          </w:p>
        </w:tc>
        <w:tc>
          <w:tcPr>
            <w:vAlign w:val="center"/>
          </w:tcPr>
          <w:p>
            <w:pPr>
              <w:jc w:val="right"/>
            </w:pPr>
            <w:r>
              <w:rPr>
                <w:color w:val="000000"/>
                <w:sz w:val="24"/>
                <w:szCs w:val="24"/>
              </w:rPr>
              <w:t>51,823,804.50</w:t>
            </w:r>
          </w:p>
        </w:tc>
        <w:tc>
          <w:tcPr>
            <w:vAlign w:val="center"/>
          </w:tcPr>
          <w:p>
            <w:pPr>
              <w:jc w:val="right"/>
            </w:pPr>
            <w:r>
              <w:rPr>
                <w:color w:val="000000"/>
                <w:sz w:val="24"/>
                <w:szCs w:val="24"/>
              </w:rPr>
              <w:t>7.02</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1,817,431</w:t>
            </w:r>
          </w:p>
        </w:tc>
        <w:tc>
          <w:tcPr>
            <w:vAlign w:val="center"/>
          </w:tcPr>
          <w:p>
            <w:pPr>
              <w:jc w:val="right"/>
            </w:pPr>
            <w:r>
              <w:rPr>
                <w:color w:val="000000"/>
                <w:sz w:val="24"/>
                <w:szCs w:val="24"/>
              </w:rPr>
              <w:t>43,890,958.65</w:t>
            </w:r>
          </w:p>
        </w:tc>
        <w:tc>
          <w:tcPr>
            <w:vAlign w:val="center"/>
          </w:tcPr>
          <w:p>
            <w:pPr>
              <w:jc w:val="right"/>
            </w:pPr>
            <w:r>
              <w:rPr>
                <w:color w:val="000000"/>
                <w:sz w:val="24"/>
                <w:szCs w:val="24"/>
              </w:rPr>
              <w:t>5.94</w:t>
            </w:r>
          </w:p>
        </w:tc>
      </w:tr>
      <w:tr>
        <w:tc>
          <w:tcPr>
            <w:vAlign w:val="center"/>
          </w:tcPr>
          <w:p>
            <w:pPr>
              <w:jc w:val="center"/>
            </w:pPr>
            <w:r>
              <w:rPr>
                <w:color w:val="000000"/>
                <w:sz w:val="24"/>
                <w:szCs w:val="24"/>
              </w:rPr>
              <w:t>6</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234,756</w:t>
            </w:r>
          </w:p>
        </w:tc>
        <w:tc>
          <w:tcPr>
            <w:vAlign w:val="center"/>
          </w:tcPr>
          <w:p>
            <w:pPr>
              <w:jc w:val="right"/>
            </w:pPr>
            <w:r>
              <w:rPr>
                <w:color w:val="000000"/>
                <w:sz w:val="24"/>
                <w:szCs w:val="24"/>
              </w:rPr>
              <w:t>36,739,314.00</w:t>
            </w:r>
          </w:p>
        </w:tc>
        <w:tc>
          <w:tcPr>
            <w:vAlign w:val="center"/>
          </w:tcPr>
          <w:p>
            <w:pPr>
              <w:jc w:val="right"/>
            </w:pPr>
            <w:r>
              <w:rPr>
                <w:color w:val="000000"/>
                <w:sz w:val="24"/>
                <w:szCs w:val="24"/>
              </w:rPr>
              <w:t>4.97</w:t>
            </w:r>
          </w:p>
        </w:tc>
      </w:tr>
      <w:tr>
        <w:tc>
          <w:tcPr>
            <w:vAlign w:val="center"/>
          </w:tcPr>
          <w:p>
            <w:pPr>
              <w:jc w:val="center"/>
            </w:pPr>
            <w:r>
              <w:rPr>
                <w:color w:val="000000"/>
                <w:sz w:val="24"/>
                <w:szCs w:val="24"/>
              </w:rPr>
              <w:t>7</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701,331</w:t>
            </w:r>
          </w:p>
        </w:tc>
        <w:tc>
          <w:tcPr>
            <w:vAlign w:val="center"/>
          </w:tcPr>
          <w:p>
            <w:pPr>
              <w:jc w:val="right"/>
            </w:pPr>
            <w:r>
              <w:rPr>
                <w:color w:val="000000"/>
                <w:sz w:val="24"/>
                <w:szCs w:val="24"/>
              </w:rPr>
              <w:t>36,139,586.43</w:t>
            </w:r>
          </w:p>
        </w:tc>
        <w:tc>
          <w:tcPr>
            <w:vAlign w:val="center"/>
          </w:tcPr>
          <w:p>
            <w:pPr>
              <w:jc w:val="right"/>
            </w:pPr>
            <w:r>
              <w:rPr>
                <w:color w:val="000000"/>
                <w:sz w:val="24"/>
                <w:szCs w:val="24"/>
              </w:rPr>
              <w:t>4.89</w:t>
            </w:r>
          </w:p>
        </w:tc>
      </w:tr>
      <w:tr>
        <w:tc>
          <w:tcPr>
            <w:vAlign w:val="center"/>
          </w:tcPr>
          <w:p>
            <w:pPr>
              <w:jc w:val="center"/>
            </w:pPr>
            <w:r>
              <w:rPr>
                <w:color w:val="000000"/>
                <w:sz w:val="24"/>
                <w:szCs w:val="24"/>
              </w:rPr>
              <w:t>8</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224,440</w:t>
            </w:r>
          </w:p>
        </w:tc>
        <w:tc>
          <w:tcPr>
            <w:vAlign w:val="center"/>
          </w:tcPr>
          <w:p>
            <w:pPr>
              <w:jc w:val="right"/>
            </w:pPr>
            <w:r>
              <w:rPr>
                <w:color w:val="000000"/>
                <w:sz w:val="24"/>
                <w:szCs w:val="24"/>
              </w:rPr>
              <w:t>30,236,556.80</w:t>
            </w:r>
          </w:p>
        </w:tc>
        <w:tc>
          <w:tcPr>
            <w:vAlign w:val="center"/>
          </w:tcPr>
          <w:p>
            <w:pPr>
              <w:jc w:val="right"/>
            </w:pPr>
            <w:r>
              <w:rPr>
                <w:color w:val="000000"/>
                <w:sz w:val="24"/>
                <w:szCs w:val="24"/>
              </w:rPr>
              <w:t>4.09</w:t>
            </w:r>
          </w:p>
        </w:tc>
      </w:tr>
      <w:tr>
        <w:tc>
          <w:tcPr>
            <w:vAlign w:val="center"/>
          </w:tcPr>
          <w:p>
            <w:pPr>
              <w:jc w:val="center"/>
            </w:pPr>
            <w:r>
              <w:rPr>
                <w:color w:val="000000"/>
                <w:sz w:val="24"/>
                <w:szCs w:val="24"/>
              </w:rPr>
              <w:t>9</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761,321</w:t>
            </w:r>
          </w:p>
        </w:tc>
        <w:tc>
          <w:tcPr>
            <w:vAlign w:val="center"/>
          </w:tcPr>
          <w:p>
            <w:pPr>
              <w:jc w:val="right"/>
            </w:pPr>
            <w:r>
              <w:rPr>
                <w:color w:val="000000"/>
                <w:sz w:val="24"/>
                <w:szCs w:val="24"/>
              </w:rPr>
              <w:t>29,539,254.80</w:t>
            </w:r>
          </w:p>
        </w:tc>
        <w:tc>
          <w:tcPr>
            <w:vAlign w:val="center"/>
          </w:tcPr>
          <w:p>
            <w:pPr>
              <w:jc w:val="right"/>
            </w:pPr>
            <w:r>
              <w:rPr>
                <w:color w:val="000000"/>
                <w:sz w:val="24"/>
                <w:szCs w:val="24"/>
              </w:rPr>
              <w:t>4.00</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255,192</w:t>
            </w:r>
          </w:p>
        </w:tc>
        <w:tc>
          <w:tcPr>
            <w:vAlign w:val="center"/>
          </w:tcPr>
          <w:p>
            <w:pPr>
              <w:jc w:val="right"/>
            </w:pPr>
            <w:r>
              <w:rPr>
                <w:color w:val="000000"/>
                <w:sz w:val="24"/>
                <w:szCs w:val="24"/>
              </w:rPr>
              <w:t>28,443,700.32</w:t>
            </w:r>
          </w:p>
        </w:tc>
        <w:tc>
          <w:tcPr>
            <w:vAlign w:val="center"/>
          </w:tcPr>
          <w:p>
            <w:pPr>
              <w:jc w:val="right"/>
            </w:pPr>
            <w:r>
              <w:rPr>
                <w:color w:val="000000"/>
                <w:sz w:val="24"/>
                <w:szCs w:val="24"/>
              </w:rPr>
              <w:t>3.85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198,890.79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13,232,677.06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12,654.46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1,999,000.81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15,443,223.12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172,264,014.83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137,492,558.44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43,263,013.12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266,493,560.15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49,000,000.00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49,000,000.00</w:t>
            </w:r>
          </w:p>
        </w:tc>
        <w:tc>
          <w:tcPr>
            <w:vAlign w:val="center"/>
          </w:tcPr>
          <w:p>
            <w:pPr>
              <w:jc w:val="center"/>
            </w:pPr>
            <w:r>
              <w:rPr>
                <w:rFonts w:ascii="宋体" w:hAnsi="宋体"/>
                <w:color w:val="000000"/>
                <w:kern w:val="0"/>
              </w:rPr>
              <w:t>18.39%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1、中国证监会准予交银施罗德股息优化混合型证券投资基金募集注册的文件；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2、《交银施罗德股息优化混合型证券投资基金基金合同》；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3、《交银施罗德股息优化混合型证券投资基金招募说明书》；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4、《交银施罗德股息优化混合型证券投资基金托管协议》；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5、关于申请募集注册交银施罗德股息优化混合型证券投资基金的法律意见书；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8、报告期内交银施罗德股息优化混合型证券投资基金在指定报刊上各项公告的原稿。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交银施罗德股息优化混合型证券投资基金2020年第4季度报告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