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交银施罗德医药创新股票型证券投资基金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二〇二一年一月二十一日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A54065" w:rsidRDefault="00157F9F">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A54065" w:rsidRDefault="00157F9F">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2021</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A54065" w:rsidRDefault="00157F9F">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A54065" w:rsidRDefault="00157F9F">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A54065" w:rsidRDefault="00157F9F">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交银医药创新股票</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004075</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004075</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2017</w:t>
            </w:r>
            <w:r w:rsidRPr="00414345">
              <w:rPr>
                <w:color w:val="000000"/>
                <w:kern w:val="0"/>
                <w:sz w:val="24"/>
                <w:szCs w:val="24"/>
              </w:rPr>
              <w:t>年</w:t>
            </w:r>
            <w:r w:rsidRPr="00414345">
              <w:rPr>
                <w:color w:val="000000"/>
                <w:kern w:val="0"/>
                <w:sz w:val="24"/>
                <w:szCs w:val="24"/>
              </w:rPr>
              <w:t>3</w:t>
            </w:r>
            <w:r w:rsidRPr="00414345">
              <w:rPr>
                <w:color w:val="000000"/>
                <w:kern w:val="0"/>
                <w:sz w:val="24"/>
                <w:szCs w:val="24"/>
              </w:rPr>
              <w:t>月</w:t>
            </w:r>
            <w:r w:rsidRPr="00414345">
              <w:rPr>
                <w:color w:val="000000"/>
                <w:kern w:val="0"/>
                <w:sz w:val="24"/>
                <w:szCs w:val="24"/>
              </w:rPr>
              <w:t>23</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733,497,129.07</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本基金将深度挖掘医药创新过程中产业的各类投资机会，精选医药创新主题的优质上市公司，在控制风险并保持基金资产良好的流动性的前提下，谋求基金资产的长期、稳定增值。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将严谨、规范化的选股方法与积极主动的投资风格相结合，在经济转型大背景下，深入研究医药创新行业的发展趋势，积极挖掘不同子行业和子行业景气度新变化下的个股投资机会，通过团队对个股深入的基本面研究和细致的实地调研，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85%×</w:t>
            </w:r>
            <w:r w:rsidRPr="00414345">
              <w:rPr>
                <w:color w:val="000000"/>
                <w:kern w:val="0"/>
                <w:sz w:val="24"/>
                <w:szCs w:val="24"/>
              </w:rPr>
              <w:t>中证医药卫生指数收益率</w:t>
            </w:r>
            <w:r w:rsidRPr="00414345">
              <w:rPr>
                <w:color w:val="000000"/>
                <w:kern w:val="0"/>
                <w:sz w:val="24"/>
                <w:szCs w:val="24"/>
              </w:rPr>
              <w:t>+15%×</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本基金是一只股票型基金，其预期风险与预期收益高于混合型基金、债券型基金和货币市场基金，属于承担较高预期风险、预期收益较高的证券投资基金品种。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157F9F" w:rsidRPr="00414345" w:rsidTr="00157F9F">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157F9F" w:rsidRPr="00414345" w:rsidTr="00157F9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94,561,485.51</w:t>
            </w:r>
          </w:p>
        </w:tc>
      </w:tr>
      <w:tr w:rsidR="00157F9F" w:rsidRPr="00414345" w:rsidTr="00157F9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293,216,940.79</w:t>
            </w:r>
          </w:p>
        </w:tc>
      </w:tr>
      <w:tr w:rsidR="00157F9F" w:rsidRPr="00414345" w:rsidTr="00157F9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0.3534</w:t>
            </w:r>
          </w:p>
        </w:tc>
      </w:tr>
      <w:tr w:rsidR="00157F9F" w:rsidRPr="00414345" w:rsidTr="00157F9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2,536,082,846.61</w:t>
            </w:r>
          </w:p>
        </w:tc>
      </w:tr>
      <w:tr w:rsidR="00157F9F" w:rsidRPr="00414345" w:rsidTr="00157F9F">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3.4575</w:t>
            </w:r>
          </w:p>
        </w:tc>
      </w:tr>
    </w:tbl>
    <w:p w:rsidR="00A54065" w:rsidRDefault="00157F9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157F9F">
        <w:trPr>
          <w:jc w:val="center"/>
        </w:trPr>
        <w:tc>
          <w:tcPr>
            <w:tcW w:w="1701"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98"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A54065">
        <w:trPr>
          <w:jc w:val="center"/>
        </w:trPr>
        <w:tc>
          <w:tcPr>
            <w:tcW w:w="1701" w:type="dxa"/>
            <w:vAlign w:val="center"/>
          </w:tcPr>
          <w:p w:rsidR="00A54065" w:rsidRDefault="00157F9F">
            <w:pPr>
              <w:jc w:val="left"/>
            </w:pPr>
            <w:bookmarkStart w:id="0" w:name="_GoBack"/>
            <w:bookmarkEnd w:id="0"/>
            <w:r>
              <w:rPr>
                <w:color w:val="000000"/>
                <w:sz w:val="24"/>
                <w:szCs w:val="24"/>
              </w:rPr>
              <w:t>过去三个月</w:t>
            </w:r>
          </w:p>
        </w:tc>
        <w:tc>
          <w:tcPr>
            <w:tcW w:w="1045" w:type="dxa"/>
            <w:vAlign w:val="center"/>
          </w:tcPr>
          <w:p w:rsidR="00A54065" w:rsidRDefault="00157F9F">
            <w:pPr>
              <w:jc w:val="center"/>
            </w:pPr>
            <w:r>
              <w:rPr>
                <w:color w:val="000000"/>
                <w:sz w:val="24"/>
                <w:szCs w:val="24"/>
              </w:rPr>
              <w:t>12.85%</w:t>
            </w:r>
          </w:p>
        </w:tc>
        <w:tc>
          <w:tcPr>
            <w:tcW w:w="1344" w:type="dxa"/>
            <w:vAlign w:val="center"/>
          </w:tcPr>
          <w:p w:rsidR="00A54065" w:rsidRDefault="00157F9F">
            <w:pPr>
              <w:jc w:val="center"/>
            </w:pPr>
            <w:r>
              <w:rPr>
                <w:color w:val="000000"/>
                <w:sz w:val="24"/>
                <w:szCs w:val="24"/>
              </w:rPr>
              <w:t>1.59%</w:t>
            </w:r>
          </w:p>
        </w:tc>
        <w:tc>
          <w:tcPr>
            <w:tcW w:w="1194" w:type="dxa"/>
            <w:vAlign w:val="center"/>
          </w:tcPr>
          <w:p w:rsidR="00A54065" w:rsidRDefault="00157F9F">
            <w:pPr>
              <w:jc w:val="center"/>
            </w:pPr>
            <w:r>
              <w:rPr>
                <w:color w:val="000000"/>
                <w:sz w:val="24"/>
                <w:szCs w:val="24"/>
              </w:rPr>
              <w:t>5.39%</w:t>
            </w:r>
          </w:p>
        </w:tc>
        <w:tc>
          <w:tcPr>
            <w:tcW w:w="1492" w:type="dxa"/>
            <w:vAlign w:val="center"/>
          </w:tcPr>
          <w:p w:rsidR="00A54065" w:rsidRDefault="00157F9F">
            <w:pPr>
              <w:jc w:val="center"/>
            </w:pPr>
            <w:r>
              <w:rPr>
                <w:color w:val="000000"/>
                <w:sz w:val="24"/>
                <w:szCs w:val="24"/>
              </w:rPr>
              <w:t>1.26%</w:t>
            </w:r>
          </w:p>
        </w:tc>
        <w:tc>
          <w:tcPr>
            <w:tcW w:w="1194" w:type="dxa"/>
            <w:vAlign w:val="center"/>
          </w:tcPr>
          <w:p w:rsidR="00A54065" w:rsidRDefault="00157F9F">
            <w:pPr>
              <w:jc w:val="center"/>
            </w:pPr>
            <w:r>
              <w:rPr>
                <w:color w:val="000000"/>
                <w:sz w:val="24"/>
                <w:szCs w:val="24"/>
              </w:rPr>
              <w:t>7.46%</w:t>
            </w:r>
          </w:p>
        </w:tc>
        <w:tc>
          <w:tcPr>
            <w:tcW w:w="898" w:type="dxa"/>
            <w:vAlign w:val="center"/>
          </w:tcPr>
          <w:p w:rsidR="00A54065" w:rsidRDefault="00157F9F">
            <w:pPr>
              <w:jc w:val="center"/>
            </w:pPr>
            <w:r>
              <w:rPr>
                <w:color w:val="000000"/>
                <w:sz w:val="24"/>
                <w:szCs w:val="24"/>
              </w:rPr>
              <w:t>0.33%</w:t>
            </w:r>
          </w:p>
        </w:tc>
      </w:tr>
      <w:tr w:rsidR="00A54065">
        <w:trPr>
          <w:jc w:val="center"/>
        </w:trPr>
        <w:tc>
          <w:tcPr>
            <w:tcW w:w="1701" w:type="dxa"/>
            <w:vAlign w:val="center"/>
          </w:tcPr>
          <w:p w:rsidR="00A54065" w:rsidRDefault="00157F9F">
            <w:pPr>
              <w:jc w:val="left"/>
            </w:pPr>
            <w:r>
              <w:rPr>
                <w:color w:val="000000"/>
                <w:sz w:val="24"/>
                <w:szCs w:val="24"/>
              </w:rPr>
              <w:t>过去六个月</w:t>
            </w:r>
          </w:p>
        </w:tc>
        <w:tc>
          <w:tcPr>
            <w:tcW w:w="1045" w:type="dxa"/>
            <w:vAlign w:val="center"/>
          </w:tcPr>
          <w:p w:rsidR="00A54065" w:rsidRDefault="00157F9F">
            <w:pPr>
              <w:jc w:val="center"/>
            </w:pPr>
            <w:r>
              <w:rPr>
                <w:color w:val="000000"/>
                <w:sz w:val="24"/>
                <w:szCs w:val="24"/>
              </w:rPr>
              <w:t>19.55%</w:t>
            </w:r>
          </w:p>
        </w:tc>
        <w:tc>
          <w:tcPr>
            <w:tcW w:w="1344" w:type="dxa"/>
            <w:vAlign w:val="center"/>
          </w:tcPr>
          <w:p w:rsidR="00A54065" w:rsidRDefault="00157F9F">
            <w:pPr>
              <w:jc w:val="center"/>
            </w:pPr>
            <w:r>
              <w:rPr>
                <w:color w:val="000000"/>
                <w:sz w:val="24"/>
                <w:szCs w:val="24"/>
              </w:rPr>
              <w:t>1.82%</w:t>
            </w:r>
          </w:p>
        </w:tc>
        <w:tc>
          <w:tcPr>
            <w:tcW w:w="1194" w:type="dxa"/>
            <w:vAlign w:val="center"/>
          </w:tcPr>
          <w:p w:rsidR="00A54065" w:rsidRDefault="00157F9F">
            <w:pPr>
              <w:jc w:val="center"/>
            </w:pPr>
            <w:r>
              <w:rPr>
                <w:color w:val="000000"/>
                <w:sz w:val="24"/>
                <w:szCs w:val="24"/>
              </w:rPr>
              <w:t>7.77%</w:t>
            </w:r>
          </w:p>
        </w:tc>
        <w:tc>
          <w:tcPr>
            <w:tcW w:w="1492" w:type="dxa"/>
            <w:vAlign w:val="center"/>
          </w:tcPr>
          <w:p w:rsidR="00A54065" w:rsidRDefault="00157F9F">
            <w:pPr>
              <w:jc w:val="center"/>
            </w:pPr>
            <w:r>
              <w:rPr>
                <w:color w:val="000000"/>
                <w:sz w:val="24"/>
                <w:szCs w:val="24"/>
              </w:rPr>
              <w:t>1.55%</w:t>
            </w:r>
          </w:p>
        </w:tc>
        <w:tc>
          <w:tcPr>
            <w:tcW w:w="1194" w:type="dxa"/>
            <w:vAlign w:val="center"/>
          </w:tcPr>
          <w:p w:rsidR="00A54065" w:rsidRDefault="00157F9F">
            <w:pPr>
              <w:jc w:val="center"/>
            </w:pPr>
            <w:r>
              <w:rPr>
                <w:color w:val="000000"/>
                <w:sz w:val="24"/>
                <w:szCs w:val="24"/>
              </w:rPr>
              <w:t>11.78%</w:t>
            </w:r>
          </w:p>
        </w:tc>
        <w:tc>
          <w:tcPr>
            <w:tcW w:w="898" w:type="dxa"/>
            <w:vAlign w:val="center"/>
          </w:tcPr>
          <w:p w:rsidR="00A54065" w:rsidRDefault="00157F9F">
            <w:pPr>
              <w:jc w:val="center"/>
            </w:pPr>
            <w:r>
              <w:rPr>
                <w:color w:val="000000"/>
                <w:sz w:val="24"/>
                <w:szCs w:val="24"/>
              </w:rPr>
              <w:t>0.27%</w:t>
            </w:r>
          </w:p>
        </w:tc>
      </w:tr>
      <w:tr w:rsidR="00A54065">
        <w:trPr>
          <w:jc w:val="center"/>
        </w:trPr>
        <w:tc>
          <w:tcPr>
            <w:tcW w:w="1701" w:type="dxa"/>
            <w:vAlign w:val="center"/>
          </w:tcPr>
          <w:p w:rsidR="00A54065" w:rsidRDefault="00157F9F">
            <w:pPr>
              <w:jc w:val="left"/>
            </w:pPr>
            <w:r>
              <w:rPr>
                <w:color w:val="000000"/>
                <w:sz w:val="24"/>
                <w:szCs w:val="24"/>
              </w:rPr>
              <w:t>过去一年</w:t>
            </w:r>
          </w:p>
        </w:tc>
        <w:tc>
          <w:tcPr>
            <w:tcW w:w="1045" w:type="dxa"/>
            <w:vAlign w:val="center"/>
          </w:tcPr>
          <w:p w:rsidR="00A54065" w:rsidRDefault="00157F9F">
            <w:pPr>
              <w:jc w:val="center"/>
            </w:pPr>
            <w:r>
              <w:rPr>
                <w:color w:val="000000"/>
                <w:sz w:val="24"/>
                <w:szCs w:val="24"/>
              </w:rPr>
              <w:t>96.29%</w:t>
            </w:r>
          </w:p>
        </w:tc>
        <w:tc>
          <w:tcPr>
            <w:tcW w:w="1344" w:type="dxa"/>
            <w:vAlign w:val="center"/>
          </w:tcPr>
          <w:p w:rsidR="00A54065" w:rsidRDefault="00157F9F">
            <w:pPr>
              <w:jc w:val="center"/>
            </w:pPr>
            <w:r>
              <w:rPr>
                <w:color w:val="000000"/>
                <w:sz w:val="24"/>
                <w:szCs w:val="24"/>
              </w:rPr>
              <w:t>1.81%</w:t>
            </w:r>
          </w:p>
        </w:tc>
        <w:tc>
          <w:tcPr>
            <w:tcW w:w="1194" w:type="dxa"/>
            <w:vAlign w:val="center"/>
          </w:tcPr>
          <w:p w:rsidR="00A54065" w:rsidRDefault="00157F9F">
            <w:pPr>
              <w:jc w:val="center"/>
            </w:pPr>
            <w:r>
              <w:rPr>
                <w:color w:val="000000"/>
                <w:sz w:val="24"/>
                <w:szCs w:val="24"/>
              </w:rPr>
              <w:t>43.17%</w:t>
            </w:r>
          </w:p>
        </w:tc>
        <w:tc>
          <w:tcPr>
            <w:tcW w:w="1492" w:type="dxa"/>
            <w:vAlign w:val="center"/>
          </w:tcPr>
          <w:p w:rsidR="00A54065" w:rsidRDefault="00157F9F">
            <w:pPr>
              <w:jc w:val="center"/>
            </w:pPr>
            <w:r>
              <w:rPr>
                <w:color w:val="000000"/>
                <w:sz w:val="24"/>
                <w:szCs w:val="24"/>
              </w:rPr>
              <w:t>1.48%</w:t>
            </w:r>
          </w:p>
        </w:tc>
        <w:tc>
          <w:tcPr>
            <w:tcW w:w="1194" w:type="dxa"/>
            <w:vAlign w:val="center"/>
          </w:tcPr>
          <w:p w:rsidR="00A54065" w:rsidRDefault="00157F9F">
            <w:pPr>
              <w:jc w:val="center"/>
            </w:pPr>
            <w:r>
              <w:rPr>
                <w:color w:val="000000"/>
                <w:sz w:val="24"/>
                <w:szCs w:val="24"/>
              </w:rPr>
              <w:t>53.12%</w:t>
            </w:r>
          </w:p>
        </w:tc>
        <w:tc>
          <w:tcPr>
            <w:tcW w:w="898" w:type="dxa"/>
            <w:vAlign w:val="center"/>
          </w:tcPr>
          <w:p w:rsidR="00A54065" w:rsidRDefault="00157F9F">
            <w:pPr>
              <w:jc w:val="center"/>
            </w:pPr>
            <w:r>
              <w:rPr>
                <w:color w:val="000000"/>
                <w:sz w:val="24"/>
                <w:szCs w:val="24"/>
              </w:rPr>
              <w:t>0.33%</w:t>
            </w:r>
          </w:p>
        </w:tc>
      </w:tr>
      <w:tr w:rsidR="00A54065">
        <w:trPr>
          <w:jc w:val="center"/>
        </w:trPr>
        <w:tc>
          <w:tcPr>
            <w:tcW w:w="1701" w:type="dxa"/>
            <w:vAlign w:val="center"/>
          </w:tcPr>
          <w:p w:rsidR="00A54065" w:rsidRDefault="00157F9F">
            <w:pPr>
              <w:jc w:val="left"/>
            </w:pPr>
            <w:r>
              <w:rPr>
                <w:color w:val="000000"/>
                <w:sz w:val="24"/>
                <w:szCs w:val="24"/>
              </w:rPr>
              <w:t>过去三年</w:t>
            </w:r>
          </w:p>
        </w:tc>
        <w:tc>
          <w:tcPr>
            <w:tcW w:w="1045" w:type="dxa"/>
            <w:vAlign w:val="center"/>
          </w:tcPr>
          <w:p w:rsidR="00A54065" w:rsidRDefault="00157F9F">
            <w:pPr>
              <w:jc w:val="center"/>
            </w:pPr>
            <w:r>
              <w:rPr>
                <w:color w:val="000000"/>
                <w:sz w:val="24"/>
                <w:szCs w:val="24"/>
              </w:rPr>
              <w:t>209.67%</w:t>
            </w:r>
          </w:p>
        </w:tc>
        <w:tc>
          <w:tcPr>
            <w:tcW w:w="1344" w:type="dxa"/>
            <w:vAlign w:val="center"/>
          </w:tcPr>
          <w:p w:rsidR="00A54065" w:rsidRDefault="00157F9F">
            <w:pPr>
              <w:jc w:val="center"/>
            </w:pPr>
            <w:r>
              <w:rPr>
                <w:color w:val="000000"/>
                <w:sz w:val="24"/>
                <w:szCs w:val="24"/>
              </w:rPr>
              <w:t>1.57%</w:t>
            </w:r>
          </w:p>
        </w:tc>
        <w:tc>
          <w:tcPr>
            <w:tcW w:w="1194" w:type="dxa"/>
            <w:vAlign w:val="center"/>
          </w:tcPr>
          <w:p w:rsidR="00A54065" w:rsidRDefault="00157F9F">
            <w:pPr>
              <w:jc w:val="center"/>
            </w:pPr>
            <w:r>
              <w:rPr>
                <w:color w:val="000000"/>
                <w:sz w:val="24"/>
                <w:szCs w:val="24"/>
              </w:rPr>
              <w:t>42.32%</w:t>
            </w:r>
          </w:p>
        </w:tc>
        <w:tc>
          <w:tcPr>
            <w:tcW w:w="1492" w:type="dxa"/>
            <w:vAlign w:val="center"/>
          </w:tcPr>
          <w:p w:rsidR="00A54065" w:rsidRDefault="00157F9F">
            <w:pPr>
              <w:jc w:val="center"/>
            </w:pPr>
            <w:r>
              <w:rPr>
                <w:color w:val="000000"/>
                <w:sz w:val="24"/>
                <w:szCs w:val="24"/>
              </w:rPr>
              <w:t>1.38%</w:t>
            </w:r>
          </w:p>
        </w:tc>
        <w:tc>
          <w:tcPr>
            <w:tcW w:w="1194" w:type="dxa"/>
            <w:vAlign w:val="center"/>
          </w:tcPr>
          <w:p w:rsidR="00A54065" w:rsidRDefault="00157F9F">
            <w:pPr>
              <w:jc w:val="center"/>
            </w:pPr>
            <w:r>
              <w:rPr>
                <w:color w:val="000000"/>
                <w:sz w:val="24"/>
                <w:szCs w:val="24"/>
              </w:rPr>
              <w:t>167.35%</w:t>
            </w:r>
          </w:p>
        </w:tc>
        <w:tc>
          <w:tcPr>
            <w:tcW w:w="898" w:type="dxa"/>
            <w:vAlign w:val="center"/>
          </w:tcPr>
          <w:p w:rsidR="00A54065" w:rsidRDefault="00157F9F">
            <w:pPr>
              <w:jc w:val="center"/>
            </w:pPr>
            <w:r>
              <w:rPr>
                <w:color w:val="000000"/>
                <w:sz w:val="24"/>
                <w:szCs w:val="24"/>
              </w:rPr>
              <w:t>0.19%</w:t>
            </w:r>
          </w:p>
        </w:tc>
      </w:tr>
      <w:tr w:rsidR="00A54065">
        <w:trPr>
          <w:jc w:val="center"/>
        </w:trPr>
        <w:tc>
          <w:tcPr>
            <w:tcW w:w="1701" w:type="dxa"/>
            <w:vAlign w:val="center"/>
          </w:tcPr>
          <w:p w:rsidR="00A54065" w:rsidRDefault="00157F9F">
            <w:pPr>
              <w:jc w:val="left"/>
            </w:pPr>
            <w:r>
              <w:rPr>
                <w:color w:val="000000"/>
                <w:sz w:val="24"/>
                <w:szCs w:val="24"/>
              </w:rPr>
              <w:t>自基金合同生效至今</w:t>
            </w:r>
          </w:p>
        </w:tc>
        <w:tc>
          <w:tcPr>
            <w:tcW w:w="1045" w:type="dxa"/>
            <w:vAlign w:val="center"/>
          </w:tcPr>
          <w:p w:rsidR="00A54065" w:rsidRDefault="00157F9F">
            <w:pPr>
              <w:jc w:val="center"/>
            </w:pPr>
            <w:r>
              <w:rPr>
                <w:color w:val="000000"/>
                <w:sz w:val="24"/>
                <w:szCs w:val="24"/>
              </w:rPr>
              <w:t>245.75%</w:t>
            </w:r>
          </w:p>
        </w:tc>
        <w:tc>
          <w:tcPr>
            <w:tcW w:w="1344" w:type="dxa"/>
            <w:vAlign w:val="center"/>
          </w:tcPr>
          <w:p w:rsidR="00A54065" w:rsidRDefault="00157F9F">
            <w:pPr>
              <w:jc w:val="center"/>
            </w:pPr>
            <w:r>
              <w:rPr>
                <w:color w:val="000000"/>
                <w:sz w:val="24"/>
                <w:szCs w:val="24"/>
              </w:rPr>
              <w:t>1.43%</w:t>
            </w:r>
          </w:p>
        </w:tc>
        <w:tc>
          <w:tcPr>
            <w:tcW w:w="1194" w:type="dxa"/>
            <w:vAlign w:val="center"/>
          </w:tcPr>
          <w:p w:rsidR="00A54065" w:rsidRDefault="00157F9F">
            <w:pPr>
              <w:jc w:val="center"/>
            </w:pPr>
            <w:r>
              <w:rPr>
                <w:color w:val="000000"/>
                <w:sz w:val="24"/>
                <w:szCs w:val="24"/>
              </w:rPr>
              <w:t>51.40%</w:t>
            </w:r>
          </w:p>
        </w:tc>
        <w:tc>
          <w:tcPr>
            <w:tcW w:w="1492" w:type="dxa"/>
            <w:vAlign w:val="center"/>
          </w:tcPr>
          <w:p w:rsidR="00A54065" w:rsidRDefault="00157F9F">
            <w:pPr>
              <w:jc w:val="center"/>
            </w:pPr>
            <w:r>
              <w:rPr>
                <w:color w:val="000000"/>
                <w:sz w:val="24"/>
                <w:szCs w:val="24"/>
              </w:rPr>
              <w:t>1.27%</w:t>
            </w:r>
          </w:p>
        </w:tc>
        <w:tc>
          <w:tcPr>
            <w:tcW w:w="1194" w:type="dxa"/>
            <w:vAlign w:val="center"/>
          </w:tcPr>
          <w:p w:rsidR="00A54065" w:rsidRDefault="00157F9F">
            <w:pPr>
              <w:jc w:val="center"/>
            </w:pPr>
            <w:r>
              <w:rPr>
                <w:color w:val="000000"/>
                <w:sz w:val="24"/>
                <w:szCs w:val="24"/>
              </w:rPr>
              <w:t>194.35%</w:t>
            </w:r>
          </w:p>
        </w:tc>
        <w:tc>
          <w:tcPr>
            <w:tcW w:w="898" w:type="dxa"/>
            <w:vAlign w:val="center"/>
          </w:tcPr>
          <w:p w:rsidR="00A54065" w:rsidRDefault="00157F9F">
            <w:pPr>
              <w:jc w:val="center"/>
            </w:pPr>
            <w:r>
              <w:rPr>
                <w:color w:val="000000"/>
                <w:sz w:val="24"/>
                <w:szCs w:val="24"/>
              </w:rPr>
              <w:t>0.16%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交银施罗德医药创新股票型证券投资基金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A54065">
        <w:trPr>
          <w:jc w:val="center"/>
        </w:trPr>
        <w:tc>
          <w:tcPr>
            <w:tcW w:w="846" w:type="dxa"/>
            <w:vAlign w:val="center"/>
          </w:tcPr>
          <w:p w:rsidR="00A54065" w:rsidRDefault="00157F9F">
            <w:pPr>
              <w:jc w:val="center"/>
            </w:pPr>
            <w:r>
              <w:rPr>
                <w:color w:val="000000"/>
                <w:sz w:val="24"/>
                <w:szCs w:val="24"/>
              </w:rPr>
              <w:t>楼慧源</w:t>
            </w:r>
          </w:p>
        </w:tc>
        <w:tc>
          <w:tcPr>
            <w:tcW w:w="845" w:type="dxa"/>
            <w:vAlign w:val="center"/>
          </w:tcPr>
          <w:p w:rsidR="00A54065" w:rsidRDefault="00157F9F">
            <w:pPr>
              <w:jc w:val="center"/>
            </w:pPr>
            <w:r>
              <w:rPr>
                <w:color w:val="000000"/>
                <w:sz w:val="24"/>
                <w:szCs w:val="24"/>
              </w:rPr>
              <w:t>交银医药创新股票、交银启汇混合的基金经理</w:t>
            </w:r>
          </w:p>
        </w:tc>
        <w:tc>
          <w:tcPr>
            <w:tcW w:w="1549" w:type="dxa"/>
            <w:vAlign w:val="center"/>
          </w:tcPr>
          <w:p w:rsidR="00A54065" w:rsidRDefault="00157F9F">
            <w:pPr>
              <w:jc w:val="center"/>
            </w:pPr>
            <w:r>
              <w:rPr>
                <w:color w:val="000000"/>
                <w:sz w:val="24"/>
                <w:szCs w:val="24"/>
              </w:rPr>
              <w:t>2018-09-12</w:t>
            </w:r>
          </w:p>
        </w:tc>
        <w:tc>
          <w:tcPr>
            <w:tcW w:w="1548" w:type="dxa"/>
            <w:vAlign w:val="center"/>
          </w:tcPr>
          <w:p w:rsidR="00A54065" w:rsidRDefault="00157F9F">
            <w:pPr>
              <w:jc w:val="center"/>
            </w:pPr>
            <w:r>
              <w:rPr>
                <w:color w:val="000000"/>
                <w:sz w:val="24"/>
                <w:szCs w:val="24"/>
              </w:rPr>
              <w:t>-</w:t>
            </w:r>
          </w:p>
        </w:tc>
        <w:tc>
          <w:tcPr>
            <w:tcW w:w="1407" w:type="dxa"/>
            <w:vAlign w:val="center"/>
          </w:tcPr>
          <w:p w:rsidR="00A54065" w:rsidRDefault="00157F9F">
            <w:pPr>
              <w:jc w:val="center"/>
            </w:pPr>
            <w:r>
              <w:rPr>
                <w:color w:val="000000"/>
                <w:sz w:val="24"/>
                <w:szCs w:val="24"/>
              </w:rPr>
              <w:t>6</w:t>
            </w:r>
            <w:r>
              <w:rPr>
                <w:color w:val="000000"/>
                <w:sz w:val="24"/>
                <w:szCs w:val="24"/>
              </w:rPr>
              <w:t>年</w:t>
            </w:r>
          </w:p>
        </w:tc>
        <w:tc>
          <w:tcPr>
            <w:tcW w:w="2673" w:type="dxa"/>
            <w:vAlign w:val="center"/>
          </w:tcPr>
          <w:p w:rsidR="00A54065" w:rsidRDefault="00157F9F">
            <w:r>
              <w:rPr>
                <w:color w:val="000000"/>
                <w:sz w:val="24"/>
                <w:szCs w:val="24"/>
              </w:rPr>
              <w:t>楼慧源女士，复旦大学金融学硕士、浙江大学应用生物科学学士。</w:t>
            </w:r>
            <w:r>
              <w:rPr>
                <w:color w:val="000000"/>
                <w:sz w:val="24"/>
                <w:szCs w:val="24"/>
              </w:rPr>
              <w:t>2014</w:t>
            </w:r>
            <w:r>
              <w:rPr>
                <w:color w:val="000000"/>
                <w:sz w:val="24"/>
                <w:szCs w:val="24"/>
              </w:rPr>
              <w:t>年至</w:t>
            </w:r>
            <w:r>
              <w:rPr>
                <w:color w:val="000000"/>
                <w:sz w:val="24"/>
                <w:szCs w:val="24"/>
              </w:rPr>
              <w:t>2015</w:t>
            </w:r>
            <w:r>
              <w:rPr>
                <w:color w:val="000000"/>
                <w:sz w:val="24"/>
                <w:szCs w:val="24"/>
              </w:rPr>
              <w:t>年任中国国际金融有限公司研究员。</w:t>
            </w:r>
            <w:r>
              <w:rPr>
                <w:color w:val="000000"/>
                <w:sz w:val="24"/>
                <w:szCs w:val="24"/>
              </w:rPr>
              <w:t>2015</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A54065" w:rsidRDefault="00157F9F">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本公司制定了严格的投资控制制度和公平交易监控制度来保证旗下基金运作的公平，旗下所管理的所有资产组合，包括证券投资基金和私募资产管理计划均严格遵循制度进行公平交易。</w:t>
      </w:r>
    </w:p>
    <w:p w:rsidR="00A54065" w:rsidRDefault="00157F9F">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w:t>
      </w:r>
      <w:r>
        <w:rPr>
          <w:color w:val="000000"/>
          <w:sz w:val="24"/>
          <w:szCs w:val="24"/>
        </w:rPr>
        <w:t>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价格优先、时间优先</w:t>
      </w:r>
      <w:r>
        <w:rPr>
          <w:color w:val="000000"/>
          <w:sz w:val="24"/>
          <w:szCs w:val="24"/>
        </w:rPr>
        <w:t>”</w:t>
      </w:r>
      <w:r>
        <w:rPr>
          <w:color w:val="000000"/>
          <w:sz w:val="24"/>
          <w:szCs w:val="24"/>
        </w:rPr>
        <w:t>的原则，全部通过交易系统进行比例分配；对于非集中竞价交易、以公司名义进行的场外交易，遵循公平交易分配原则对交易结果进行分配。</w:t>
      </w:r>
    </w:p>
    <w:p w:rsidR="00A54065" w:rsidRDefault="00157F9F">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w:t>
      </w:r>
      <w:r>
        <w:rPr>
          <w:color w:val="000000"/>
          <w:sz w:val="24"/>
          <w:szCs w:val="24"/>
        </w:rPr>
        <w:t>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A54065" w:rsidRDefault="00157F9F">
      <w:pPr>
        <w:spacing w:before="29" w:line="288" w:lineRule="auto"/>
        <w:ind w:firstLineChars="200" w:firstLine="480"/>
        <w:rPr>
          <w:color w:val="000000"/>
          <w:sz w:val="24"/>
          <w:szCs w:val="24"/>
        </w:rPr>
      </w:pPr>
      <w:r>
        <w:rPr>
          <w:color w:val="000000"/>
          <w:sz w:val="24"/>
          <w:szCs w:val="24"/>
        </w:rPr>
        <w:t>回顾</w:t>
      </w:r>
      <w:r>
        <w:rPr>
          <w:color w:val="000000"/>
          <w:sz w:val="24"/>
          <w:szCs w:val="24"/>
        </w:rPr>
        <w:t>2020</w:t>
      </w:r>
      <w:r>
        <w:rPr>
          <w:color w:val="000000"/>
          <w:sz w:val="24"/>
          <w:szCs w:val="24"/>
        </w:rPr>
        <w:t>年四季度，医药行业经历了又一次的药品集中采购、医保谈判和第一次器械国家集采，部分个股的估值水平得到了消化。另外疫情对行业的边际影响不断减弱，更多的资金面看重中长逻辑的机会。本基金一直重点配置中长线的优秀龙头公司，且在本报告期对疫情后长期竞争力加强的公司进行了增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继续看好以下方向：受益于消费升级的品质医疗服务和医药消费品，受益于技术驱动、治疗范式升级的创新药和创新器械，受益于国产替代的高性价比药械和诊断产品，以及受益于人才红利的承接全球需求的医药制造</w:t>
      </w:r>
      <w:r w:rsidRPr="00414345">
        <w:rPr>
          <w:color w:val="000000"/>
          <w:sz w:val="24"/>
          <w:szCs w:val="24"/>
        </w:rPr>
        <w:t>/</w:t>
      </w:r>
      <w:r w:rsidRPr="00414345">
        <w:rPr>
          <w:color w:val="000000"/>
          <w:sz w:val="24"/>
          <w:szCs w:val="24"/>
        </w:rPr>
        <w:t>研发服务。另外，科创板和创业板新股中，逐步涌现出质地不错的公司；之前在上涨阶段，这批新公司并没有合适的买点，未来随着标的的不断扩容，估值水平有望更加趋向于合理，我们会密切关注优质的新股标的进行配置。</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2,258,845,587.81</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86.24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2,258,845,587.81</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86.24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706,300.00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0.03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706,300.00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0.03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315,534,688.72</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12.05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44,131,237.54</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1.68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2,619,217,814.07</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1,248,801,061.87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49.24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31,533,218.22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19,998.88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335,844.37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8,975.14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384,447,304.65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15.16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67,303.24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593,583,620.17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23.41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48,261.27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2,258,845,587.81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89.07</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A54065">
        <w:trPr>
          <w:jc w:val="center"/>
        </w:trPr>
        <w:tc>
          <w:tcPr>
            <w:tcW w:w="855" w:type="dxa"/>
            <w:vAlign w:val="center"/>
          </w:tcPr>
          <w:p w:rsidR="00A54065" w:rsidRDefault="00157F9F">
            <w:pPr>
              <w:jc w:val="center"/>
            </w:pPr>
            <w:r>
              <w:rPr>
                <w:color w:val="000000"/>
                <w:sz w:val="24"/>
                <w:szCs w:val="24"/>
              </w:rPr>
              <w:t>1</w:t>
            </w:r>
          </w:p>
        </w:tc>
        <w:tc>
          <w:tcPr>
            <w:tcW w:w="1334" w:type="dxa"/>
            <w:vAlign w:val="center"/>
          </w:tcPr>
          <w:p w:rsidR="00A54065" w:rsidRDefault="00157F9F">
            <w:pPr>
              <w:jc w:val="center"/>
            </w:pPr>
            <w:r>
              <w:rPr>
                <w:color w:val="000000"/>
                <w:sz w:val="24"/>
                <w:szCs w:val="24"/>
              </w:rPr>
              <w:t>603259</w:t>
            </w:r>
          </w:p>
        </w:tc>
        <w:tc>
          <w:tcPr>
            <w:tcW w:w="1777" w:type="dxa"/>
            <w:vAlign w:val="center"/>
          </w:tcPr>
          <w:p w:rsidR="00A54065" w:rsidRDefault="00157F9F">
            <w:pPr>
              <w:jc w:val="center"/>
            </w:pPr>
            <w:r>
              <w:rPr>
                <w:color w:val="000000"/>
                <w:sz w:val="24"/>
                <w:szCs w:val="24"/>
              </w:rPr>
              <w:t>药明康德</w:t>
            </w:r>
          </w:p>
        </w:tc>
        <w:tc>
          <w:tcPr>
            <w:tcW w:w="1334" w:type="dxa"/>
            <w:vAlign w:val="center"/>
          </w:tcPr>
          <w:p w:rsidR="00A54065" w:rsidRDefault="00157F9F">
            <w:pPr>
              <w:jc w:val="right"/>
            </w:pPr>
            <w:r>
              <w:rPr>
                <w:color w:val="000000"/>
                <w:sz w:val="24"/>
                <w:szCs w:val="24"/>
              </w:rPr>
              <w:t>1,853,717</w:t>
            </w:r>
          </w:p>
        </w:tc>
        <w:tc>
          <w:tcPr>
            <w:tcW w:w="1924" w:type="dxa"/>
            <w:vAlign w:val="center"/>
          </w:tcPr>
          <w:p w:rsidR="00A54065" w:rsidRDefault="00157F9F">
            <w:pPr>
              <w:jc w:val="right"/>
            </w:pPr>
            <w:r>
              <w:rPr>
                <w:color w:val="000000"/>
                <w:sz w:val="24"/>
                <w:szCs w:val="24"/>
              </w:rPr>
              <w:t>249,732,754.24</w:t>
            </w:r>
          </w:p>
        </w:tc>
        <w:tc>
          <w:tcPr>
            <w:tcW w:w="1644" w:type="dxa"/>
            <w:vAlign w:val="center"/>
          </w:tcPr>
          <w:p w:rsidR="00A54065" w:rsidRDefault="00157F9F">
            <w:pPr>
              <w:jc w:val="right"/>
            </w:pPr>
            <w:r>
              <w:rPr>
                <w:color w:val="000000"/>
                <w:sz w:val="24"/>
                <w:szCs w:val="24"/>
              </w:rPr>
              <w:t>9.85</w:t>
            </w:r>
          </w:p>
        </w:tc>
      </w:tr>
      <w:tr w:rsidR="00A54065">
        <w:trPr>
          <w:jc w:val="center"/>
        </w:trPr>
        <w:tc>
          <w:tcPr>
            <w:tcW w:w="855" w:type="dxa"/>
            <w:vAlign w:val="center"/>
          </w:tcPr>
          <w:p w:rsidR="00A54065" w:rsidRDefault="00157F9F">
            <w:pPr>
              <w:jc w:val="center"/>
            </w:pPr>
            <w:r>
              <w:rPr>
                <w:color w:val="000000"/>
                <w:sz w:val="24"/>
                <w:szCs w:val="24"/>
              </w:rPr>
              <w:t>2</w:t>
            </w:r>
          </w:p>
        </w:tc>
        <w:tc>
          <w:tcPr>
            <w:tcW w:w="1334" w:type="dxa"/>
            <w:vAlign w:val="center"/>
          </w:tcPr>
          <w:p w:rsidR="00A54065" w:rsidRDefault="00157F9F">
            <w:pPr>
              <w:jc w:val="center"/>
            </w:pPr>
            <w:r>
              <w:rPr>
                <w:color w:val="000000"/>
                <w:sz w:val="24"/>
                <w:szCs w:val="24"/>
              </w:rPr>
              <w:t>300015</w:t>
            </w:r>
          </w:p>
        </w:tc>
        <w:tc>
          <w:tcPr>
            <w:tcW w:w="1777" w:type="dxa"/>
            <w:vAlign w:val="center"/>
          </w:tcPr>
          <w:p w:rsidR="00A54065" w:rsidRDefault="00157F9F">
            <w:pPr>
              <w:jc w:val="center"/>
            </w:pPr>
            <w:r>
              <w:rPr>
                <w:color w:val="000000"/>
                <w:sz w:val="24"/>
                <w:szCs w:val="24"/>
              </w:rPr>
              <w:t>爱尔眼科</w:t>
            </w:r>
          </w:p>
        </w:tc>
        <w:tc>
          <w:tcPr>
            <w:tcW w:w="1334" w:type="dxa"/>
            <w:vAlign w:val="center"/>
          </w:tcPr>
          <w:p w:rsidR="00A54065" w:rsidRDefault="00157F9F">
            <w:pPr>
              <w:jc w:val="right"/>
            </w:pPr>
            <w:r>
              <w:rPr>
                <w:color w:val="000000"/>
                <w:sz w:val="24"/>
                <w:szCs w:val="24"/>
              </w:rPr>
              <w:t>2,815,825</w:t>
            </w:r>
          </w:p>
        </w:tc>
        <w:tc>
          <w:tcPr>
            <w:tcW w:w="1924" w:type="dxa"/>
            <w:vAlign w:val="center"/>
          </w:tcPr>
          <w:p w:rsidR="00A54065" w:rsidRDefault="00157F9F">
            <w:pPr>
              <w:jc w:val="right"/>
            </w:pPr>
            <w:r>
              <w:rPr>
                <w:color w:val="000000"/>
                <w:sz w:val="24"/>
                <w:szCs w:val="24"/>
              </w:rPr>
              <w:t>210,877,134.25</w:t>
            </w:r>
          </w:p>
        </w:tc>
        <w:tc>
          <w:tcPr>
            <w:tcW w:w="1644" w:type="dxa"/>
            <w:vAlign w:val="center"/>
          </w:tcPr>
          <w:p w:rsidR="00A54065" w:rsidRDefault="00157F9F">
            <w:pPr>
              <w:jc w:val="right"/>
            </w:pPr>
            <w:r>
              <w:rPr>
                <w:color w:val="000000"/>
                <w:sz w:val="24"/>
                <w:szCs w:val="24"/>
              </w:rPr>
              <w:t>8.32</w:t>
            </w:r>
          </w:p>
        </w:tc>
      </w:tr>
      <w:tr w:rsidR="00A54065">
        <w:trPr>
          <w:jc w:val="center"/>
        </w:trPr>
        <w:tc>
          <w:tcPr>
            <w:tcW w:w="855" w:type="dxa"/>
            <w:vAlign w:val="center"/>
          </w:tcPr>
          <w:p w:rsidR="00A54065" w:rsidRDefault="00157F9F">
            <w:pPr>
              <w:jc w:val="center"/>
            </w:pPr>
            <w:r>
              <w:rPr>
                <w:color w:val="000000"/>
                <w:sz w:val="24"/>
                <w:szCs w:val="24"/>
              </w:rPr>
              <w:t>3</w:t>
            </w:r>
          </w:p>
        </w:tc>
        <w:tc>
          <w:tcPr>
            <w:tcW w:w="1334" w:type="dxa"/>
            <w:vAlign w:val="center"/>
          </w:tcPr>
          <w:p w:rsidR="00A54065" w:rsidRDefault="00157F9F">
            <w:pPr>
              <w:jc w:val="center"/>
            </w:pPr>
            <w:r>
              <w:rPr>
                <w:color w:val="000000"/>
                <w:sz w:val="24"/>
                <w:szCs w:val="24"/>
              </w:rPr>
              <w:t>300760</w:t>
            </w:r>
          </w:p>
        </w:tc>
        <w:tc>
          <w:tcPr>
            <w:tcW w:w="1777" w:type="dxa"/>
            <w:vAlign w:val="center"/>
          </w:tcPr>
          <w:p w:rsidR="00A54065" w:rsidRDefault="00157F9F">
            <w:pPr>
              <w:jc w:val="center"/>
            </w:pPr>
            <w:r>
              <w:rPr>
                <w:color w:val="000000"/>
                <w:sz w:val="24"/>
                <w:szCs w:val="24"/>
              </w:rPr>
              <w:t>迈瑞医疗</w:t>
            </w:r>
          </w:p>
        </w:tc>
        <w:tc>
          <w:tcPr>
            <w:tcW w:w="1334" w:type="dxa"/>
            <w:vAlign w:val="center"/>
          </w:tcPr>
          <w:p w:rsidR="00A54065" w:rsidRDefault="00157F9F">
            <w:pPr>
              <w:jc w:val="right"/>
            </w:pPr>
            <w:r>
              <w:rPr>
                <w:color w:val="000000"/>
                <w:sz w:val="24"/>
                <w:szCs w:val="24"/>
              </w:rPr>
              <w:t>456,348</w:t>
            </w:r>
          </w:p>
        </w:tc>
        <w:tc>
          <w:tcPr>
            <w:tcW w:w="1924" w:type="dxa"/>
            <w:vAlign w:val="center"/>
          </w:tcPr>
          <w:p w:rsidR="00A54065" w:rsidRDefault="00157F9F">
            <w:pPr>
              <w:jc w:val="right"/>
            </w:pPr>
            <w:r>
              <w:rPr>
                <w:color w:val="000000"/>
                <w:sz w:val="24"/>
                <w:szCs w:val="24"/>
              </w:rPr>
              <w:t>194,404,248.00</w:t>
            </w:r>
          </w:p>
        </w:tc>
        <w:tc>
          <w:tcPr>
            <w:tcW w:w="1644" w:type="dxa"/>
            <w:vAlign w:val="center"/>
          </w:tcPr>
          <w:p w:rsidR="00A54065" w:rsidRDefault="00157F9F">
            <w:pPr>
              <w:jc w:val="right"/>
            </w:pPr>
            <w:r>
              <w:rPr>
                <w:color w:val="000000"/>
                <w:sz w:val="24"/>
                <w:szCs w:val="24"/>
              </w:rPr>
              <w:t>7.67</w:t>
            </w:r>
          </w:p>
        </w:tc>
      </w:tr>
      <w:tr w:rsidR="00A54065">
        <w:trPr>
          <w:jc w:val="center"/>
        </w:trPr>
        <w:tc>
          <w:tcPr>
            <w:tcW w:w="855" w:type="dxa"/>
            <w:vAlign w:val="center"/>
          </w:tcPr>
          <w:p w:rsidR="00A54065" w:rsidRDefault="00157F9F">
            <w:pPr>
              <w:jc w:val="center"/>
            </w:pPr>
            <w:r>
              <w:rPr>
                <w:color w:val="000000"/>
                <w:sz w:val="24"/>
                <w:szCs w:val="24"/>
              </w:rPr>
              <w:t>4</w:t>
            </w:r>
          </w:p>
        </w:tc>
        <w:tc>
          <w:tcPr>
            <w:tcW w:w="1334" w:type="dxa"/>
            <w:vAlign w:val="center"/>
          </w:tcPr>
          <w:p w:rsidR="00A54065" w:rsidRDefault="00157F9F">
            <w:pPr>
              <w:jc w:val="center"/>
            </w:pPr>
            <w:r>
              <w:rPr>
                <w:color w:val="000000"/>
                <w:sz w:val="24"/>
                <w:szCs w:val="24"/>
              </w:rPr>
              <w:t>600276</w:t>
            </w:r>
          </w:p>
        </w:tc>
        <w:tc>
          <w:tcPr>
            <w:tcW w:w="1777" w:type="dxa"/>
            <w:vAlign w:val="center"/>
          </w:tcPr>
          <w:p w:rsidR="00A54065" w:rsidRDefault="00157F9F">
            <w:pPr>
              <w:jc w:val="center"/>
            </w:pPr>
            <w:r>
              <w:rPr>
                <w:color w:val="000000"/>
                <w:sz w:val="24"/>
                <w:szCs w:val="24"/>
              </w:rPr>
              <w:t>恒瑞医药</w:t>
            </w:r>
          </w:p>
        </w:tc>
        <w:tc>
          <w:tcPr>
            <w:tcW w:w="1334" w:type="dxa"/>
            <w:vAlign w:val="center"/>
          </w:tcPr>
          <w:p w:rsidR="00A54065" w:rsidRDefault="00157F9F">
            <w:pPr>
              <w:jc w:val="right"/>
            </w:pPr>
            <w:r>
              <w:rPr>
                <w:color w:val="000000"/>
                <w:sz w:val="24"/>
                <w:szCs w:val="24"/>
              </w:rPr>
              <w:t>1,678,108</w:t>
            </w:r>
          </w:p>
        </w:tc>
        <w:tc>
          <w:tcPr>
            <w:tcW w:w="1924" w:type="dxa"/>
            <w:vAlign w:val="center"/>
          </w:tcPr>
          <w:p w:rsidR="00A54065" w:rsidRDefault="00157F9F">
            <w:pPr>
              <w:jc w:val="right"/>
            </w:pPr>
            <w:r>
              <w:rPr>
                <w:color w:val="000000"/>
                <w:sz w:val="24"/>
                <w:szCs w:val="24"/>
              </w:rPr>
              <w:t>187,041,917.68</w:t>
            </w:r>
          </w:p>
        </w:tc>
        <w:tc>
          <w:tcPr>
            <w:tcW w:w="1644" w:type="dxa"/>
            <w:vAlign w:val="center"/>
          </w:tcPr>
          <w:p w:rsidR="00A54065" w:rsidRDefault="00157F9F">
            <w:pPr>
              <w:jc w:val="right"/>
            </w:pPr>
            <w:r>
              <w:rPr>
                <w:color w:val="000000"/>
                <w:sz w:val="24"/>
                <w:szCs w:val="24"/>
              </w:rPr>
              <w:t>7.38</w:t>
            </w:r>
          </w:p>
        </w:tc>
      </w:tr>
      <w:tr w:rsidR="00A54065">
        <w:trPr>
          <w:jc w:val="center"/>
        </w:trPr>
        <w:tc>
          <w:tcPr>
            <w:tcW w:w="855" w:type="dxa"/>
            <w:vAlign w:val="center"/>
          </w:tcPr>
          <w:p w:rsidR="00A54065" w:rsidRDefault="00157F9F">
            <w:pPr>
              <w:jc w:val="center"/>
            </w:pPr>
            <w:r>
              <w:rPr>
                <w:color w:val="000000"/>
                <w:sz w:val="24"/>
                <w:szCs w:val="24"/>
              </w:rPr>
              <w:t>5</w:t>
            </w:r>
          </w:p>
        </w:tc>
        <w:tc>
          <w:tcPr>
            <w:tcW w:w="1334" w:type="dxa"/>
            <w:vAlign w:val="center"/>
          </w:tcPr>
          <w:p w:rsidR="00A54065" w:rsidRDefault="00157F9F">
            <w:pPr>
              <w:jc w:val="center"/>
            </w:pPr>
            <w:r>
              <w:rPr>
                <w:color w:val="000000"/>
                <w:sz w:val="24"/>
                <w:szCs w:val="24"/>
              </w:rPr>
              <w:t>300347</w:t>
            </w:r>
          </w:p>
        </w:tc>
        <w:tc>
          <w:tcPr>
            <w:tcW w:w="1777" w:type="dxa"/>
            <w:vAlign w:val="center"/>
          </w:tcPr>
          <w:p w:rsidR="00A54065" w:rsidRDefault="00157F9F">
            <w:pPr>
              <w:jc w:val="center"/>
            </w:pPr>
            <w:r>
              <w:rPr>
                <w:color w:val="000000"/>
                <w:sz w:val="24"/>
                <w:szCs w:val="24"/>
              </w:rPr>
              <w:t>泰格医药</w:t>
            </w:r>
          </w:p>
        </w:tc>
        <w:tc>
          <w:tcPr>
            <w:tcW w:w="1334" w:type="dxa"/>
            <w:vAlign w:val="center"/>
          </w:tcPr>
          <w:p w:rsidR="00A54065" w:rsidRDefault="00157F9F">
            <w:pPr>
              <w:jc w:val="right"/>
            </w:pPr>
            <w:r>
              <w:rPr>
                <w:color w:val="000000"/>
                <w:sz w:val="24"/>
                <w:szCs w:val="24"/>
              </w:rPr>
              <w:t>907,324</w:t>
            </w:r>
          </w:p>
        </w:tc>
        <w:tc>
          <w:tcPr>
            <w:tcW w:w="1924" w:type="dxa"/>
            <w:vAlign w:val="center"/>
          </w:tcPr>
          <w:p w:rsidR="00A54065" w:rsidRDefault="00157F9F">
            <w:pPr>
              <w:jc w:val="right"/>
            </w:pPr>
            <w:r>
              <w:rPr>
                <w:color w:val="000000"/>
                <w:sz w:val="24"/>
                <w:szCs w:val="24"/>
              </w:rPr>
              <w:t>146,632,631.64</w:t>
            </w:r>
          </w:p>
        </w:tc>
        <w:tc>
          <w:tcPr>
            <w:tcW w:w="1644" w:type="dxa"/>
            <w:vAlign w:val="center"/>
          </w:tcPr>
          <w:p w:rsidR="00A54065" w:rsidRDefault="00157F9F">
            <w:pPr>
              <w:jc w:val="right"/>
            </w:pPr>
            <w:r>
              <w:rPr>
                <w:color w:val="000000"/>
                <w:sz w:val="24"/>
                <w:szCs w:val="24"/>
              </w:rPr>
              <w:t>5.78</w:t>
            </w:r>
          </w:p>
        </w:tc>
      </w:tr>
      <w:tr w:rsidR="00A54065">
        <w:trPr>
          <w:jc w:val="center"/>
        </w:trPr>
        <w:tc>
          <w:tcPr>
            <w:tcW w:w="855" w:type="dxa"/>
            <w:vAlign w:val="center"/>
          </w:tcPr>
          <w:p w:rsidR="00A54065" w:rsidRDefault="00157F9F">
            <w:pPr>
              <w:jc w:val="center"/>
            </w:pPr>
            <w:r>
              <w:rPr>
                <w:color w:val="000000"/>
                <w:sz w:val="24"/>
                <w:szCs w:val="24"/>
              </w:rPr>
              <w:t>6</w:t>
            </w:r>
          </w:p>
        </w:tc>
        <w:tc>
          <w:tcPr>
            <w:tcW w:w="1334" w:type="dxa"/>
            <w:vAlign w:val="center"/>
          </w:tcPr>
          <w:p w:rsidR="00A54065" w:rsidRDefault="00157F9F">
            <w:pPr>
              <w:jc w:val="center"/>
            </w:pPr>
            <w:r>
              <w:rPr>
                <w:color w:val="000000"/>
                <w:sz w:val="24"/>
                <w:szCs w:val="24"/>
              </w:rPr>
              <w:t>600763</w:t>
            </w:r>
          </w:p>
        </w:tc>
        <w:tc>
          <w:tcPr>
            <w:tcW w:w="1777" w:type="dxa"/>
            <w:vAlign w:val="center"/>
          </w:tcPr>
          <w:p w:rsidR="00A54065" w:rsidRDefault="00157F9F">
            <w:pPr>
              <w:jc w:val="center"/>
            </w:pPr>
            <w:r>
              <w:rPr>
                <w:color w:val="000000"/>
                <w:sz w:val="24"/>
                <w:szCs w:val="24"/>
              </w:rPr>
              <w:t>通策医疗</w:t>
            </w:r>
          </w:p>
        </w:tc>
        <w:tc>
          <w:tcPr>
            <w:tcW w:w="1334" w:type="dxa"/>
            <w:vAlign w:val="center"/>
          </w:tcPr>
          <w:p w:rsidR="00A54065" w:rsidRDefault="00157F9F">
            <w:pPr>
              <w:jc w:val="right"/>
            </w:pPr>
            <w:r>
              <w:rPr>
                <w:color w:val="000000"/>
                <w:sz w:val="24"/>
                <w:szCs w:val="24"/>
              </w:rPr>
              <w:t>436,768</w:t>
            </w:r>
          </w:p>
        </w:tc>
        <w:tc>
          <w:tcPr>
            <w:tcW w:w="1924" w:type="dxa"/>
            <w:vAlign w:val="center"/>
          </w:tcPr>
          <w:p w:rsidR="00A54065" w:rsidRDefault="00157F9F">
            <w:pPr>
              <w:jc w:val="right"/>
            </w:pPr>
            <w:r>
              <w:rPr>
                <w:color w:val="000000"/>
                <w:sz w:val="24"/>
                <w:szCs w:val="24"/>
              </w:rPr>
              <w:t>120,775,087.36</w:t>
            </w:r>
          </w:p>
        </w:tc>
        <w:tc>
          <w:tcPr>
            <w:tcW w:w="1644" w:type="dxa"/>
            <w:vAlign w:val="center"/>
          </w:tcPr>
          <w:p w:rsidR="00A54065" w:rsidRDefault="00157F9F">
            <w:pPr>
              <w:jc w:val="right"/>
            </w:pPr>
            <w:r>
              <w:rPr>
                <w:color w:val="000000"/>
                <w:sz w:val="24"/>
                <w:szCs w:val="24"/>
              </w:rPr>
              <w:t>4.76</w:t>
            </w:r>
          </w:p>
        </w:tc>
      </w:tr>
      <w:tr w:rsidR="00A54065">
        <w:trPr>
          <w:jc w:val="center"/>
        </w:trPr>
        <w:tc>
          <w:tcPr>
            <w:tcW w:w="855" w:type="dxa"/>
            <w:vAlign w:val="center"/>
          </w:tcPr>
          <w:p w:rsidR="00A54065" w:rsidRDefault="00157F9F">
            <w:pPr>
              <w:jc w:val="center"/>
            </w:pPr>
            <w:r>
              <w:rPr>
                <w:color w:val="000000"/>
                <w:sz w:val="24"/>
                <w:szCs w:val="24"/>
              </w:rPr>
              <w:t>7</w:t>
            </w:r>
          </w:p>
        </w:tc>
        <w:tc>
          <w:tcPr>
            <w:tcW w:w="1334" w:type="dxa"/>
            <w:vAlign w:val="center"/>
          </w:tcPr>
          <w:p w:rsidR="00A54065" w:rsidRDefault="00157F9F">
            <w:pPr>
              <w:jc w:val="center"/>
            </w:pPr>
            <w:r>
              <w:rPr>
                <w:color w:val="000000"/>
                <w:sz w:val="24"/>
                <w:szCs w:val="24"/>
              </w:rPr>
              <w:t>300759</w:t>
            </w:r>
          </w:p>
        </w:tc>
        <w:tc>
          <w:tcPr>
            <w:tcW w:w="1777" w:type="dxa"/>
            <w:vAlign w:val="center"/>
          </w:tcPr>
          <w:p w:rsidR="00A54065" w:rsidRDefault="00157F9F">
            <w:pPr>
              <w:jc w:val="center"/>
            </w:pPr>
            <w:r>
              <w:rPr>
                <w:color w:val="000000"/>
                <w:sz w:val="24"/>
                <w:szCs w:val="24"/>
              </w:rPr>
              <w:t>康龙化成</w:t>
            </w:r>
          </w:p>
        </w:tc>
        <w:tc>
          <w:tcPr>
            <w:tcW w:w="1334" w:type="dxa"/>
            <w:vAlign w:val="center"/>
          </w:tcPr>
          <w:p w:rsidR="00A54065" w:rsidRDefault="00157F9F">
            <w:pPr>
              <w:jc w:val="right"/>
            </w:pPr>
            <w:r>
              <w:rPr>
                <w:color w:val="000000"/>
                <w:sz w:val="24"/>
                <w:szCs w:val="24"/>
              </w:rPr>
              <w:t>839,900</w:t>
            </w:r>
          </w:p>
        </w:tc>
        <w:tc>
          <w:tcPr>
            <w:tcW w:w="1924" w:type="dxa"/>
            <w:vAlign w:val="center"/>
          </w:tcPr>
          <w:p w:rsidR="00A54065" w:rsidRDefault="00157F9F">
            <w:pPr>
              <w:jc w:val="right"/>
            </w:pPr>
            <w:r>
              <w:rPr>
                <w:color w:val="000000"/>
                <w:sz w:val="24"/>
                <w:szCs w:val="24"/>
              </w:rPr>
              <w:t>101,123,960.00</w:t>
            </w:r>
          </w:p>
        </w:tc>
        <w:tc>
          <w:tcPr>
            <w:tcW w:w="1644" w:type="dxa"/>
            <w:vAlign w:val="center"/>
          </w:tcPr>
          <w:p w:rsidR="00A54065" w:rsidRDefault="00157F9F">
            <w:pPr>
              <w:jc w:val="right"/>
            </w:pPr>
            <w:r>
              <w:rPr>
                <w:color w:val="000000"/>
                <w:sz w:val="24"/>
                <w:szCs w:val="24"/>
              </w:rPr>
              <w:t>3.99</w:t>
            </w:r>
          </w:p>
        </w:tc>
      </w:tr>
      <w:tr w:rsidR="00A54065">
        <w:trPr>
          <w:jc w:val="center"/>
        </w:trPr>
        <w:tc>
          <w:tcPr>
            <w:tcW w:w="855" w:type="dxa"/>
            <w:vAlign w:val="center"/>
          </w:tcPr>
          <w:p w:rsidR="00A54065" w:rsidRDefault="00157F9F">
            <w:pPr>
              <w:jc w:val="center"/>
            </w:pPr>
            <w:r>
              <w:rPr>
                <w:color w:val="000000"/>
                <w:sz w:val="24"/>
                <w:szCs w:val="24"/>
              </w:rPr>
              <w:t>8</w:t>
            </w:r>
          </w:p>
        </w:tc>
        <w:tc>
          <w:tcPr>
            <w:tcW w:w="1334" w:type="dxa"/>
            <w:vAlign w:val="center"/>
          </w:tcPr>
          <w:p w:rsidR="00A54065" w:rsidRDefault="00157F9F">
            <w:pPr>
              <w:jc w:val="center"/>
            </w:pPr>
            <w:r>
              <w:rPr>
                <w:color w:val="000000"/>
                <w:sz w:val="24"/>
                <w:szCs w:val="24"/>
              </w:rPr>
              <w:t>002821</w:t>
            </w:r>
          </w:p>
        </w:tc>
        <w:tc>
          <w:tcPr>
            <w:tcW w:w="1777" w:type="dxa"/>
            <w:vAlign w:val="center"/>
          </w:tcPr>
          <w:p w:rsidR="00A54065" w:rsidRDefault="00157F9F">
            <w:pPr>
              <w:jc w:val="center"/>
            </w:pPr>
            <w:r>
              <w:rPr>
                <w:color w:val="000000"/>
                <w:sz w:val="24"/>
                <w:szCs w:val="24"/>
              </w:rPr>
              <w:t>凯莱英</w:t>
            </w:r>
          </w:p>
        </w:tc>
        <w:tc>
          <w:tcPr>
            <w:tcW w:w="1334" w:type="dxa"/>
            <w:vAlign w:val="center"/>
          </w:tcPr>
          <w:p w:rsidR="00A54065" w:rsidRDefault="00157F9F">
            <w:pPr>
              <w:jc w:val="right"/>
            </w:pPr>
            <w:r>
              <w:rPr>
                <w:color w:val="000000"/>
                <w:sz w:val="24"/>
                <w:szCs w:val="24"/>
              </w:rPr>
              <w:t>316,096</w:t>
            </w:r>
          </w:p>
        </w:tc>
        <w:tc>
          <w:tcPr>
            <w:tcW w:w="1924" w:type="dxa"/>
            <w:vAlign w:val="center"/>
          </w:tcPr>
          <w:p w:rsidR="00A54065" w:rsidRDefault="00157F9F">
            <w:pPr>
              <w:jc w:val="right"/>
            </w:pPr>
            <w:r>
              <w:rPr>
                <w:color w:val="000000"/>
                <w:sz w:val="24"/>
                <w:szCs w:val="24"/>
              </w:rPr>
              <w:t>92,327,357.44</w:t>
            </w:r>
          </w:p>
        </w:tc>
        <w:tc>
          <w:tcPr>
            <w:tcW w:w="1644" w:type="dxa"/>
            <w:vAlign w:val="center"/>
          </w:tcPr>
          <w:p w:rsidR="00A54065" w:rsidRDefault="00157F9F">
            <w:pPr>
              <w:jc w:val="right"/>
            </w:pPr>
            <w:r>
              <w:rPr>
                <w:color w:val="000000"/>
                <w:sz w:val="24"/>
                <w:szCs w:val="24"/>
              </w:rPr>
              <w:t>3.64</w:t>
            </w:r>
          </w:p>
        </w:tc>
      </w:tr>
      <w:tr w:rsidR="00A54065">
        <w:trPr>
          <w:jc w:val="center"/>
        </w:trPr>
        <w:tc>
          <w:tcPr>
            <w:tcW w:w="855" w:type="dxa"/>
            <w:vAlign w:val="center"/>
          </w:tcPr>
          <w:p w:rsidR="00A54065" w:rsidRDefault="00157F9F">
            <w:pPr>
              <w:jc w:val="center"/>
            </w:pPr>
            <w:r>
              <w:rPr>
                <w:color w:val="000000"/>
                <w:sz w:val="24"/>
                <w:szCs w:val="24"/>
              </w:rPr>
              <w:t>9</w:t>
            </w:r>
          </w:p>
        </w:tc>
        <w:tc>
          <w:tcPr>
            <w:tcW w:w="1334" w:type="dxa"/>
            <w:vAlign w:val="center"/>
          </w:tcPr>
          <w:p w:rsidR="00A54065" w:rsidRDefault="00157F9F">
            <w:pPr>
              <w:jc w:val="center"/>
            </w:pPr>
            <w:r>
              <w:rPr>
                <w:color w:val="000000"/>
                <w:sz w:val="24"/>
                <w:szCs w:val="24"/>
              </w:rPr>
              <w:t>603882</w:t>
            </w:r>
          </w:p>
        </w:tc>
        <w:tc>
          <w:tcPr>
            <w:tcW w:w="1777" w:type="dxa"/>
            <w:vAlign w:val="center"/>
          </w:tcPr>
          <w:p w:rsidR="00A54065" w:rsidRDefault="00157F9F">
            <w:pPr>
              <w:jc w:val="center"/>
            </w:pPr>
            <w:r>
              <w:rPr>
                <w:color w:val="000000"/>
                <w:sz w:val="24"/>
                <w:szCs w:val="24"/>
              </w:rPr>
              <w:t>金域医学</w:t>
            </w:r>
          </w:p>
        </w:tc>
        <w:tc>
          <w:tcPr>
            <w:tcW w:w="1334" w:type="dxa"/>
            <w:vAlign w:val="center"/>
          </w:tcPr>
          <w:p w:rsidR="00A54065" w:rsidRDefault="00157F9F">
            <w:pPr>
              <w:jc w:val="right"/>
            </w:pPr>
            <w:r>
              <w:rPr>
                <w:color w:val="000000"/>
                <w:sz w:val="24"/>
                <w:szCs w:val="24"/>
              </w:rPr>
              <w:t>677,716</w:t>
            </w:r>
          </w:p>
        </w:tc>
        <w:tc>
          <w:tcPr>
            <w:tcW w:w="1924" w:type="dxa"/>
            <w:vAlign w:val="center"/>
          </w:tcPr>
          <w:p w:rsidR="00A54065" w:rsidRDefault="00157F9F">
            <w:pPr>
              <w:jc w:val="right"/>
            </w:pPr>
            <w:r>
              <w:rPr>
                <w:color w:val="000000"/>
                <w:sz w:val="24"/>
                <w:szCs w:val="24"/>
              </w:rPr>
              <w:t>86,828,973.92</w:t>
            </w:r>
          </w:p>
        </w:tc>
        <w:tc>
          <w:tcPr>
            <w:tcW w:w="1644" w:type="dxa"/>
            <w:vAlign w:val="center"/>
          </w:tcPr>
          <w:p w:rsidR="00A54065" w:rsidRDefault="00157F9F">
            <w:pPr>
              <w:jc w:val="right"/>
            </w:pPr>
            <w:r>
              <w:rPr>
                <w:color w:val="000000"/>
                <w:sz w:val="24"/>
                <w:szCs w:val="24"/>
              </w:rPr>
              <w:t>3.42</w:t>
            </w:r>
          </w:p>
        </w:tc>
      </w:tr>
      <w:tr w:rsidR="00A54065">
        <w:trPr>
          <w:jc w:val="center"/>
        </w:trPr>
        <w:tc>
          <w:tcPr>
            <w:tcW w:w="855" w:type="dxa"/>
            <w:vAlign w:val="center"/>
          </w:tcPr>
          <w:p w:rsidR="00A54065" w:rsidRDefault="00157F9F">
            <w:pPr>
              <w:jc w:val="center"/>
            </w:pPr>
            <w:r>
              <w:rPr>
                <w:color w:val="000000"/>
                <w:sz w:val="24"/>
                <w:szCs w:val="24"/>
              </w:rPr>
              <w:t>10</w:t>
            </w:r>
          </w:p>
        </w:tc>
        <w:tc>
          <w:tcPr>
            <w:tcW w:w="1334" w:type="dxa"/>
            <w:vAlign w:val="center"/>
          </w:tcPr>
          <w:p w:rsidR="00A54065" w:rsidRDefault="00157F9F">
            <w:pPr>
              <w:jc w:val="center"/>
            </w:pPr>
            <w:r>
              <w:rPr>
                <w:color w:val="000000"/>
                <w:sz w:val="24"/>
                <w:szCs w:val="24"/>
              </w:rPr>
              <w:t>600529</w:t>
            </w:r>
          </w:p>
        </w:tc>
        <w:tc>
          <w:tcPr>
            <w:tcW w:w="1777" w:type="dxa"/>
            <w:vAlign w:val="center"/>
          </w:tcPr>
          <w:p w:rsidR="00A54065" w:rsidRDefault="00157F9F">
            <w:pPr>
              <w:jc w:val="center"/>
            </w:pPr>
            <w:r>
              <w:rPr>
                <w:color w:val="000000"/>
                <w:sz w:val="24"/>
                <w:szCs w:val="24"/>
              </w:rPr>
              <w:t>山东药玻</w:t>
            </w:r>
          </w:p>
        </w:tc>
        <w:tc>
          <w:tcPr>
            <w:tcW w:w="1334" w:type="dxa"/>
            <w:vAlign w:val="center"/>
          </w:tcPr>
          <w:p w:rsidR="00A54065" w:rsidRDefault="00157F9F">
            <w:pPr>
              <w:jc w:val="right"/>
            </w:pPr>
            <w:r>
              <w:rPr>
                <w:color w:val="000000"/>
                <w:sz w:val="24"/>
                <w:szCs w:val="24"/>
              </w:rPr>
              <w:t>1,454,697</w:t>
            </w:r>
          </w:p>
        </w:tc>
        <w:tc>
          <w:tcPr>
            <w:tcW w:w="1924" w:type="dxa"/>
            <w:vAlign w:val="center"/>
          </w:tcPr>
          <w:p w:rsidR="00A54065" w:rsidRDefault="00157F9F">
            <w:pPr>
              <w:jc w:val="right"/>
            </w:pPr>
            <w:r>
              <w:rPr>
                <w:color w:val="000000"/>
                <w:sz w:val="24"/>
                <w:szCs w:val="24"/>
              </w:rPr>
              <w:t>72,953,054.55</w:t>
            </w:r>
          </w:p>
        </w:tc>
        <w:tc>
          <w:tcPr>
            <w:tcW w:w="1644" w:type="dxa"/>
            <w:vAlign w:val="center"/>
          </w:tcPr>
          <w:p w:rsidR="00A54065" w:rsidRDefault="00157F9F">
            <w:pPr>
              <w:jc w:val="right"/>
            </w:pPr>
            <w:r>
              <w:rPr>
                <w:color w:val="000000"/>
                <w:sz w:val="24"/>
                <w:szCs w:val="24"/>
              </w:rPr>
              <w:t>2.88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706,300.00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0.03</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706,300.00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A54065">
        <w:trPr>
          <w:jc w:val="center"/>
        </w:trPr>
        <w:tc>
          <w:tcPr>
            <w:tcW w:w="850" w:type="dxa"/>
            <w:vAlign w:val="center"/>
          </w:tcPr>
          <w:p w:rsidR="00A54065" w:rsidRDefault="00157F9F">
            <w:pPr>
              <w:jc w:val="center"/>
            </w:pPr>
            <w:r>
              <w:rPr>
                <w:color w:val="000000"/>
                <w:sz w:val="24"/>
                <w:szCs w:val="24"/>
              </w:rPr>
              <w:t>1</w:t>
            </w:r>
          </w:p>
        </w:tc>
        <w:tc>
          <w:tcPr>
            <w:tcW w:w="1475" w:type="dxa"/>
            <w:vAlign w:val="center"/>
          </w:tcPr>
          <w:p w:rsidR="00A54065" w:rsidRDefault="00157F9F">
            <w:pPr>
              <w:jc w:val="center"/>
            </w:pPr>
            <w:r>
              <w:rPr>
                <w:color w:val="000000"/>
                <w:sz w:val="24"/>
                <w:szCs w:val="24"/>
              </w:rPr>
              <w:t>123090</w:t>
            </w:r>
          </w:p>
        </w:tc>
        <w:tc>
          <w:tcPr>
            <w:tcW w:w="1769" w:type="dxa"/>
            <w:vAlign w:val="center"/>
          </w:tcPr>
          <w:p w:rsidR="00A54065" w:rsidRDefault="00157F9F">
            <w:pPr>
              <w:jc w:val="center"/>
            </w:pPr>
            <w:r>
              <w:rPr>
                <w:color w:val="000000"/>
                <w:sz w:val="24"/>
                <w:szCs w:val="24"/>
              </w:rPr>
              <w:t>三诺转债</w:t>
            </w:r>
          </w:p>
        </w:tc>
        <w:tc>
          <w:tcPr>
            <w:tcW w:w="1387" w:type="dxa"/>
            <w:vAlign w:val="center"/>
          </w:tcPr>
          <w:p w:rsidR="00A54065" w:rsidRDefault="00157F9F">
            <w:pPr>
              <w:jc w:val="right"/>
            </w:pPr>
            <w:r>
              <w:rPr>
                <w:color w:val="000000"/>
                <w:sz w:val="24"/>
                <w:szCs w:val="24"/>
              </w:rPr>
              <w:t>7,063</w:t>
            </w:r>
          </w:p>
        </w:tc>
        <w:tc>
          <w:tcPr>
            <w:tcW w:w="2150" w:type="dxa"/>
            <w:vAlign w:val="center"/>
          </w:tcPr>
          <w:p w:rsidR="00A54065" w:rsidRDefault="00157F9F">
            <w:pPr>
              <w:jc w:val="right"/>
            </w:pPr>
            <w:r>
              <w:rPr>
                <w:color w:val="000000"/>
                <w:sz w:val="24"/>
                <w:szCs w:val="24"/>
              </w:rPr>
              <w:t>706,300.00</w:t>
            </w:r>
          </w:p>
        </w:tc>
        <w:tc>
          <w:tcPr>
            <w:tcW w:w="1237" w:type="dxa"/>
            <w:vAlign w:val="center"/>
          </w:tcPr>
          <w:p w:rsidR="00A54065" w:rsidRDefault="00157F9F">
            <w:pPr>
              <w:jc w:val="right"/>
            </w:pPr>
            <w:r>
              <w:rPr>
                <w:color w:val="000000"/>
                <w:sz w:val="24"/>
                <w:szCs w:val="24"/>
              </w:rPr>
              <w:t>0.03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503,199.50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28,190,625.23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38,642.64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15,398,770.17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44,131,237.54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066A97" w:rsidRPr="00414345" w:rsidRDefault="00066A97" w:rsidP="00066A97">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5F1F22"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A54065">
        <w:trPr>
          <w:jc w:val="center"/>
        </w:trPr>
        <w:tc>
          <w:tcPr>
            <w:tcW w:w="1129" w:type="dxa"/>
            <w:vAlign w:val="center"/>
          </w:tcPr>
          <w:p w:rsidR="00A54065" w:rsidRDefault="00157F9F">
            <w:pPr>
              <w:jc w:val="center"/>
            </w:pPr>
            <w:r>
              <w:rPr>
                <w:color w:val="000000"/>
                <w:sz w:val="24"/>
                <w:szCs w:val="24"/>
              </w:rPr>
              <w:t>1</w:t>
            </w:r>
          </w:p>
        </w:tc>
        <w:tc>
          <w:tcPr>
            <w:tcW w:w="1356" w:type="dxa"/>
            <w:vAlign w:val="center"/>
          </w:tcPr>
          <w:p w:rsidR="00A54065" w:rsidRDefault="00157F9F">
            <w:pPr>
              <w:jc w:val="center"/>
            </w:pPr>
            <w:r>
              <w:rPr>
                <w:color w:val="000000"/>
                <w:sz w:val="24"/>
                <w:szCs w:val="24"/>
              </w:rPr>
              <w:t>002821</w:t>
            </w:r>
          </w:p>
        </w:tc>
        <w:tc>
          <w:tcPr>
            <w:tcW w:w="1355" w:type="dxa"/>
            <w:vAlign w:val="center"/>
          </w:tcPr>
          <w:p w:rsidR="00A54065" w:rsidRDefault="00157F9F">
            <w:pPr>
              <w:jc w:val="center"/>
            </w:pPr>
            <w:r>
              <w:rPr>
                <w:color w:val="000000"/>
                <w:sz w:val="24"/>
                <w:szCs w:val="24"/>
              </w:rPr>
              <w:t>凯莱英</w:t>
            </w:r>
          </w:p>
        </w:tc>
        <w:tc>
          <w:tcPr>
            <w:tcW w:w="1880" w:type="dxa"/>
            <w:vAlign w:val="center"/>
          </w:tcPr>
          <w:p w:rsidR="00A54065" w:rsidRDefault="00157F9F">
            <w:pPr>
              <w:jc w:val="right"/>
            </w:pPr>
            <w:r>
              <w:rPr>
                <w:color w:val="000000"/>
                <w:sz w:val="24"/>
                <w:szCs w:val="24"/>
              </w:rPr>
              <w:t>33,667,200.00</w:t>
            </w:r>
          </w:p>
        </w:tc>
        <w:tc>
          <w:tcPr>
            <w:tcW w:w="1724" w:type="dxa"/>
            <w:vAlign w:val="center"/>
          </w:tcPr>
          <w:p w:rsidR="00A54065" w:rsidRDefault="00157F9F">
            <w:pPr>
              <w:jc w:val="right"/>
            </w:pPr>
            <w:r>
              <w:rPr>
                <w:color w:val="000000"/>
                <w:sz w:val="24"/>
                <w:szCs w:val="24"/>
              </w:rPr>
              <w:t>1.33</w:t>
            </w:r>
          </w:p>
        </w:tc>
        <w:tc>
          <w:tcPr>
            <w:tcW w:w="1424" w:type="dxa"/>
            <w:vAlign w:val="center"/>
          </w:tcPr>
          <w:p w:rsidR="00A54065" w:rsidRDefault="00157F9F">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847,675,588.49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272,869,191.24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387,047,650.66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733,497,129.07</w:t>
            </w:r>
          </w:p>
        </w:tc>
      </w:tr>
    </w:tbl>
    <w:p w:rsidR="00A54065" w:rsidRDefault="00157F9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8.1 影响投资者决策的其他重要信息</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A54065" w:rsidRDefault="00157F9F">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、中国证监会准予交银施罗德医药创新股票型证券投资基金募集注册的文件；</w:t>
      </w:r>
      <w:r>
        <w:rPr>
          <w:color w:val="000000"/>
          <w:sz w:val="24"/>
          <w:szCs w:val="24"/>
        </w:rPr>
        <w:t xml:space="preserve"> </w:t>
      </w:r>
    </w:p>
    <w:p w:rsidR="00A54065" w:rsidRDefault="00157F9F">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、《交银施罗德医药创新股票型证券投资基金基金合同》；</w:t>
      </w:r>
      <w:r>
        <w:rPr>
          <w:color w:val="000000"/>
          <w:sz w:val="24"/>
          <w:szCs w:val="24"/>
        </w:rPr>
        <w:t xml:space="preserve"> </w:t>
      </w:r>
    </w:p>
    <w:p w:rsidR="00A54065" w:rsidRDefault="00157F9F">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、《交银施罗德医药创新股票型证券投资基金招募说明书》；</w:t>
      </w:r>
      <w:r>
        <w:rPr>
          <w:color w:val="000000"/>
          <w:sz w:val="24"/>
          <w:szCs w:val="24"/>
        </w:rPr>
        <w:t xml:space="preserve"> </w:t>
      </w:r>
    </w:p>
    <w:p w:rsidR="00A54065" w:rsidRDefault="00157F9F">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、《交银施罗德医药创新股票型证券投资基金托管协议》；</w:t>
      </w:r>
      <w:r>
        <w:rPr>
          <w:color w:val="000000"/>
          <w:sz w:val="24"/>
          <w:szCs w:val="24"/>
        </w:rPr>
        <w:t xml:space="preserve"> </w:t>
      </w:r>
    </w:p>
    <w:p w:rsidR="00A54065" w:rsidRDefault="00157F9F">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、关于申请募集注册交银施罗德医药创新股票型证券投资基金的法律意见书；</w:t>
      </w:r>
      <w:r>
        <w:rPr>
          <w:color w:val="000000"/>
          <w:sz w:val="24"/>
          <w:szCs w:val="24"/>
        </w:rPr>
        <w:t xml:space="preserve"> </w:t>
      </w:r>
    </w:p>
    <w:p w:rsidR="00A54065" w:rsidRDefault="00157F9F">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A54065" w:rsidRDefault="00157F9F">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、报告期内交银施罗德医药创新股票型证券投资基金在指定报刊上各项公告的原稿。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A54065" w:rsidRDefault="00157F9F">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57F9F">
      <w:rPr>
        <w:noProof/>
        <w:kern w:val="0"/>
        <w:szCs w:val="21"/>
      </w:rPr>
      <w:t>3</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157F9F">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AA1" w:rsidRDefault="00C11AA1" w:rsidP="00876D65">
      <w:r>
        <w:separator/>
      </w:r>
    </w:p>
  </w:footnote>
  <w:footnote w:type="continuationSeparator" w:id="0">
    <w:p w:rsidR="00C11AA1" w:rsidRDefault="00C11AA1"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交银施罗德医药创新股票型证券投资基金</w:t>
    </w:r>
    <w:r w:rsidRPr="003E676C">
      <w:rPr>
        <w:sz w:val="24"/>
        <w:szCs w:val="24"/>
      </w:rPr>
      <w:t>2020</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57F9F"/>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065"/>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28E6B-5605-46D1-8232-666A442C6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1829</TotalTime>
  <Pages>12</Pages>
  <Words>1035</Words>
  <Characters>5904</Characters>
  <Application>Microsoft Office Word</Application>
  <DocSecurity>0</DocSecurity>
  <Lines>49</Lines>
  <Paragraphs>13</Paragraphs>
  <ScaleCrop>false</ScaleCrop>
  <Company/>
  <LinksUpToDate>false</LinksUpToDate>
  <CharactersWithSpaces>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陈吉卿</cp:lastModifiedBy>
  <cp:revision>601</cp:revision>
  <dcterms:created xsi:type="dcterms:W3CDTF">2012-10-16T06:07:00Z</dcterms:created>
  <dcterms:modified xsi:type="dcterms:W3CDTF">2021-01-14T02:09:00Z</dcterms:modified>
</cp:coreProperties>
</file>