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2012年12月19日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4,571,650,193.78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交银纯债债券发起C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519718</w:t>
            </w:r>
            <w:r w:rsidRPr="007F52FA">
              <w:rPr>
                <w:color w:themeColor="text1" w:val="000000"/>
                <w:sz w:val="24"/>
              </w:rPr>
              <w:t>（前端）、</w:t>
            </w:r>
            <w:r w:rsidRPr="007F52FA">
              <w:rPr>
                <w:color w:themeColor="text1" w:val="000000"/>
                <w:sz w:val="24"/>
              </w:rPr>
              <w:t>519719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519720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4,341,577,681.54</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230,072,512.24</w:t>
            </w:r>
            <w:r w:rsidRPr="007F52FA">
              <w:rPr>
                <w:color w:val="000000"/>
                <w:kern w:val="0"/>
                <w:sz w:val="24"/>
              </w:rPr>
              <w:t>份</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注：1、本基金A类基金份额采用前端收费模式，B类基金份额采用后端收费模式，前端交易代码即为A类基金份额交易代码，后端交易代码即为B类基金份额交易代码。</w:t>
      </w:r>
    </w:p>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2、本基金为发起式基金。</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(2020年10月1日-2020年12月31日)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交银纯债债券发起A/B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交银纯债债券发起C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28,596,641.48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1,276,174.25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9,923,933.41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-968,376.16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0.0023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-0.0037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4,637,575,665.53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246,204,881.27</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1.0682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1.0701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交银纯债债券发起A/B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0.24%</w:t>
            </w:r>
          </w:p>
        </w:tc>
        <w:tc>
          <w:tcPr>
            <w:vAlign w:val="center"/>
          </w:tcPr>
          <w:p>
            <w:pPr>
              <w:jc w:val="center"/>
            </w:pPr>
            <w:r>
              <w:rPr>
                <w:color w:val="000000"/>
                <w:sz w:val="24"/>
              </w:rPr>
              <w:t>0.06%</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-0.40%</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0.40%</w:t>
            </w:r>
          </w:p>
        </w:tc>
        <w:tc>
          <w:tcPr>
            <w:vAlign w:val="center"/>
          </w:tcPr>
          <w:p>
            <w:pPr>
              <w:jc w:val="center"/>
            </w:pPr>
            <w:r>
              <w:rPr>
                <w:color w:val="000000"/>
                <w:sz w:val="24"/>
              </w:rPr>
              <w:t>0.08%</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1.25%</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2.83%</w:t>
            </w:r>
          </w:p>
        </w:tc>
        <w:tc>
          <w:tcPr>
            <w:vAlign w:val="center"/>
          </w:tcPr>
          <w:p>
            <w:pPr>
              <w:jc w:val="center"/>
            </w:pPr>
            <w:r>
              <w:rPr>
                <w:color w:val="000000"/>
                <w:sz w:val="24"/>
              </w:rPr>
              <w:t>0.09%</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2.90%</w:t>
            </w:r>
          </w:p>
        </w:tc>
        <w:tc>
          <w:tcPr>
            <w:vAlign w:val="center"/>
          </w:tcPr>
          <w:p>
            <w:pPr>
              <w:jc w:val="center"/>
            </w:pPr>
            <w:r>
              <w:rPr>
                <w:color w:val="000000"/>
                <w:sz w:val="24"/>
              </w:rPr>
              <w:t>0.00%</w:t>
            </w:r>
          </w:p>
        </w:tc>
      </w:tr>
      <w:tr>
        <w:tc>
          <w:tcPr>
            <w:vAlign w:val="center"/>
          </w:tcPr>
          <w:p>
            <w:pPr>
              <w:jc w:val="left"/>
            </w:pPr>
            <w:r>
              <w:rPr>
                <w:color w:val="000000"/>
                <w:sz w:val="24"/>
              </w:rPr>
              <w:t>过去三年</w:t>
            </w:r>
          </w:p>
        </w:tc>
        <w:tc>
          <w:tcPr>
            <w:vAlign w:val="center"/>
          </w:tcPr>
          <w:p>
            <w:pPr>
              <w:jc w:val="center"/>
            </w:pPr>
            <w:r>
              <w:rPr>
                <w:color w:val="000000"/>
                <w:sz w:val="24"/>
              </w:rPr>
              <w:t>17.69%</w:t>
            </w:r>
          </w:p>
        </w:tc>
        <w:tc>
          <w:tcPr>
            <w:vAlign w:val="center"/>
          </w:tcPr>
          <w:p>
            <w:pPr>
              <w:jc w:val="center"/>
            </w:pPr>
            <w:r>
              <w:rPr>
                <w:color w:val="000000"/>
                <w:sz w:val="24"/>
              </w:rPr>
              <w:t>0.08%</w:t>
            </w:r>
          </w:p>
        </w:tc>
        <w:tc>
          <w:tcPr>
            <w:vAlign w:val="center"/>
          </w:tcPr>
          <w:p>
            <w:pPr>
              <w:jc w:val="center"/>
            </w:pPr>
            <w:r>
              <w:rPr>
                <w:color w:val="000000"/>
                <w:sz w:val="24"/>
              </w:rPr>
              <w:t>6.09%</w:t>
            </w:r>
          </w:p>
        </w:tc>
        <w:tc>
          <w:tcPr>
            <w:vAlign w:val="center"/>
          </w:tcPr>
          <w:p>
            <w:pPr>
              <w:jc w:val="center"/>
            </w:pPr>
            <w:r>
              <w:rPr>
                <w:color w:val="000000"/>
                <w:sz w:val="24"/>
              </w:rPr>
              <w:t>0.07%</w:t>
            </w:r>
          </w:p>
        </w:tc>
        <w:tc>
          <w:tcPr>
            <w:vAlign w:val="center"/>
          </w:tcPr>
          <w:p>
            <w:pPr>
              <w:jc w:val="center"/>
            </w:pPr>
            <w:r>
              <w:rPr>
                <w:color w:val="000000"/>
                <w:sz w:val="24"/>
              </w:rPr>
              <w:t>11.60%</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14.13%</w:t>
            </w:r>
          </w:p>
        </w:tc>
        <w:tc>
          <w:tcPr>
            <w:vAlign w:val="center"/>
          </w:tcPr>
          <w:p>
            <w:pPr>
              <w:jc w:val="center"/>
            </w:pPr>
            <w:r>
              <w:rPr>
                <w:color w:val="000000"/>
                <w:sz w:val="24"/>
              </w:rPr>
              <w:t>0.08%</w:t>
            </w:r>
          </w:p>
        </w:tc>
        <w:tc>
          <w:tcPr>
            <w:vAlign w:val="center"/>
          </w:tcPr>
          <w:p>
            <w:pPr>
              <w:jc w:val="center"/>
            </w:pPr>
            <w:r>
              <w:rPr>
                <w:color w:val="000000"/>
                <w:sz w:val="24"/>
              </w:rPr>
              <w:t>0.83%</w:t>
            </w:r>
          </w:p>
        </w:tc>
        <w:tc>
          <w:tcPr>
            <w:vAlign w:val="center"/>
          </w:tcPr>
          <w:p>
            <w:pPr>
              <w:jc w:val="center"/>
            </w:pPr>
            <w:r>
              <w:rPr>
                <w:color w:val="000000"/>
                <w:sz w:val="24"/>
              </w:rPr>
              <w:t>0.08%</w:t>
            </w:r>
          </w:p>
        </w:tc>
        <w:tc>
          <w:tcPr>
            <w:vAlign w:val="center"/>
          </w:tcPr>
          <w:p>
            <w:pPr>
              <w:jc w:val="center"/>
            </w:pPr>
            <w:r>
              <w:rPr>
                <w:color w:val="000000"/>
                <w:sz w:val="24"/>
              </w:rPr>
              <w:t>13.30%</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38.73%</w:t>
            </w:r>
          </w:p>
        </w:tc>
        <w:tc>
          <w:tcPr>
            <w:vAlign w:val="center"/>
          </w:tcPr>
          <w:p>
            <w:pPr>
              <w:jc w:val="center"/>
            </w:pPr>
            <w:r>
              <w:rPr>
                <w:color w:val="000000"/>
                <w:sz w:val="24"/>
              </w:rPr>
              <w:t>0.10%</w:t>
            </w:r>
          </w:p>
        </w:tc>
        <w:tc>
          <w:tcPr>
            <w:vAlign w:val="center"/>
          </w:tcPr>
          <w:p>
            <w:pPr>
              <w:jc w:val="center"/>
            </w:pPr>
            <w:r>
              <w:rPr>
                <w:color w:val="000000"/>
                <w:sz w:val="24"/>
              </w:rPr>
              <w:t>7.77%</w:t>
            </w:r>
          </w:p>
        </w:tc>
        <w:tc>
          <w:tcPr>
            <w:vAlign w:val="center"/>
          </w:tcPr>
          <w:p>
            <w:pPr>
              <w:jc w:val="center"/>
            </w:pPr>
            <w:r>
              <w:rPr>
                <w:color w:val="000000"/>
                <w:sz w:val="24"/>
              </w:rPr>
              <w:t>0.08%</w:t>
            </w:r>
          </w:p>
        </w:tc>
        <w:tc>
          <w:tcPr>
            <w:vAlign w:val="center"/>
          </w:tcPr>
          <w:p>
            <w:pPr>
              <w:jc w:val="center"/>
            </w:pPr>
            <w:r>
              <w:rPr>
                <w:color w:val="000000"/>
                <w:sz w:val="24"/>
              </w:rPr>
              <w:t>30.96%</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交银纯债债券发起C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0.17%</w:t>
            </w:r>
          </w:p>
        </w:tc>
        <w:tc>
          <w:tcPr>
            <w:vAlign w:val="center"/>
          </w:tcPr>
          <w:p>
            <w:pPr>
              <w:jc w:val="center"/>
            </w:pPr>
            <w:r>
              <w:rPr>
                <w:color w:val="000000"/>
                <w:sz w:val="24"/>
              </w:rPr>
              <w:t>0.06%</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-0.47%</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0.20%</w:t>
            </w:r>
          </w:p>
        </w:tc>
        <w:tc>
          <w:tcPr>
            <w:vAlign w:val="center"/>
          </w:tcPr>
          <w:p>
            <w:pPr>
              <w:jc w:val="center"/>
            </w:pPr>
            <w:r>
              <w:rPr>
                <w:color w:val="000000"/>
                <w:sz w:val="24"/>
              </w:rPr>
              <w:t>0.07%</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1.05%</w:t>
            </w:r>
          </w:p>
        </w:tc>
        <w:tc>
          <w:tcPr>
            <w:vAlign w:val="center"/>
          </w:tcPr>
          <w:p>
            <w:pPr>
              <w:jc w:val="center"/>
            </w:pPr>
            <w:r>
              <w:rPr>
                <w:color w:val="000000"/>
                <w:sz w:val="24"/>
              </w:rPr>
              <w:t>0.00%</w:t>
            </w:r>
          </w:p>
        </w:tc>
      </w:tr>
      <w:tr>
        <w:tc>
          <w:tcPr>
            <w:vAlign w:val="center"/>
          </w:tcPr>
          <w:p>
            <w:pPr>
              <w:jc w:val="left"/>
            </w:pPr>
            <w:r>
              <w:rPr>
                <w:color w:val="000000"/>
                <w:sz w:val="24"/>
              </w:rPr>
              <w:t>过去一年</w:t>
            </w:r>
          </w:p>
        </w:tc>
        <w:tc>
          <w:tcPr>
            <w:vAlign w:val="center"/>
          </w:tcPr>
          <w:p>
            <w:pPr>
              <w:jc w:val="center"/>
            </w:pPr>
            <w:r>
              <w:rPr>
                <w:color w:val="000000"/>
                <w:sz w:val="24"/>
              </w:rPr>
              <w:t>2.46%</w:t>
            </w:r>
          </w:p>
        </w:tc>
        <w:tc>
          <w:tcPr>
            <w:vAlign w:val="center"/>
          </w:tcPr>
          <w:p>
            <w:pPr>
              <w:jc w:val="center"/>
            </w:pPr>
            <w:r>
              <w:rPr>
                <w:color w:val="000000"/>
                <w:sz w:val="24"/>
              </w:rPr>
              <w:t>0.09%</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2.53%</w:t>
            </w:r>
          </w:p>
        </w:tc>
        <w:tc>
          <w:tcPr>
            <w:vAlign w:val="center"/>
          </w:tcPr>
          <w:p>
            <w:pPr>
              <w:jc w:val="center"/>
            </w:pPr>
            <w:r>
              <w:rPr>
                <w:color w:val="000000"/>
                <w:sz w:val="24"/>
              </w:rPr>
              <w:t>0.00%</w:t>
            </w:r>
          </w:p>
        </w:tc>
      </w:tr>
      <w:tr>
        <w:tc>
          <w:tcPr>
            <w:vAlign w:val="center"/>
          </w:tcPr>
          <w:p>
            <w:pPr>
              <w:jc w:val="left"/>
            </w:pPr>
            <w:r>
              <w:rPr>
                <w:color w:val="000000"/>
                <w:sz w:val="24"/>
              </w:rPr>
              <w:t>过去三年</w:t>
            </w:r>
          </w:p>
        </w:tc>
        <w:tc>
          <w:tcPr>
            <w:vAlign w:val="center"/>
          </w:tcPr>
          <w:p>
            <w:pPr>
              <w:jc w:val="center"/>
            </w:pPr>
            <w:r>
              <w:rPr>
                <w:color w:val="000000"/>
                <w:sz w:val="24"/>
              </w:rPr>
              <w:t>16.40%</w:t>
            </w:r>
          </w:p>
        </w:tc>
        <w:tc>
          <w:tcPr>
            <w:vAlign w:val="center"/>
          </w:tcPr>
          <w:p>
            <w:pPr>
              <w:jc w:val="center"/>
            </w:pPr>
            <w:r>
              <w:rPr>
                <w:color w:val="000000"/>
                <w:sz w:val="24"/>
              </w:rPr>
              <w:t>0.08%</w:t>
            </w:r>
          </w:p>
        </w:tc>
        <w:tc>
          <w:tcPr>
            <w:vAlign w:val="center"/>
          </w:tcPr>
          <w:p>
            <w:pPr>
              <w:jc w:val="center"/>
            </w:pPr>
            <w:r>
              <w:rPr>
                <w:color w:val="000000"/>
                <w:sz w:val="24"/>
              </w:rPr>
              <w:t>6.09%</w:t>
            </w:r>
          </w:p>
        </w:tc>
        <w:tc>
          <w:tcPr>
            <w:vAlign w:val="center"/>
          </w:tcPr>
          <w:p>
            <w:pPr>
              <w:jc w:val="center"/>
            </w:pPr>
            <w:r>
              <w:rPr>
                <w:color w:val="000000"/>
                <w:sz w:val="24"/>
              </w:rPr>
              <w:t>0.07%</w:t>
            </w:r>
          </w:p>
        </w:tc>
        <w:tc>
          <w:tcPr>
            <w:vAlign w:val="center"/>
          </w:tcPr>
          <w:p>
            <w:pPr>
              <w:jc w:val="center"/>
            </w:pPr>
            <w:r>
              <w:rPr>
                <w:color w:val="000000"/>
                <w:sz w:val="24"/>
              </w:rPr>
              <w:t>10.31%</w:t>
            </w:r>
          </w:p>
        </w:tc>
        <w:tc>
          <w:tcPr>
            <w:vAlign w:val="center"/>
          </w:tcPr>
          <w:p>
            <w:pPr>
              <w:jc w:val="center"/>
            </w:pPr>
            <w:r>
              <w:rPr>
                <w:color w:val="000000"/>
                <w:sz w:val="24"/>
              </w:rPr>
              <w:t>0.01%</w:t>
            </w:r>
          </w:p>
        </w:tc>
      </w:tr>
      <w:tr>
        <w:tc>
          <w:tcPr>
            <w:vAlign w:val="center"/>
          </w:tcPr>
          <w:p>
            <w:pPr>
              <w:jc w:val="left"/>
            </w:pPr>
            <w:r>
              <w:rPr>
                <w:color w:val="000000"/>
                <w:sz w:val="24"/>
              </w:rPr>
              <w:t>过去五年</w:t>
            </w:r>
          </w:p>
        </w:tc>
        <w:tc>
          <w:tcPr>
            <w:vAlign w:val="center"/>
          </w:tcPr>
          <w:p>
            <w:pPr>
              <w:jc w:val="center"/>
            </w:pPr>
            <w:r>
              <w:rPr>
                <w:color w:val="000000"/>
                <w:sz w:val="24"/>
              </w:rPr>
              <w:t>11.89%</w:t>
            </w:r>
          </w:p>
        </w:tc>
        <w:tc>
          <w:tcPr>
            <w:vAlign w:val="center"/>
          </w:tcPr>
          <w:p>
            <w:pPr>
              <w:jc w:val="center"/>
            </w:pPr>
            <w:r>
              <w:rPr>
                <w:color w:val="000000"/>
                <w:sz w:val="24"/>
              </w:rPr>
              <w:t>0.09%</w:t>
            </w:r>
          </w:p>
        </w:tc>
        <w:tc>
          <w:tcPr>
            <w:vAlign w:val="center"/>
          </w:tcPr>
          <w:p>
            <w:pPr>
              <w:jc w:val="center"/>
            </w:pPr>
            <w:r>
              <w:rPr>
                <w:color w:val="000000"/>
                <w:sz w:val="24"/>
              </w:rPr>
              <w:t>0.83%</w:t>
            </w:r>
          </w:p>
        </w:tc>
        <w:tc>
          <w:tcPr>
            <w:vAlign w:val="center"/>
          </w:tcPr>
          <w:p>
            <w:pPr>
              <w:jc w:val="center"/>
            </w:pPr>
            <w:r>
              <w:rPr>
                <w:color w:val="000000"/>
                <w:sz w:val="24"/>
              </w:rPr>
              <w:t>0.08%</w:t>
            </w:r>
          </w:p>
        </w:tc>
        <w:tc>
          <w:tcPr>
            <w:vAlign w:val="center"/>
          </w:tcPr>
          <w:p>
            <w:pPr>
              <w:jc w:val="center"/>
            </w:pPr>
            <w:r>
              <w:rPr>
                <w:color w:val="000000"/>
                <w:sz w:val="24"/>
              </w:rPr>
              <w:t>11.06%</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33.68%</w:t>
            </w:r>
          </w:p>
        </w:tc>
        <w:tc>
          <w:tcPr>
            <w:vAlign w:val="center"/>
          </w:tcPr>
          <w:p>
            <w:pPr>
              <w:jc w:val="center"/>
            </w:pPr>
            <w:r>
              <w:rPr>
                <w:color w:val="000000"/>
                <w:sz w:val="24"/>
              </w:rPr>
              <w:t>0.10%</w:t>
            </w:r>
          </w:p>
        </w:tc>
        <w:tc>
          <w:tcPr>
            <w:vAlign w:val="center"/>
          </w:tcPr>
          <w:p>
            <w:pPr>
              <w:jc w:val="center"/>
            </w:pPr>
            <w:r>
              <w:rPr>
                <w:color w:val="000000"/>
                <w:sz w:val="24"/>
              </w:rPr>
              <w:t>7.77%</w:t>
            </w:r>
          </w:p>
        </w:tc>
        <w:tc>
          <w:tcPr>
            <w:vAlign w:val="center"/>
          </w:tcPr>
          <w:p>
            <w:pPr>
              <w:jc w:val="center"/>
            </w:pPr>
            <w:r>
              <w:rPr>
                <w:color w:val="000000"/>
                <w:sz w:val="24"/>
              </w:rPr>
              <w:t>0.08%</w:t>
            </w:r>
          </w:p>
        </w:tc>
        <w:tc>
          <w:tcPr>
            <w:vAlign w:val="center"/>
          </w:tcPr>
          <w:p>
            <w:pPr>
              <w:jc w:val="center"/>
            </w:pPr>
            <w:r>
              <w:rPr>
                <w:color w:val="000000"/>
                <w:sz w:val="24"/>
              </w:rPr>
              <w:t>25.91%</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交银施罗德纯债债券型发起式证券投资基金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2012年12月19日</w:t>
      </w:r>
      <w:r w:rsidR="009A045B" w:rsidRPr="007F52FA">
        <w:rPr>
          <w:rFonts w:ascii="Times New Roman" w:hAnsi="Times New Roman"/>
          <w:sz w:val="24"/>
          <w:szCs w:val="24"/>
        </w:rPr>
        <w:t>至</w:t>
      </w:r>
      <w:r w:rsidRPr="007F52FA">
        <w:rPr>
          <w:rFonts w:ascii="Times New Roman" w:hAnsi="Times New Roman"/>
          <w:sz w:val="24"/>
          <w:szCs w:val="24"/>
        </w:rPr>
        <w:t>2020年12月31日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交银纯债债券发起C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2016年12月29日至2020年8月21日担任交银施罗德丰盈收益债券型证券投资基金的基金经理。2017年6月10日至2020年8月21日担任交银施罗德增利债券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2018年8月29日至2020年10月16日担任交银施罗德丰晟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回顾2020年四季度，债券市场先跌后涨，先是受到资金面边际收紧和信用事件影响收益率冲高至年内高点，此后在央行维稳流动性、债市供需改善后出现阶段性交易行情，债市收益率整体震荡，期限利差明显走扩。具体来看，本季度初，国庆假期消费数据超预期改善、人民币汇率大幅上涨，市场风险偏好明显上行，叠加债券供给量依然较大，债市延续弱势调整。季度中期，部分违约事件引发弱资质信用债遭受抛售，信用利差明显走扩，利率债受到流动性压力收益率也跟随上行。进入季度末，随着金稳会定调和央行超预期投放MLF，市场担忧情绪逐步缓解，资金利率回落至年内低点，在流动性宽松带动下债市出现一波阶段性交易行情，收益率曲线陡峭化下行。</w:t>
      </w:r>
    </w:p>
    <w:p>
      <w:pPr>
        <w:spacing w:before="29" w:line="288" w:lineRule="auto"/>
        <w:ind w:firstLine="480" w:firstLineChars="200"/>
        <w:rPr>
          <w:color w:val="000000"/>
          <w:sz w:val="24"/>
        </w:rPr>
      </w:pPr>
      <w:r>
        <w:rPr>
          <w:color w:val="000000"/>
          <w:sz w:val="24"/>
        </w:rPr>
        <w:t>报告期内，组合以信用债为主要配置，基于对宏观经济和政策的判断，认为债券市场趋势性机会需要等待，组合控制久期，降低利率风险暴露，把握票息机会，通过精选信用个券和保持一定的杠杆操作，增强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2021年一季度，流动性环境和基本面趋势将成为影响债市的主要因素。短期来看，由于基数效应一季度经济增长同比增速较高，国内外疫苗推进下基本面仍延续改善趋势，跨年之后资金面或边际收敛但仍将保持合理充裕状态。目前尚未公布地方债提前发行计划，债市供需结构或将延续改善。总体来看，债市明显反弹之后性价比有所下降，趋势性机会仍需等待，预计一季度债市市场以震荡格局为主，关注两会前后由于经济数据和通胀压力引发债市小幅调整的可能。操作策略方面，组合将整体上控制久期，根据市场情况变化和曲线形态，适时进行组合个券调仓，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5,890,700,900.00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97.86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5,890,700,900.00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97.86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9,942,609.15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119,079,017.00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6,019,722,526.15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190,752,900.00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3.91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110,277,000.00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2.26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60,102,000.00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286,762,000.00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5.87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230,062,000.00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4.71</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5,072,847,000.00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103.87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5,890,700,900.00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120.62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019640</w:t>
            </w:r>
          </w:p>
        </w:tc>
        <w:tc>
          <w:tcPr>
            <w:vAlign w:val="center"/>
          </w:tcPr>
          <w:p>
            <w:pPr>
              <w:jc w:val="center"/>
            </w:pPr>
            <w:r>
              <w:rPr>
                <w:color w:val="000000"/>
                <w:sz w:val="24"/>
              </w:rPr>
              <w:t>20国债10</w:t>
            </w:r>
          </w:p>
        </w:tc>
        <w:tc>
          <w:tcPr>
            <w:vAlign w:val="center"/>
          </w:tcPr>
          <w:p>
            <w:pPr>
              <w:jc w:val="right"/>
            </w:pPr>
            <w:r>
              <w:rPr>
                <w:color w:val="000000"/>
                <w:sz w:val="24"/>
              </w:rPr>
              <w:t>1,900,000</w:t>
            </w:r>
          </w:p>
        </w:tc>
        <w:tc>
          <w:tcPr>
            <w:vAlign w:val="center"/>
          </w:tcPr>
          <w:p>
            <w:pPr>
              <w:jc w:val="right"/>
            </w:pPr>
            <w:r>
              <w:rPr>
                <w:color w:val="000000"/>
                <w:sz w:val="24"/>
              </w:rPr>
              <w:t>189,753,000.00</w:t>
            </w:r>
          </w:p>
        </w:tc>
        <w:tc>
          <w:tcPr>
            <w:vAlign w:val="center"/>
          </w:tcPr>
          <w:p>
            <w:pPr>
              <w:jc w:val="right"/>
            </w:pPr>
            <w:r>
              <w:rPr>
                <w:color w:val="000000"/>
                <w:sz w:val="24"/>
              </w:rPr>
              <w:t>3.89</w:t>
            </w:r>
          </w:p>
        </w:tc>
      </w:tr>
      <w:tr>
        <w:tc>
          <w:tcPr>
            <w:vAlign w:val="center"/>
          </w:tcPr>
          <w:p>
            <w:pPr>
              <w:jc w:val="center"/>
            </w:pPr>
            <w:r>
              <w:rPr>
                <w:color w:val="000000"/>
                <w:sz w:val="24"/>
              </w:rPr>
              <w:t>2</w:t>
            </w:r>
          </w:p>
        </w:tc>
        <w:tc>
          <w:tcPr>
            <w:vAlign w:val="center"/>
          </w:tcPr>
          <w:p>
            <w:pPr>
              <w:jc w:val="center"/>
            </w:pPr>
            <w:r>
              <w:rPr>
                <w:color w:val="000000"/>
                <w:sz w:val="24"/>
              </w:rPr>
              <w:t>1980207</w:t>
            </w:r>
          </w:p>
        </w:tc>
        <w:tc>
          <w:tcPr>
            <w:vAlign w:val="center"/>
          </w:tcPr>
          <w:p>
            <w:pPr>
              <w:jc w:val="center"/>
            </w:pPr>
            <w:r>
              <w:rPr>
                <w:color w:val="000000"/>
                <w:sz w:val="24"/>
              </w:rPr>
              <w:t>19宜昌高新债</w:t>
            </w:r>
          </w:p>
        </w:tc>
        <w:tc>
          <w:tcPr>
            <w:vAlign w:val="center"/>
          </w:tcPr>
          <w:p>
            <w:pPr>
              <w:jc w:val="right"/>
            </w:pPr>
            <w:r>
              <w:rPr>
                <w:color w:val="000000"/>
                <w:sz w:val="24"/>
              </w:rPr>
              <w:t>1,000,000</w:t>
            </w:r>
          </w:p>
        </w:tc>
        <w:tc>
          <w:tcPr>
            <w:vAlign w:val="center"/>
          </w:tcPr>
          <w:p>
            <w:pPr>
              <w:jc w:val="right"/>
            </w:pPr>
            <w:r>
              <w:rPr>
                <w:color w:val="000000"/>
                <w:sz w:val="24"/>
              </w:rPr>
              <w:t>103,080,000.00</w:t>
            </w:r>
          </w:p>
        </w:tc>
        <w:tc>
          <w:tcPr>
            <w:vAlign w:val="center"/>
          </w:tcPr>
          <w:p>
            <w:pPr>
              <w:jc w:val="right"/>
            </w:pPr>
            <w:r>
              <w:rPr>
                <w:color w:val="000000"/>
                <w:sz w:val="24"/>
              </w:rPr>
              <w:t>2.11</w:t>
            </w:r>
          </w:p>
        </w:tc>
      </w:tr>
      <w:tr>
        <w:tc>
          <w:tcPr>
            <w:vAlign w:val="center"/>
          </w:tcPr>
          <w:p>
            <w:pPr>
              <w:jc w:val="center"/>
            </w:pPr>
            <w:r>
              <w:rPr>
                <w:color w:val="000000"/>
                <w:sz w:val="24"/>
              </w:rPr>
              <w:t>3</w:t>
            </w:r>
          </w:p>
        </w:tc>
        <w:tc>
          <w:tcPr>
            <w:vAlign w:val="center"/>
          </w:tcPr>
          <w:p>
            <w:pPr>
              <w:jc w:val="center"/>
            </w:pPr>
            <w:r>
              <w:rPr>
                <w:color w:val="000000"/>
                <w:sz w:val="24"/>
              </w:rPr>
              <w:t>101900336</w:t>
            </w:r>
          </w:p>
        </w:tc>
        <w:tc>
          <w:tcPr>
            <w:vAlign w:val="center"/>
          </w:tcPr>
          <w:p>
            <w:pPr>
              <w:jc w:val="center"/>
            </w:pPr>
            <w:r>
              <w:rPr>
                <w:color w:val="000000"/>
                <w:sz w:val="24"/>
              </w:rPr>
              <w:t>19南京浦口MTN001</w:t>
            </w:r>
          </w:p>
        </w:tc>
        <w:tc>
          <w:tcPr>
            <w:vAlign w:val="center"/>
          </w:tcPr>
          <w:p>
            <w:pPr>
              <w:jc w:val="right"/>
            </w:pPr>
            <w:r>
              <w:rPr>
                <w:color w:val="000000"/>
                <w:sz w:val="24"/>
              </w:rPr>
              <w:t>1,000,000</w:t>
            </w:r>
          </w:p>
        </w:tc>
        <w:tc>
          <w:tcPr>
            <w:vAlign w:val="center"/>
          </w:tcPr>
          <w:p>
            <w:pPr>
              <w:jc w:val="right"/>
            </w:pPr>
            <w:r>
              <w:rPr>
                <w:color w:val="000000"/>
                <w:sz w:val="24"/>
              </w:rPr>
              <w:t>101,080,000.00</w:t>
            </w:r>
          </w:p>
        </w:tc>
        <w:tc>
          <w:tcPr>
            <w:vAlign w:val="center"/>
          </w:tcPr>
          <w:p>
            <w:pPr>
              <w:jc w:val="right"/>
            </w:pPr>
            <w:r>
              <w:rPr>
                <w:color w:val="000000"/>
                <w:sz w:val="24"/>
              </w:rPr>
              <w:t>2.07</w:t>
            </w:r>
          </w:p>
        </w:tc>
      </w:tr>
      <w:tr>
        <w:tc>
          <w:tcPr>
            <w:vAlign w:val="center"/>
          </w:tcPr>
          <w:p>
            <w:pPr>
              <w:jc w:val="center"/>
            </w:pPr>
            <w:r>
              <w:rPr>
                <w:color w:val="000000"/>
                <w:sz w:val="24"/>
              </w:rPr>
              <w:t>4</w:t>
            </w:r>
          </w:p>
        </w:tc>
        <w:tc>
          <w:tcPr>
            <w:vAlign w:val="center"/>
          </w:tcPr>
          <w:p>
            <w:pPr>
              <w:jc w:val="center"/>
            </w:pPr>
            <w:r>
              <w:rPr>
                <w:color w:val="000000"/>
                <w:sz w:val="24"/>
              </w:rPr>
              <w:t>101900216</w:t>
            </w:r>
          </w:p>
        </w:tc>
        <w:tc>
          <w:tcPr>
            <w:vAlign w:val="center"/>
          </w:tcPr>
          <w:p>
            <w:pPr>
              <w:jc w:val="center"/>
            </w:pPr>
            <w:r>
              <w:rPr>
                <w:color w:val="000000"/>
                <w:sz w:val="24"/>
              </w:rPr>
              <w:t>19南浦口MTN001</w:t>
            </w:r>
          </w:p>
        </w:tc>
        <w:tc>
          <w:tcPr>
            <w:vAlign w:val="center"/>
          </w:tcPr>
          <w:p>
            <w:pPr>
              <w:jc w:val="right"/>
            </w:pPr>
            <w:r>
              <w:rPr>
                <w:color w:val="000000"/>
                <w:sz w:val="24"/>
              </w:rPr>
              <w:t>900,000</w:t>
            </w:r>
          </w:p>
        </w:tc>
        <w:tc>
          <w:tcPr>
            <w:vAlign w:val="center"/>
          </w:tcPr>
          <w:p>
            <w:pPr>
              <w:jc w:val="right"/>
            </w:pPr>
            <w:r>
              <w:rPr>
                <w:color w:val="000000"/>
                <w:sz w:val="24"/>
              </w:rPr>
              <w:t>91,539,000.00</w:t>
            </w:r>
          </w:p>
        </w:tc>
        <w:tc>
          <w:tcPr>
            <w:vAlign w:val="center"/>
          </w:tcPr>
          <w:p>
            <w:pPr>
              <w:jc w:val="right"/>
            </w:pPr>
            <w:r>
              <w:rPr>
                <w:color w:val="000000"/>
                <w:sz w:val="24"/>
              </w:rPr>
              <w:t>1.87</w:t>
            </w:r>
          </w:p>
        </w:tc>
      </w:tr>
      <w:tr>
        <w:tc>
          <w:tcPr>
            <w:vAlign w:val="center"/>
          </w:tcPr>
          <w:p>
            <w:pPr>
              <w:jc w:val="center"/>
            </w:pPr>
            <w:r>
              <w:rPr>
                <w:color w:val="000000"/>
                <w:sz w:val="24"/>
              </w:rPr>
              <w:t>5</w:t>
            </w:r>
          </w:p>
        </w:tc>
        <w:tc>
          <w:tcPr>
            <w:vAlign w:val="center"/>
          </w:tcPr>
          <w:p>
            <w:pPr>
              <w:jc w:val="center"/>
            </w:pPr>
            <w:r>
              <w:rPr>
                <w:color w:val="000000"/>
                <w:sz w:val="24"/>
              </w:rPr>
              <w:t>101800690</w:t>
            </w:r>
          </w:p>
        </w:tc>
        <w:tc>
          <w:tcPr>
            <w:vAlign w:val="center"/>
          </w:tcPr>
          <w:p>
            <w:pPr>
              <w:jc w:val="center"/>
            </w:pPr>
            <w:r>
              <w:rPr>
                <w:color w:val="000000"/>
                <w:sz w:val="24"/>
              </w:rPr>
              <w:t>18江北新城MTN001</w:t>
            </w:r>
          </w:p>
        </w:tc>
        <w:tc>
          <w:tcPr>
            <w:vAlign w:val="center"/>
          </w:tcPr>
          <w:p>
            <w:pPr>
              <w:jc w:val="right"/>
            </w:pPr>
            <w:r>
              <w:rPr>
                <w:color w:val="000000"/>
                <w:sz w:val="24"/>
              </w:rPr>
              <w:t>800,000</w:t>
            </w:r>
          </w:p>
        </w:tc>
        <w:tc>
          <w:tcPr>
            <w:vAlign w:val="center"/>
          </w:tcPr>
          <w:p>
            <w:pPr>
              <w:jc w:val="right"/>
            </w:pPr>
            <w:r>
              <w:rPr>
                <w:color w:val="000000"/>
                <w:sz w:val="24"/>
              </w:rPr>
              <w:t>84,664,000.00</w:t>
            </w:r>
          </w:p>
        </w:tc>
        <w:tc>
          <w:tcPr>
            <w:vAlign w:val="center"/>
          </w:tcPr>
          <w:p>
            <w:pPr>
              <w:jc w:val="right"/>
            </w:pPr>
            <w:r>
              <w:rPr>
                <w:color w:val="000000"/>
                <w:sz w:val="24"/>
              </w:rPr>
              <w:t>1.73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65,920.94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112,674,404.40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6,338,691.66</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119,079,017.00</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交银纯债债券发起A/B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交银纯债债券发起C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4,263,825,298.06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184,232,465.45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1,012,863,917.25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400,274,512.83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935,111,533.77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354,434,466.04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4,341,577,681.54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230,072,512.24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B47574" w:rsidRDefault="006B046C" w:rsidRPr="007F52FA">
      <w:pPr>
        <w:pStyle w:val="1"/>
        <w:spacing w:after="312" w:afterLines="100" w:before="312" w:beforeLines="100" w:line="288" w:lineRule="auto"/>
        <w:jc w:val="center"/>
        <w:rPr>
          <w:rFonts w:eastAsiaTheme="minorEastAsia"/>
          <w:b w:val="0"/>
          <w:color w:val="000000"/>
          <w:sz w:val="24"/>
          <w:szCs w:val="24"/>
        </w:rPr>
      </w:pPr>
      <w:r w:rsidRPr="007F52FA">
        <w:rPr>
          <w:rFonts w:eastAsiaTheme="minorEastAsia"/>
          <w:color w:val="000000"/>
          <w:kern w:val="0"/>
          <w:sz w:val="24"/>
          <w:szCs w:val="24"/>
        </w:rPr>
        <w:t/>
      </w:r>
      <w:r w:rsidR="00B47574" w:rsidRPr="007F52FA">
        <w:rPr>
          <w:rFonts w:eastAsiaTheme="minorEastAsia"/>
          <w:color w:val="000000"/>
          <w:kern w:val="0"/>
          <w:sz w:val="24"/>
          <w:szCs w:val="24"/>
        </w:rPr>
        <w:t>§</w:t>
      </w:r>
      <w:r w:rsidR="00D66685" w:rsidRPr="007F52FA">
        <w:rPr>
          <w:rFonts w:eastAsiaTheme="minorEastAsia"/>
          <w:color w:val="000000"/>
          <w:kern w:val="0"/>
          <w:sz w:val="24"/>
          <w:szCs w:val="24"/>
        </w:rPr>
        <w:t/>
      </w:r>
      <w:r w:rsidR="00B47574"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00B47574" w:rsidRPr="007F52FA">
        <w:rPr>
          <w:rFonts w:eastAsiaTheme="minorEastAsia"/>
          <w:color w:val="000000"/>
          <w:kern w:val="0"/>
          <w:sz w:val="24"/>
          <w:szCs w:val="24"/>
        </w:rPr>
        <w:t>发起式基金发起资金持有份额情况</w:t>
      </w:r>
    </w:p>
    <w:p w:rsidP="007C14DF" w:rsidR="00B47574" w:rsidRDefault="00B4757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10,000,000.00元人民币（不含募集期利息结转的份额），作为本基金的发起资金。自本基金基金合同生效之日起，发起资金所认购的基金份额持有期限不低于三年。本基金管理人持有的发起份额已于2017年一季度全部赎回，相应份额的持有期限符合基金合同的约定。</w:t>
      </w:r>
    </w:p>
    <w:p w:rsidP="007C14DF" w:rsidR="00574FC7" w:rsidRDefault="00574FC7"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1、中国证监会批准交银施罗德纯债债券型发起式证券投资基金募集的文件；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2、《交银施罗德纯债债券型发起式证券投资基金基金合同》；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3、《交银施罗德纯债债券型发起式证券投资基金招募说明书》；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4、《交银施罗德纯债债券型发起式证券投资基金托管协议》；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5、关于募集交银施罗德纯债债券型发起式证券投资基金之法律意见书；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8、报告期内交银施罗德纯债债券型发起式证券投资基金在指定报刊上各项公告的原稿。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交银施罗德纯债债券型发起式证券投资基金2020年第4季度报告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