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交银施罗德趋势优先混合型证券投资基金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2020年第4季度报告</w:t>
      </w:r>
    </w:p>
    <w:p w:rsidP="00C15CAC" w:rsidR="004061AC" w:rsidRDefault="00655CD8" w:rsidRPr="0081286B">
      <w:pPr>
        <w:spacing w:before="29" w:line="288" w:lineRule="auto"/>
        <w:jc w:val="center"/>
        <w:rPr>
          <w:b/>
          <w:sz w:val="36"/>
          <w:szCs w:val="36"/>
        </w:rPr>
      </w:pPr>
      <w:r w:rsidRPr="0081286B">
        <w:rPr>
          <w:b/>
          <w:sz w:val="36"/>
          <w:szCs w:val="36"/>
        </w:rPr>
        <w:t>2020年12月31日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中国工商银行股份有限公司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二〇二一年一月二十一日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基金托管人中国工商银行股份有限公司根据本基金合同规定，于2021年1月20日复核了本报告中的财务指标、净值表现和投资组合报告等内容，保证复核内容不存在虚假记载、误导性陈述或者重大遗漏。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本报告期自2020年10月1日起至12月31日止。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交银趋势混合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2010年12月22日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648,509,061.31</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75%×沪深300指数收益率+25%×中证综合债券指数收益率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(2020年10月1日-2020年12月31日)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73,949,617.22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72,361,570.79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0.0913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1,734,903,809.23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2.675</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3.12%</w:t>
            </w:r>
          </w:p>
        </w:tc>
        <w:tc>
          <w:tcPr>
            <w:vAlign w:val="center"/>
          </w:tcPr>
          <w:p>
            <w:pPr>
              <w:jc w:val="center"/>
            </w:pPr>
            <w:r>
              <w:rPr>
                <w:color w:val="000000"/>
                <w:sz w:val="24"/>
                <w:szCs w:val="24"/>
              </w:rPr>
              <w:t>1.04%</w:t>
            </w:r>
          </w:p>
        </w:tc>
        <w:tc>
          <w:tcPr>
            <w:vAlign w:val="center"/>
          </w:tcPr>
          <w:p>
            <w:pPr>
              <w:jc w:val="center"/>
            </w:pPr>
            <w:r>
              <w:rPr>
                <w:color w:val="000000"/>
                <w:sz w:val="24"/>
                <w:szCs w:val="24"/>
              </w:rPr>
              <w:t>10.43%</w:t>
            </w:r>
          </w:p>
        </w:tc>
        <w:tc>
          <w:tcPr>
            <w:vAlign w:val="center"/>
          </w:tcPr>
          <w:p>
            <w:pPr>
              <w:jc w:val="center"/>
            </w:pPr>
            <w:r>
              <w:rPr>
                <w:color w:val="000000"/>
                <w:sz w:val="24"/>
                <w:szCs w:val="24"/>
              </w:rPr>
              <w:t>0.74%</w:t>
            </w:r>
          </w:p>
        </w:tc>
        <w:tc>
          <w:tcPr>
            <w:vAlign w:val="center"/>
          </w:tcPr>
          <w:p>
            <w:pPr>
              <w:jc w:val="center"/>
            </w:pPr>
            <w:r>
              <w:rPr>
                <w:color w:val="000000"/>
                <w:sz w:val="24"/>
                <w:szCs w:val="24"/>
              </w:rPr>
              <w:t>-7.31%</w:t>
            </w:r>
          </w:p>
        </w:tc>
        <w:tc>
          <w:tcPr>
            <w:vAlign w:val="center"/>
          </w:tcPr>
          <w:p>
            <w:pPr>
              <w:jc w:val="center"/>
            </w:pPr>
            <w:r>
              <w:rPr>
                <w:color w:val="000000"/>
                <w:sz w:val="24"/>
                <w:szCs w:val="24"/>
              </w:rPr>
              <w:t>0.30%</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30.42%</w:t>
            </w:r>
          </w:p>
        </w:tc>
        <w:tc>
          <w:tcPr>
            <w:vAlign w:val="center"/>
          </w:tcPr>
          <w:p>
            <w:pPr>
              <w:jc w:val="center"/>
            </w:pPr>
            <w:r>
              <w:rPr>
                <w:color w:val="000000"/>
                <w:sz w:val="24"/>
                <w:szCs w:val="24"/>
              </w:rPr>
              <w:t>1.45%</w:t>
            </w:r>
          </w:p>
        </w:tc>
        <w:tc>
          <w:tcPr>
            <w:vAlign w:val="center"/>
          </w:tcPr>
          <w:p>
            <w:pPr>
              <w:jc w:val="center"/>
            </w:pPr>
            <w:r>
              <w:rPr>
                <w:color w:val="000000"/>
                <w:sz w:val="24"/>
                <w:szCs w:val="24"/>
              </w:rPr>
              <w:t>18.77%</w:t>
            </w:r>
          </w:p>
        </w:tc>
        <w:tc>
          <w:tcPr>
            <w:vAlign w:val="center"/>
          </w:tcPr>
          <w:p>
            <w:pPr>
              <w:jc w:val="center"/>
            </w:pPr>
            <w:r>
              <w:rPr>
                <w:color w:val="000000"/>
                <w:sz w:val="24"/>
                <w:szCs w:val="24"/>
              </w:rPr>
              <w:t>1.01%</w:t>
            </w:r>
          </w:p>
        </w:tc>
        <w:tc>
          <w:tcPr>
            <w:vAlign w:val="center"/>
          </w:tcPr>
          <w:p>
            <w:pPr>
              <w:jc w:val="center"/>
            </w:pPr>
            <w:r>
              <w:rPr>
                <w:color w:val="000000"/>
                <w:sz w:val="24"/>
                <w:szCs w:val="24"/>
              </w:rPr>
              <w:t>11.65%</w:t>
            </w:r>
          </w:p>
        </w:tc>
        <w:tc>
          <w:tcPr>
            <w:vAlign w:val="center"/>
          </w:tcPr>
          <w:p>
            <w:pPr>
              <w:jc w:val="center"/>
            </w:pPr>
            <w:r>
              <w:rPr>
                <w:color w:val="000000"/>
                <w:sz w:val="24"/>
                <w:szCs w:val="24"/>
              </w:rPr>
              <w:t>0.44%</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61.53%</w:t>
            </w:r>
          </w:p>
        </w:tc>
        <w:tc>
          <w:tcPr>
            <w:vAlign w:val="center"/>
          </w:tcPr>
          <w:p>
            <w:pPr>
              <w:jc w:val="center"/>
            </w:pPr>
            <w:r>
              <w:rPr>
                <w:color w:val="000000"/>
                <w:sz w:val="24"/>
                <w:szCs w:val="24"/>
              </w:rPr>
              <w:t>1.52%</w:t>
            </w:r>
          </w:p>
        </w:tc>
        <w:tc>
          <w:tcPr>
            <w:vAlign w:val="center"/>
          </w:tcPr>
          <w:p>
            <w:pPr>
              <w:jc w:val="center"/>
            </w:pPr>
            <w:r>
              <w:rPr>
                <w:color w:val="000000"/>
                <w:sz w:val="24"/>
                <w:szCs w:val="24"/>
              </w:rPr>
              <w:t>21.26%</w:t>
            </w:r>
          </w:p>
        </w:tc>
        <w:tc>
          <w:tcPr>
            <w:vAlign w:val="center"/>
          </w:tcPr>
          <w:p>
            <w:pPr>
              <w:jc w:val="center"/>
            </w:pPr>
            <w:r>
              <w:rPr>
                <w:color w:val="000000"/>
                <w:sz w:val="24"/>
                <w:szCs w:val="24"/>
              </w:rPr>
              <w:t>1.07%</w:t>
            </w:r>
          </w:p>
        </w:tc>
        <w:tc>
          <w:tcPr>
            <w:vAlign w:val="center"/>
          </w:tcPr>
          <w:p>
            <w:pPr>
              <w:jc w:val="center"/>
            </w:pPr>
            <w:r>
              <w:rPr>
                <w:color w:val="000000"/>
                <w:sz w:val="24"/>
                <w:szCs w:val="24"/>
              </w:rPr>
              <w:t>40.27%</w:t>
            </w:r>
          </w:p>
        </w:tc>
        <w:tc>
          <w:tcPr>
            <w:vAlign w:val="center"/>
          </w:tcPr>
          <w:p>
            <w:pPr>
              <w:jc w:val="center"/>
            </w:pPr>
            <w:r>
              <w:rPr>
                <w:color w:val="000000"/>
                <w:sz w:val="24"/>
                <w:szCs w:val="24"/>
              </w:rPr>
              <w:t>0.45%</w:t>
            </w:r>
          </w:p>
        </w:tc>
      </w:tr>
      <w:tr>
        <w:tc>
          <w:tcPr>
            <w:vAlign w:val="center"/>
          </w:tcPr>
          <w:p>
            <w:pPr>
              <w:jc w:val="left"/>
            </w:pPr>
            <w:r>
              <w:rPr>
                <w:color w:val="000000"/>
                <w:sz w:val="24"/>
                <w:szCs w:val="24"/>
              </w:rPr>
              <w:t>过去三年</w:t>
            </w:r>
          </w:p>
        </w:tc>
        <w:tc>
          <w:tcPr>
            <w:vAlign w:val="center"/>
          </w:tcPr>
          <w:p>
            <w:pPr>
              <w:jc w:val="center"/>
            </w:pPr>
            <w:r>
              <w:rPr>
                <w:color w:val="000000"/>
                <w:sz w:val="24"/>
                <w:szCs w:val="24"/>
              </w:rPr>
              <w:t>83.85%</w:t>
            </w:r>
          </w:p>
        </w:tc>
        <w:tc>
          <w:tcPr>
            <w:vAlign w:val="center"/>
          </w:tcPr>
          <w:p>
            <w:pPr>
              <w:jc w:val="center"/>
            </w:pPr>
            <w:r>
              <w:rPr>
                <w:color w:val="000000"/>
                <w:sz w:val="24"/>
                <w:szCs w:val="24"/>
              </w:rPr>
              <w:t>1.52%</w:t>
            </w:r>
          </w:p>
        </w:tc>
        <w:tc>
          <w:tcPr>
            <w:vAlign w:val="center"/>
          </w:tcPr>
          <w:p>
            <w:pPr>
              <w:jc w:val="center"/>
            </w:pPr>
            <w:r>
              <w:rPr>
                <w:color w:val="000000"/>
                <w:sz w:val="24"/>
                <w:szCs w:val="24"/>
              </w:rPr>
              <w:t>27.60%</w:t>
            </w:r>
          </w:p>
        </w:tc>
        <w:tc>
          <w:tcPr>
            <w:vAlign w:val="center"/>
          </w:tcPr>
          <w:p>
            <w:pPr>
              <w:jc w:val="center"/>
            </w:pPr>
            <w:r>
              <w:rPr>
                <w:color w:val="000000"/>
                <w:sz w:val="24"/>
                <w:szCs w:val="24"/>
              </w:rPr>
              <w:t>1.00%</w:t>
            </w:r>
          </w:p>
        </w:tc>
        <w:tc>
          <w:tcPr>
            <w:vAlign w:val="center"/>
          </w:tcPr>
          <w:p>
            <w:pPr>
              <w:jc w:val="center"/>
            </w:pPr>
            <w:r>
              <w:rPr>
                <w:color w:val="000000"/>
                <w:sz w:val="24"/>
                <w:szCs w:val="24"/>
              </w:rPr>
              <w:t>56.25%</w:t>
            </w:r>
          </w:p>
        </w:tc>
        <w:tc>
          <w:tcPr>
            <w:vAlign w:val="center"/>
          </w:tcPr>
          <w:p>
            <w:pPr>
              <w:jc w:val="center"/>
            </w:pPr>
            <w:r>
              <w:rPr>
                <w:color w:val="000000"/>
                <w:sz w:val="24"/>
                <w:szCs w:val="24"/>
              </w:rPr>
              <w:t>0.52%</w:t>
            </w:r>
          </w:p>
        </w:tc>
      </w:tr>
      <w:tr>
        <w:tc>
          <w:tcPr>
            <w:vAlign w:val="center"/>
          </w:tcPr>
          <w:p>
            <w:pPr>
              <w:jc w:val="left"/>
            </w:pPr>
            <w:r>
              <w:rPr>
                <w:color w:val="000000"/>
                <w:sz w:val="24"/>
                <w:szCs w:val="24"/>
              </w:rPr>
              <w:t>过去五年</w:t>
            </w:r>
          </w:p>
        </w:tc>
        <w:tc>
          <w:tcPr>
            <w:vAlign w:val="center"/>
          </w:tcPr>
          <w:p>
            <w:pPr>
              <w:jc w:val="center"/>
            </w:pPr>
            <w:r>
              <w:rPr>
                <w:color w:val="000000"/>
                <w:sz w:val="24"/>
                <w:szCs w:val="24"/>
              </w:rPr>
              <w:t>135.34%</w:t>
            </w:r>
          </w:p>
        </w:tc>
        <w:tc>
          <w:tcPr>
            <w:vAlign w:val="center"/>
          </w:tcPr>
          <w:p>
            <w:pPr>
              <w:jc w:val="center"/>
            </w:pPr>
            <w:r>
              <w:rPr>
                <w:color w:val="000000"/>
                <w:sz w:val="24"/>
                <w:szCs w:val="24"/>
              </w:rPr>
              <w:t>1.42%</w:t>
            </w:r>
          </w:p>
        </w:tc>
        <w:tc>
          <w:tcPr>
            <w:vAlign w:val="center"/>
          </w:tcPr>
          <w:p>
            <w:pPr>
              <w:jc w:val="center"/>
            </w:pPr>
            <w:r>
              <w:rPr>
                <w:color w:val="000000"/>
                <w:sz w:val="24"/>
                <w:szCs w:val="24"/>
              </w:rPr>
              <w:t>36.77%</w:t>
            </w:r>
          </w:p>
        </w:tc>
        <w:tc>
          <w:tcPr>
            <w:vAlign w:val="center"/>
          </w:tcPr>
          <w:p>
            <w:pPr>
              <w:jc w:val="center"/>
            </w:pPr>
            <w:r>
              <w:rPr>
                <w:color w:val="000000"/>
                <w:sz w:val="24"/>
                <w:szCs w:val="24"/>
              </w:rPr>
              <w:t>0.93%</w:t>
            </w:r>
          </w:p>
        </w:tc>
        <w:tc>
          <w:tcPr>
            <w:vAlign w:val="center"/>
          </w:tcPr>
          <w:p>
            <w:pPr>
              <w:jc w:val="center"/>
            </w:pPr>
            <w:r>
              <w:rPr>
                <w:color w:val="000000"/>
                <w:sz w:val="24"/>
                <w:szCs w:val="24"/>
              </w:rPr>
              <w:t>98.57%</w:t>
            </w:r>
          </w:p>
        </w:tc>
        <w:tc>
          <w:tcPr>
            <w:vAlign w:val="center"/>
          </w:tcPr>
          <w:p>
            <w:pPr>
              <w:jc w:val="center"/>
            </w:pPr>
            <w:r>
              <w:rPr>
                <w:color w:val="000000"/>
                <w:sz w:val="24"/>
                <w:szCs w:val="24"/>
              </w:rPr>
              <w:t>0.49%</w:t>
            </w:r>
          </w:p>
        </w:tc>
      </w:tr>
      <w:tr>
        <w:tc>
          <w:tcPr>
            <w:vAlign w:val="center"/>
          </w:tcPr>
          <w:p>
            <w:pPr>
              <w:jc w:val="left"/>
            </w:pPr>
            <w:r>
              <w:rPr>
                <w:color w:val="000000"/>
                <w:sz w:val="24"/>
                <w:szCs w:val="24"/>
              </w:rPr>
              <w:t>自基金合同生效至今</w:t>
            </w:r>
          </w:p>
        </w:tc>
        <w:tc>
          <w:tcPr>
            <w:vAlign w:val="center"/>
          </w:tcPr>
          <w:p>
            <w:pPr>
              <w:jc w:val="center"/>
            </w:pPr>
            <w:r>
              <w:rPr>
                <w:color w:val="000000"/>
                <w:sz w:val="24"/>
                <w:szCs w:val="24"/>
              </w:rPr>
              <w:t>288.54%</w:t>
            </w:r>
          </w:p>
        </w:tc>
        <w:tc>
          <w:tcPr>
            <w:vAlign w:val="center"/>
          </w:tcPr>
          <w:p>
            <w:pPr>
              <w:jc w:val="center"/>
            </w:pPr>
            <w:r>
              <w:rPr>
                <w:color w:val="000000"/>
                <w:sz w:val="24"/>
                <w:szCs w:val="24"/>
              </w:rPr>
              <w:t>1.52%</w:t>
            </w:r>
          </w:p>
        </w:tc>
        <w:tc>
          <w:tcPr>
            <w:vAlign w:val="center"/>
          </w:tcPr>
          <w:p>
            <w:pPr>
              <w:jc w:val="center"/>
            </w:pPr>
            <w:r>
              <w:rPr>
                <w:color w:val="000000"/>
                <w:sz w:val="24"/>
                <w:szCs w:val="24"/>
              </w:rPr>
              <w:t>65.98%</w:t>
            </w:r>
          </w:p>
        </w:tc>
        <w:tc>
          <w:tcPr>
            <w:vAlign w:val="center"/>
          </w:tcPr>
          <w:p>
            <w:pPr>
              <w:jc w:val="center"/>
            </w:pPr>
            <w:r>
              <w:rPr>
                <w:color w:val="000000"/>
                <w:sz w:val="24"/>
                <w:szCs w:val="24"/>
              </w:rPr>
              <w:t>1.08%</w:t>
            </w:r>
          </w:p>
        </w:tc>
        <w:tc>
          <w:tcPr>
            <w:vAlign w:val="center"/>
          </w:tcPr>
          <w:p>
            <w:pPr>
              <w:jc w:val="center"/>
            </w:pPr>
            <w:r>
              <w:rPr>
                <w:color w:val="000000"/>
                <w:sz w:val="24"/>
                <w:szCs w:val="24"/>
              </w:rPr>
              <w:t>222.56%</w:t>
            </w:r>
          </w:p>
        </w:tc>
        <w:tc>
          <w:tcPr>
            <w:vAlign w:val="center"/>
          </w:tcPr>
          <w:p>
            <w:pPr>
              <w:jc w:val="center"/>
            </w:pPr>
            <w:r>
              <w:rPr>
                <w:color w:val="000000"/>
                <w:sz w:val="24"/>
                <w:szCs w:val="24"/>
              </w:rPr>
              <w:t>0.44%</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业绩比较基准自2015年10月1日起，由“75%×沪深300指数收益率+25%×中信标普全债指数收益率”变更为“75%×沪深300指数收益率+25%×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交银施罗德趋势优先混合型证券投资基金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2010年12月22日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2020年12月31日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杨金金</w:t>
            </w:r>
          </w:p>
        </w:tc>
        <w:tc>
          <w:tcPr>
            <w:vAlign w:val="center"/>
          </w:tcPr>
          <w:p>
            <w:pPr>
              <w:jc w:val="center"/>
            </w:pPr>
            <w:r>
              <w:rPr>
                <w:color w:val="000000"/>
                <w:sz w:val="24"/>
                <w:szCs w:val="24"/>
              </w:rPr>
              <w:t>交银趋势混合的基金经理</w:t>
            </w:r>
          </w:p>
        </w:tc>
        <w:tc>
          <w:tcPr>
            <w:vAlign w:val="center"/>
          </w:tcPr>
          <w:p>
            <w:pPr>
              <w:jc w:val="center"/>
            </w:pPr>
            <w:r>
              <w:rPr>
                <w:color w:val="000000"/>
                <w:sz w:val="24"/>
                <w:szCs w:val="24"/>
              </w:rPr>
              <w:t>2020-05-06</w:t>
            </w:r>
          </w:p>
        </w:tc>
        <w:tc>
          <w:tcPr>
            <w:vAlign w:val="center"/>
          </w:tcPr>
          <w:p>
            <w:pPr>
              <w:jc w:val="center"/>
            </w:pPr>
            <w:r>
              <w:rPr>
                <w:color w:val="000000"/>
                <w:sz w:val="24"/>
                <w:szCs w:val="24"/>
              </w:rPr>
              <w:t>-</w:t>
            </w:r>
          </w:p>
        </w:tc>
        <w:tc>
          <w:tcPr>
            <w:vAlign w:val="center"/>
          </w:tcPr>
          <w:p>
            <w:pPr>
              <w:jc w:val="center"/>
            </w:pPr>
            <w:r>
              <w:rPr>
                <w:color w:val="000000"/>
                <w:sz w:val="24"/>
                <w:szCs w:val="24"/>
              </w:rPr>
              <w:t>6年</w:t>
            </w:r>
          </w:p>
        </w:tc>
        <w:tc>
          <w:tcPr>
            <w:vAlign w:val="center"/>
          </w:tcPr>
          <w:p>
            <w:pPr>
              <w:jc w:val="both"/>
            </w:pPr>
            <w:r>
              <w:rPr>
                <w:color w:val="000000"/>
                <w:sz w:val="24"/>
                <w:szCs w:val="24"/>
              </w:rPr>
              <w:t>杨金金先生。复旦大学金融学硕士、华东理工大学材料工程学士。历任长江证券研究部高级分析师，华泰柏瑞基金公司研究员。2017年加入交银施罗德基金管理有限公司，历任行业分析师。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四季度，市场在经历横盘震荡后创出新高，整体指数呈震荡上行趋势。从结构来看，市场呈现了明显的冰火两重天，军工、光伏、电动车、白酒及医药强者愈强，在景气和估值抬升助推下持续上涨，带动指数创新高。而另一方面，不位于主赛道之内的广大中小市值股票却普遍陷入了流动性危机，代表性的指数中证1000震荡下行，四季度持续新低。“贵的更贵，便宜的更便宜”的马太效应在四季度演绎到了极致。在此背景下本基金侧重于寻找低估细分行业及公司的偏左侧风格。</w:t>
      </w:r>
    </w:p>
    <w:p>
      <w:pPr>
        <w:spacing w:before="29" w:line="288" w:lineRule="auto"/>
        <w:ind w:firstLine="480" w:firstLineChars="200"/>
        <w:rPr>
          <w:color w:val="000000"/>
          <w:sz w:val="24"/>
          <w:szCs w:val="24"/>
        </w:rPr>
      </w:pPr>
      <w:r>
        <w:rPr>
          <w:color w:val="000000"/>
          <w:sz w:val="24"/>
          <w:szCs w:val="24"/>
        </w:rPr>
        <w:t>在新股发行速度加速，市场资金机构化趋势愈发明显背景下，市场正在从小市值公司估值溢价在向大市值公司溢价转型，但同时辩证地来看，正因为如此，市场个股数量总容量加速扩大和机构持仓加速集中出现了巨大的背离，而在中小市值股票泥沙俱下时，我们也发现更多的细分行业潜在成长股被市场忽略和错杀。而纵向历史和横向国外市场长期对比来看，基本面和股价匹配才是更普世的常态，所有低估和泡沫都将由时间来修复。因此，在机构化市场风格长期趋势下，本基金将精选细分行业个股，去芜存菁，寻找有较大确定性和足够潜力成长为中大市值公司的个股进行长期配置。</w:t>
      </w:r>
    </w:p>
    <w:p>
      <w:pPr>
        <w:spacing w:before="29" w:line="288" w:lineRule="auto"/>
        <w:ind w:firstLine="480" w:firstLineChars="200"/>
        <w:rPr>
          <w:color w:val="000000"/>
          <w:sz w:val="24"/>
          <w:szCs w:val="24"/>
        </w:rPr>
      </w:pPr>
      <w:r>
        <w:rPr>
          <w:color w:val="000000"/>
          <w:sz w:val="24"/>
          <w:szCs w:val="24"/>
        </w:rPr>
        <w:t>展望2021年一季度，基于对社会经济运行规律及企业发展规律的理解下，我们认为除了短期内被市场追捧的板块，仍存在着大量的低估细分行业及公司仍尚未挖掘：</w:t>
      </w:r>
    </w:p>
    <w:p>
      <w:pPr>
        <w:spacing w:before="29" w:line="288" w:lineRule="auto"/>
        <w:ind w:firstLine="480" w:firstLineChars="200"/>
        <w:rPr>
          <w:color w:val="000000"/>
          <w:sz w:val="24"/>
          <w:szCs w:val="24"/>
        </w:rPr>
      </w:pPr>
      <w:r>
        <w:rPr>
          <w:color w:val="000000"/>
          <w:sz w:val="24"/>
          <w:szCs w:val="24"/>
        </w:rPr>
        <w:t>1）在人口结构变化、消费观念升级以及制造业升级等趋势下，量变到质变的细分子行业中正在发生层出不穷的产业趋势变化。</w:t>
      </w:r>
    </w:p>
    <w:p>
      <w:pPr>
        <w:spacing w:before="29" w:line="288" w:lineRule="auto"/>
        <w:ind w:firstLine="480" w:firstLineChars="200"/>
        <w:rPr>
          <w:color w:val="000000"/>
          <w:sz w:val="24"/>
          <w:szCs w:val="24"/>
        </w:rPr>
      </w:pPr>
      <w:r>
        <w:rPr>
          <w:color w:val="000000"/>
          <w:sz w:val="24"/>
          <w:szCs w:val="24"/>
        </w:rPr>
        <w:t>2）社会大生产及高度分工背景下，越来越多的新兴机会出现在交叉学科及交叉行业之中，需要跳出传统的行业分析框架来演绎。</w:t>
      </w:r>
    </w:p>
    <w:p>
      <w:pPr>
        <w:spacing w:before="29" w:line="288" w:lineRule="auto"/>
        <w:ind w:firstLine="480" w:firstLineChars="200"/>
        <w:rPr>
          <w:color w:val="000000"/>
          <w:sz w:val="24"/>
          <w:szCs w:val="24"/>
        </w:rPr>
      </w:pPr>
      <w:r>
        <w:rPr>
          <w:color w:val="000000"/>
          <w:sz w:val="24"/>
          <w:szCs w:val="24"/>
        </w:rPr>
        <w:t>3）在经历过行业竞争激烈洗牌后，传统行业中真正具备核心竞争力的公司正在步入长期份额提升及附加值提升通道。</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综上，我们未来将长期集中注意力于挖掘新的产业趋势及成长龙头，寻找能够长大的中小市值公司，与优秀的企业家共同成长。</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xml:space="preserve">本基金本报告期内无需预警说明。 </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1,473,968,551.04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1,473,968,551.04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83.25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274,858,525.14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15.52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21,713,836.62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1.23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1,770,540,912.80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29,201,921.00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1.68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1,037,358,377.14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59.79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5,293,428.00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0.31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29,180.84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19,998.88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188,779,919.16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55,704,368.00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79,995,416.18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4.61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36,153,600.00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41,254,898.72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2.38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129,181.85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48,261.27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1,473,968,551.04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84.96</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002315</w:t>
            </w:r>
          </w:p>
        </w:tc>
        <w:tc>
          <w:tcPr>
            <w:vAlign w:val="center"/>
          </w:tcPr>
          <w:p>
            <w:pPr>
              <w:jc w:val="center"/>
            </w:pPr>
            <w:r>
              <w:rPr>
                <w:color w:val="000000"/>
                <w:sz w:val="24"/>
                <w:szCs w:val="24"/>
              </w:rPr>
              <w:t>焦点科技</w:t>
            </w:r>
          </w:p>
        </w:tc>
        <w:tc>
          <w:tcPr>
            <w:vAlign w:val="center"/>
          </w:tcPr>
          <w:p>
            <w:pPr>
              <w:jc w:val="right"/>
            </w:pPr>
            <w:r>
              <w:rPr>
                <w:color w:val="000000"/>
                <w:sz w:val="24"/>
                <w:szCs w:val="24"/>
              </w:rPr>
              <w:t>10,328,958</w:t>
            </w:r>
          </w:p>
        </w:tc>
        <w:tc>
          <w:tcPr>
            <w:vAlign w:val="center"/>
          </w:tcPr>
          <w:p>
            <w:pPr>
              <w:jc w:val="right"/>
            </w:pPr>
            <w:r>
              <w:rPr>
                <w:color w:val="000000"/>
                <w:sz w:val="24"/>
                <w:szCs w:val="24"/>
              </w:rPr>
              <w:t>170,634,386.16</w:t>
            </w:r>
          </w:p>
        </w:tc>
        <w:tc>
          <w:tcPr>
            <w:vAlign w:val="center"/>
          </w:tcPr>
          <w:p>
            <w:pPr>
              <w:jc w:val="right"/>
            </w:pPr>
            <w:r>
              <w:rPr>
                <w:color w:val="000000"/>
                <w:sz w:val="24"/>
                <w:szCs w:val="24"/>
              </w:rPr>
              <w:t>9.84</w:t>
            </w:r>
          </w:p>
        </w:tc>
      </w:tr>
      <w:tr>
        <w:tc>
          <w:tcPr>
            <w:vAlign w:val="center"/>
          </w:tcPr>
          <w:p>
            <w:pPr>
              <w:jc w:val="center"/>
            </w:pPr>
            <w:r>
              <w:rPr>
                <w:color w:val="000000"/>
                <w:sz w:val="24"/>
                <w:szCs w:val="24"/>
              </w:rPr>
              <w:t>2</w:t>
            </w:r>
          </w:p>
        </w:tc>
        <w:tc>
          <w:tcPr>
            <w:vAlign w:val="center"/>
          </w:tcPr>
          <w:p>
            <w:pPr>
              <w:jc w:val="center"/>
            </w:pPr>
            <w:r>
              <w:rPr>
                <w:color w:val="000000"/>
                <w:sz w:val="24"/>
                <w:szCs w:val="24"/>
              </w:rPr>
              <w:t>603536</w:t>
            </w:r>
          </w:p>
        </w:tc>
        <w:tc>
          <w:tcPr>
            <w:vAlign w:val="center"/>
          </w:tcPr>
          <w:p>
            <w:pPr>
              <w:jc w:val="center"/>
            </w:pPr>
            <w:r>
              <w:rPr>
                <w:color w:val="000000"/>
                <w:sz w:val="24"/>
                <w:szCs w:val="24"/>
              </w:rPr>
              <w:t>惠发食品</w:t>
            </w:r>
          </w:p>
        </w:tc>
        <w:tc>
          <w:tcPr>
            <w:vAlign w:val="center"/>
          </w:tcPr>
          <w:p>
            <w:pPr>
              <w:jc w:val="right"/>
            </w:pPr>
            <w:r>
              <w:rPr>
                <w:color w:val="000000"/>
                <w:sz w:val="24"/>
                <w:szCs w:val="24"/>
              </w:rPr>
              <w:t>8,145,640</w:t>
            </w:r>
          </w:p>
        </w:tc>
        <w:tc>
          <w:tcPr>
            <w:vAlign w:val="center"/>
          </w:tcPr>
          <w:p>
            <w:pPr>
              <w:jc w:val="right"/>
            </w:pPr>
            <w:r>
              <w:rPr>
                <w:color w:val="000000"/>
                <w:sz w:val="24"/>
                <w:szCs w:val="24"/>
              </w:rPr>
              <w:t>147,680,453.20</w:t>
            </w:r>
          </w:p>
        </w:tc>
        <w:tc>
          <w:tcPr>
            <w:vAlign w:val="center"/>
          </w:tcPr>
          <w:p>
            <w:pPr>
              <w:jc w:val="right"/>
            </w:pPr>
            <w:r>
              <w:rPr>
                <w:color w:val="000000"/>
                <w:sz w:val="24"/>
                <w:szCs w:val="24"/>
              </w:rPr>
              <w:t>8.51</w:t>
            </w:r>
          </w:p>
        </w:tc>
      </w:tr>
      <w:tr>
        <w:tc>
          <w:tcPr>
            <w:vAlign w:val="center"/>
          </w:tcPr>
          <w:p>
            <w:pPr>
              <w:jc w:val="center"/>
            </w:pPr>
            <w:r>
              <w:rPr>
                <w:color w:val="000000"/>
                <w:sz w:val="24"/>
                <w:szCs w:val="24"/>
              </w:rPr>
              <w:t>3</w:t>
            </w:r>
          </w:p>
        </w:tc>
        <w:tc>
          <w:tcPr>
            <w:vAlign w:val="center"/>
          </w:tcPr>
          <w:p>
            <w:pPr>
              <w:jc w:val="center"/>
            </w:pPr>
            <w:r>
              <w:rPr>
                <w:color w:val="000000"/>
                <w:sz w:val="24"/>
                <w:szCs w:val="24"/>
              </w:rPr>
              <w:t>601968</w:t>
            </w:r>
          </w:p>
        </w:tc>
        <w:tc>
          <w:tcPr>
            <w:vAlign w:val="center"/>
          </w:tcPr>
          <w:p>
            <w:pPr>
              <w:jc w:val="center"/>
            </w:pPr>
            <w:r>
              <w:rPr>
                <w:color w:val="000000"/>
                <w:sz w:val="24"/>
                <w:szCs w:val="24"/>
              </w:rPr>
              <w:t>宝钢包装</w:t>
            </w:r>
          </w:p>
        </w:tc>
        <w:tc>
          <w:tcPr>
            <w:vAlign w:val="center"/>
          </w:tcPr>
          <w:p>
            <w:pPr>
              <w:jc w:val="right"/>
            </w:pPr>
            <w:r>
              <w:rPr>
                <w:color w:val="000000"/>
                <w:sz w:val="24"/>
                <w:szCs w:val="24"/>
              </w:rPr>
              <w:t>17,190,700</w:t>
            </w:r>
          </w:p>
        </w:tc>
        <w:tc>
          <w:tcPr>
            <w:vAlign w:val="center"/>
          </w:tcPr>
          <w:p>
            <w:pPr>
              <w:jc w:val="right"/>
            </w:pPr>
            <w:r>
              <w:rPr>
                <w:color w:val="000000"/>
                <w:sz w:val="24"/>
                <w:szCs w:val="24"/>
              </w:rPr>
              <w:t>139,244,670.00</w:t>
            </w:r>
          </w:p>
        </w:tc>
        <w:tc>
          <w:tcPr>
            <w:vAlign w:val="center"/>
          </w:tcPr>
          <w:p>
            <w:pPr>
              <w:jc w:val="right"/>
            </w:pPr>
            <w:r>
              <w:rPr>
                <w:color w:val="000000"/>
                <w:sz w:val="24"/>
                <w:szCs w:val="24"/>
              </w:rPr>
              <w:t>8.03</w:t>
            </w:r>
          </w:p>
        </w:tc>
      </w:tr>
      <w:tr>
        <w:tc>
          <w:tcPr>
            <w:vAlign w:val="center"/>
          </w:tcPr>
          <w:p>
            <w:pPr>
              <w:jc w:val="center"/>
            </w:pPr>
            <w:r>
              <w:rPr>
                <w:color w:val="000000"/>
                <w:sz w:val="24"/>
                <w:szCs w:val="24"/>
              </w:rPr>
              <w:t>4</w:t>
            </w:r>
          </w:p>
        </w:tc>
        <w:tc>
          <w:tcPr>
            <w:vAlign w:val="center"/>
          </w:tcPr>
          <w:p>
            <w:pPr>
              <w:jc w:val="center"/>
            </w:pPr>
            <w:r>
              <w:rPr>
                <w:color w:val="000000"/>
                <w:sz w:val="24"/>
                <w:szCs w:val="24"/>
              </w:rPr>
              <w:t>600690</w:t>
            </w:r>
          </w:p>
        </w:tc>
        <w:tc>
          <w:tcPr>
            <w:vAlign w:val="center"/>
          </w:tcPr>
          <w:p>
            <w:pPr>
              <w:jc w:val="center"/>
            </w:pPr>
            <w:r>
              <w:rPr>
                <w:color w:val="000000"/>
                <w:sz w:val="24"/>
                <w:szCs w:val="24"/>
              </w:rPr>
              <w:t>海尔智家</w:t>
            </w:r>
          </w:p>
        </w:tc>
        <w:tc>
          <w:tcPr>
            <w:vAlign w:val="center"/>
          </w:tcPr>
          <w:p>
            <w:pPr>
              <w:jc w:val="right"/>
            </w:pPr>
            <w:r>
              <w:rPr>
                <w:color w:val="000000"/>
                <w:sz w:val="24"/>
                <w:szCs w:val="24"/>
              </w:rPr>
              <w:t>4,462,649</w:t>
            </w:r>
          </w:p>
        </w:tc>
        <w:tc>
          <w:tcPr>
            <w:vAlign w:val="center"/>
          </w:tcPr>
          <w:p>
            <w:pPr>
              <w:jc w:val="right"/>
            </w:pPr>
            <w:r>
              <w:rPr>
                <w:color w:val="000000"/>
                <w:sz w:val="24"/>
                <w:szCs w:val="24"/>
              </w:rPr>
              <w:t>130,353,977.29</w:t>
            </w:r>
          </w:p>
        </w:tc>
        <w:tc>
          <w:tcPr>
            <w:vAlign w:val="center"/>
          </w:tcPr>
          <w:p>
            <w:pPr>
              <w:jc w:val="right"/>
            </w:pPr>
            <w:r>
              <w:rPr>
                <w:color w:val="000000"/>
                <w:sz w:val="24"/>
                <w:szCs w:val="24"/>
              </w:rPr>
              <w:t>7.51</w:t>
            </w:r>
          </w:p>
        </w:tc>
      </w:tr>
      <w:tr>
        <w:tc>
          <w:tcPr>
            <w:vAlign w:val="center"/>
          </w:tcPr>
          <w:p>
            <w:pPr>
              <w:jc w:val="center"/>
            </w:pPr>
            <w:r>
              <w:rPr>
                <w:color w:val="000000"/>
                <w:sz w:val="24"/>
                <w:szCs w:val="24"/>
              </w:rPr>
              <w:t>5</w:t>
            </w:r>
          </w:p>
        </w:tc>
        <w:tc>
          <w:tcPr>
            <w:vAlign w:val="center"/>
          </w:tcPr>
          <w:p>
            <w:pPr>
              <w:jc w:val="center"/>
            </w:pPr>
            <w:r>
              <w:rPr>
                <w:color w:val="000000"/>
                <w:sz w:val="24"/>
                <w:szCs w:val="24"/>
              </w:rPr>
              <w:t>300758</w:t>
            </w:r>
          </w:p>
        </w:tc>
        <w:tc>
          <w:tcPr>
            <w:vAlign w:val="center"/>
          </w:tcPr>
          <w:p>
            <w:pPr>
              <w:jc w:val="center"/>
            </w:pPr>
            <w:r>
              <w:rPr>
                <w:color w:val="000000"/>
                <w:sz w:val="24"/>
                <w:szCs w:val="24"/>
              </w:rPr>
              <w:t>七彩化学</w:t>
            </w:r>
          </w:p>
        </w:tc>
        <w:tc>
          <w:tcPr>
            <w:vAlign w:val="center"/>
          </w:tcPr>
          <w:p>
            <w:pPr>
              <w:jc w:val="right"/>
            </w:pPr>
            <w:r>
              <w:rPr>
                <w:color w:val="000000"/>
                <w:sz w:val="24"/>
                <w:szCs w:val="24"/>
              </w:rPr>
              <w:t>3,334,287</w:t>
            </w:r>
          </w:p>
        </w:tc>
        <w:tc>
          <w:tcPr>
            <w:vAlign w:val="center"/>
          </w:tcPr>
          <w:p>
            <w:pPr>
              <w:jc w:val="right"/>
            </w:pPr>
            <w:r>
              <w:rPr>
                <w:color w:val="000000"/>
                <w:sz w:val="24"/>
                <w:szCs w:val="24"/>
              </w:rPr>
              <w:t>76,121,772.21</w:t>
            </w:r>
          </w:p>
        </w:tc>
        <w:tc>
          <w:tcPr>
            <w:vAlign w:val="center"/>
          </w:tcPr>
          <w:p>
            <w:pPr>
              <w:jc w:val="right"/>
            </w:pPr>
            <w:r>
              <w:rPr>
                <w:color w:val="000000"/>
                <w:sz w:val="24"/>
                <w:szCs w:val="24"/>
              </w:rPr>
              <w:t>4.39</w:t>
            </w:r>
          </w:p>
        </w:tc>
      </w:tr>
      <w:tr>
        <w:tc>
          <w:tcPr>
            <w:vAlign w:val="center"/>
          </w:tcPr>
          <w:p>
            <w:pPr>
              <w:jc w:val="center"/>
            </w:pPr>
            <w:r>
              <w:rPr>
                <w:color w:val="000000"/>
                <w:sz w:val="24"/>
                <w:szCs w:val="24"/>
              </w:rPr>
              <w:t>6</w:t>
            </w:r>
          </w:p>
        </w:tc>
        <w:tc>
          <w:tcPr>
            <w:vAlign w:val="center"/>
          </w:tcPr>
          <w:p>
            <w:pPr>
              <w:jc w:val="center"/>
            </w:pPr>
            <w:r>
              <w:rPr>
                <w:color w:val="000000"/>
                <w:sz w:val="24"/>
                <w:szCs w:val="24"/>
              </w:rPr>
              <w:t>601717</w:t>
            </w:r>
          </w:p>
        </w:tc>
        <w:tc>
          <w:tcPr>
            <w:vAlign w:val="center"/>
          </w:tcPr>
          <w:p>
            <w:pPr>
              <w:jc w:val="center"/>
            </w:pPr>
            <w:r>
              <w:rPr>
                <w:color w:val="000000"/>
                <w:sz w:val="24"/>
                <w:szCs w:val="24"/>
              </w:rPr>
              <w:t>郑煤机</w:t>
            </w:r>
          </w:p>
        </w:tc>
        <w:tc>
          <w:tcPr>
            <w:vAlign w:val="center"/>
          </w:tcPr>
          <w:p>
            <w:pPr>
              <w:jc w:val="right"/>
            </w:pPr>
            <w:r>
              <w:rPr>
                <w:color w:val="000000"/>
                <w:sz w:val="24"/>
                <w:szCs w:val="24"/>
              </w:rPr>
              <w:t>6,465,430</w:t>
            </w:r>
          </w:p>
        </w:tc>
        <w:tc>
          <w:tcPr>
            <w:vAlign w:val="center"/>
          </w:tcPr>
          <w:p>
            <w:pPr>
              <w:jc w:val="right"/>
            </w:pPr>
            <w:r>
              <w:rPr>
                <w:color w:val="000000"/>
                <w:sz w:val="24"/>
                <w:szCs w:val="24"/>
              </w:rPr>
              <w:t>70,667,149.90</w:t>
            </w:r>
          </w:p>
        </w:tc>
        <w:tc>
          <w:tcPr>
            <w:vAlign w:val="center"/>
          </w:tcPr>
          <w:p>
            <w:pPr>
              <w:jc w:val="right"/>
            </w:pPr>
            <w:r>
              <w:rPr>
                <w:color w:val="000000"/>
                <w:sz w:val="24"/>
                <w:szCs w:val="24"/>
              </w:rPr>
              <w:t>4.07</w:t>
            </w:r>
          </w:p>
        </w:tc>
      </w:tr>
      <w:tr>
        <w:tc>
          <w:tcPr>
            <w:vAlign w:val="center"/>
          </w:tcPr>
          <w:p>
            <w:pPr>
              <w:jc w:val="center"/>
            </w:pPr>
            <w:r>
              <w:rPr>
                <w:color w:val="000000"/>
                <w:sz w:val="24"/>
                <w:szCs w:val="24"/>
              </w:rPr>
              <w:t>7</w:t>
            </w:r>
          </w:p>
        </w:tc>
        <w:tc>
          <w:tcPr>
            <w:vAlign w:val="center"/>
          </w:tcPr>
          <w:p>
            <w:pPr>
              <w:jc w:val="center"/>
            </w:pPr>
            <w:r>
              <w:rPr>
                <w:color w:val="000000"/>
                <w:sz w:val="24"/>
                <w:szCs w:val="24"/>
              </w:rPr>
              <w:t>002049</w:t>
            </w:r>
          </w:p>
        </w:tc>
        <w:tc>
          <w:tcPr>
            <w:vAlign w:val="center"/>
          </w:tcPr>
          <w:p>
            <w:pPr>
              <w:jc w:val="center"/>
            </w:pPr>
            <w:r>
              <w:rPr>
                <w:color w:val="000000"/>
                <w:sz w:val="24"/>
                <w:szCs w:val="24"/>
              </w:rPr>
              <w:t>紫光国微</w:t>
            </w:r>
          </w:p>
        </w:tc>
        <w:tc>
          <w:tcPr>
            <w:vAlign w:val="center"/>
          </w:tcPr>
          <w:p>
            <w:pPr>
              <w:jc w:val="right"/>
            </w:pPr>
            <w:r>
              <w:rPr>
                <w:color w:val="000000"/>
                <w:sz w:val="24"/>
                <w:szCs w:val="24"/>
              </w:rPr>
              <w:t>420,845</w:t>
            </w:r>
          </w:p>
        </w:tc>
        <w:tc>
          <w:tcPr>
            <w:vAlign w:val="center"/>
          </w:tcPr>
          <w:p>
            <w:pPr>
              <w:jc w:val="right"/>
            </w:pPr>
            <w:r>
              <w:rPr>
                <w:color w:val="000000"/>
                <w:sz w:val="24"/>
                <w:szCs w:val="24"/>
              </w:rPr>
              <w:t>56,313,269.45</w:t>
            </w:r>
          </w:p>
        </w:tc>
        <w:tc>
          <w:tcPr>
            <w:vAlign w:val="center"/>
          </w:tcPr>
          <w:p>
            <w:pPr>
              <w:jc w:val="right"/>
            </w:pPr>
            <w:r>
              <w:rPr>
                <w:color w:val="000000"/>
                <w:sz w:val="24"/>
                <w:szCs w:val="24"/>
              </w:rPr>
              <w:t>3.25</w:t>
            </w:r>
          </w:p>
        </w:tc>
      </w:tr>
      <w:tr>
        <w:tc>
          <w:tcPr>
            <w:vAlign w:val="center"/>
          </w:tcPr>
          <w:p>
            <w:pPr>
              <w:jc w:val="center"/>
            </w:pPr>
            <w:r>
              <w:rPr>
                <w:color w:val="000000"/>
                <w:sz w:val="24"/>
                <w:szCs w:val="24"/>
              </w:rPr>
              <w:t>8</w:t>
            </w:r>
          </w:p>
        </w:tc>
        <w:tc>
          <w:tcPr>
            <w:vAlign w:val="center"/>
          </w:tcPr>
          <w:p>
            <w:pPr>
              <w:jc w:val="center"/>
            </w:pPr>
            <w:r>
              <w:rPr>
                <w:color w:val="000000"/>
                <w:sz w:val="24"/>
                <w:szCs w:val="24"/>
              </w:rPr>
              <w:t>002362</w:t>
            </w:r>
          </w:p>
        </w:tc>
        <w:tc>
          <w:tcPr>
            <w:vAlign w:val="center"/>
          </w:tcPr>
          <w:p>
            <w:pPr>
              <w:jc w:val="center"/>
            </w:pPr>
            <w:r>
              <w:rPr>
                <w:color w:val="000000"/>
                <w:sz w:val="24"/>
                <w:szCs w:val="24"/>
              </w:rPr>
              <w:t>汉王科技</w:t>
            </w:r>
          </w:p>
        </w:tc>
        <w:tc>
          <w:tcPr>
            <w:vAlign w:val="center"/>
          </w:tcPr>
          <w:p>
            <w:pPr>
              <w:jc w:val="right"/>
            </w:pPr>
            <w:r>
              <w:rPr>
                <w:color w:val="000000"/>
                <w:sz w:val="24"/>
                <w:szCs w:val="24"/>
              </w:rPr>
              <w:t>1,821,465</w:t>
            </w:r>
          </w:p>
        </w:tc>
        <w:tc>
          <w:tcPr>
            <w:vAlign w:val="center"/>
          </w:tcPr>
          <w:p>
            <w:pPr>
              <w:jc w:val="right"/>
            </w:pPr>
            <w:r>
              <w:rPr>
                <w:color w:val="000000"/>
                <w:sz w:val="24"/>
                <w:szCs w:val="24"/>
              </w:rPr>
              <w:t>44,516,604.60</w:t>
            </w:r>
          </w:p>
        </w:tc>
        <w:tc>
          <w:tcPr>
            <w:vAlign w:val="center"/>
          </w:tcPr>
          <w:p>
            <w:pPr>
              <w:jc w:val="right"/>
            </w:pPr>
            <w:r>
              <w:rPr>
                <w:color w:val="000000"/>
                <w:sz w:val="24"/>
                <w:szCs w:val="24"/>
              </w:rPr>
              <w:t>2.57</w:t>
            </w:r>
          </w:p>
        </w:tc>
      </w:tr>
      <w:tr>
        <w:tc>
          <w:tcPr>
            <w:vAlign w:val="center"/>
          </w:tcPr>
          <w:p>
            <w:pPr>
              <w:jc w:val="center"/>
            </w:pPr>
            <w:r>
              <w:rPr>
                <w:color w:val="000000"/>
                <w:sz w:val="24"/>
                <w:szCs w:val="24"/>
              </w:rPr>
              <w:t>9</w:t>
            </w:r>
          </w:p>
        </w:tc>
        <w:tc>
          <w:tcPr>
            <w:vAlign w:val="center"/>
          </w:tcPr>
          <w:p>
            <w:pPr>
              <w:jc w:val="center"/>
            </w:pPr>
            <w:r>
              <w:rPr>
                <w:color w:val="000000"/>
                <w:sz w:val="24"/>
                <w:szCs w:val="24"/>
              </w:rPr>
              <w:t>601038</w:t>
            </w:r>
          </w:p>
        </w:tc>
        <w:tc>
          <w:tcPr>
            <w:vAlign w:val="center"/>
          </w:tcPr>
          <w:p>
            <w:pPr>
              <w:jc w:val="center"/>
            </w:pPr>
            <w:r>
              <w:rPr>
                <w:color w:val="000000"/>
                <w:sz w:val="24"/>
                <w:szCs w:val="24"/>
              </w:rPr>
              <w:t>一拖股份</w:t>
            </w:r>
          </w:p>
        </w:tc>
        <w:tc>
          <w:tcPr>
            <w:vAlign w:val="center"/>
          </w:tcPr>
          <w:p>
            <w:pPr>
              <w:jc w:val="right"/>
            </w:pPr>
            <w:r>
              <w:rPr>
                <w:color w:val="000000"/>
                <w:sz w:val="24"/>
                <w:szCs w:val="24"/>
              </w:rPr>
              <w:t>3,599,201</w:t>
            </w:r>
          </w:p>
        </w:tc>
        <w:tc>
          <w:tcPr>
            <w:vAlign w:val="center"/>
          </w:tcPr>
          <w:p>
            <w:pPr>
              <w:jc w:val="right"/>
            </w:pPr>
            <w:r>
              <w:rPr>
                <w:color w:val="000000"/>
                <w:sz w:val="24"/>
                <w:szCs w:val="24"/>
              </w:rPr>
              <w:t>43,802,276.17</w:t>
            </w:r>
          </w:p>
        </w:tc>
        <w:tc>
          <w:tcPr>
            <w:vAlign w:val="center"/>
          </w:tcPr>
          <w:p>
            <w:pPr>
              <w:jc w:val="right"/>
            </w:pPr>
            <w:r>
              <w:rPr>
                <w:color w:val="000000"/>
                <w:sz w:val="24"/>
                <w:szCs w:val="24"/>
              </w:rPr>
              <w:t>2.52</w:t>
            </w:r>
          </w:p>
        </w:tc>
      </w:tr>
      <w:tr>
        <w:tc>
          <w:tcPr>
            <w:vAlign w:val="center"/>
          </w:tcPr>
          <w:p>
            <w:pPr>
              <w:jc w:val="center"/>
            </w:pPr>
            <w:r>
              <w:rPr>
                <w:color w:val="000000"/>
                <w:sz w:val="24"/>
                <w:szCs w:val="24"/>
              </w:rPr>
              <w:t>10</w:t>
            </w:r>
          </w:p>
        </w:tc>
        <w:tc>
          <w:tcPr>
            <w:vAlign w:val="center"/>
          </w:tcPr>
          <w:p>
            <w:pPr>
              <w:jc w:val="center"/>
            </w:pPr>
            <w:r>
              <w:rPr>
                <w:color w:val="000000"/>
                <w:sz w:val="24"/>
                <w:szCs w:val="24"/>
              </w:rPr>
              <w:t>605123</w:t>
            </w:r>
          </w:p>
        </w:tc>
        <w:tc>
          <w:tcPr>
            <w:vAlign w:val="center"/>
          </w:tcPr>
          <w:p>
            <w:pPr>
              <w:jc w:val="center"/>
            </w:pPr>
            <w:r>
              <w:rPr>
                <w:color w:val="000000"/>
                <w:sz w:val="24"/>
                <w:szCs w:val="24"/>
              </w:rPr>
              <w:t>派克新材</w:t>
            </w:r>
          </w:p>
        </w:tc>
        <w:tc>
          <w:tcPr>
            <w:vAlign w:val="center"/>
          </w:tcPr>
          <w:p>
            <w:pPr>
              <w:jc w:val="right"/>
            </w:pPr>
            <w:r>
              <w:rPr>
                <w:color w:val="000000"/>
                <w:sz w:val="24"/>
                <w:szCs w:val="24"/>
              </w:rPr>
              <w:t>510,162</w:t>
            </w:r>
          </w:p>
        </w:tc>
        <w:tc>
          <w:tcPr>
            <w:vAlign w:val="center"/>
          </w:tcPr>
          <w:p>
            <w:pPr>
              <w:jc w:val="right"/>
            </w:pPr>
            <w:r>
              <w:rPr>
                <w:color w:val="000000"/>
                <w:sz w:val="24"/>
                <w:szCs w:val="24"/>
              </w:rPr>
              <w:t>40,996,618.32</w:t>
            </w:r>
          </w:p>
        </w:tc>
        <w:tc>
          <w:tcPr>
            <w:vAlign w:val="center"/>
          </w:tcPr>
          <w:p>
            <w:pPr>
              <w:jc w:val="right"/>
            </w:pPr>
            <w:r>
              <w:rPr>
                <w:color w:val="000000"/>
                <w:sz w:val="24"/>
                <w:szCs w:val="24"/>
              </w:rPr>
              <w:t>2.36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1,016,465.32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19,999,993.05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44,459.00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652,919.25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21,713,836.62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876,506,023.59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33,925,147.12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261,922,109.40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648,509,061.31</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1、中国证监会核准交银施罗德趋势优先股票证券投资基金募集的文件； </w:t>
      </w:r>
    </w:p>
    <w:p>
      <w:pPr>
        <w:spacing w:before="29" w:line="288" w:lineRule="auto"/>
        <w:ind w:firstLine="480" w:firstLineChars="200"/>
        <w:rPr>
          <w:color w:val="000000"/>
          <w:sz w:val="24"/>
          <w:szCs w:val="24"/>
        </w:rPr>
      </w:pPr>
      <w:r>
        <w:rPr>
          <w:color w:val="000000"/>
          <w:sz w:val="24"/>
          <w:szCs w:val="24"/>
        </w:rPr>
        <w:t xml:space="preserve">2、《交银施罗德趋势优先混合型证券投资基金基金合同》； </w:t>
      </w:r>
    </w:p>
    <w:p>
      <w:pPr>
        <w:spacing w:before="29" w:line="288" w:lineRule="auto"/>
        <w:ind w:firstLine="480" w:firstLineChars="200"/>
        <w:rPr>
          <w:color w:val="000000"/>
          <w:sz w:val="24"/>
          <w:szCs w:val="24"/>
        </w:rPr>
      </w:pPr>
      <w:r>
        <w:rPr>
          <w:color w:val="000000"/>
          <w:sz w:val="24"/>
          <w:szCs w:val="24"/>
        </w:rPr>
        <w:t>3、《交银施罗德趋势优先混合型证券投资基金招募说明书》；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4、《交银施罗德趋势优先混合型证券投资基金托管协议》； </w:t>
      </w:r>
    </w:p>
    <w:p>
      <w:pPr>
        <w:spacing w:before="29" w:line="288" w:lineRule="auto"/>
        <w:ind w:firstLine="480" w:firstLineChars="200"/>
        <w:rPr>
          <w:color w:val="000000"/>
          <w:sz w:val="24"/>
          <w:szCs w:val="24"/>
        </w:rPr>
      </w:pPr>
      <w:r>
        <w:rPr>
          <w:color w:val="000000"/>
          <w:sz w:val="24"/>
          <w:szCs w:val="24"/>
        </w:rPr>
        <w:t>5、关于申请募集交银施罗德趋势优先股票证券投资基金之法律意见书；</w:t>
      </w:r>
    </w:p>
    <w:p>
      <w:pPr>
        <w:spacing w:before="29" w:line="288" w:lineRule="auto"/>
        <w:ind w:firstLine="480" w:firstLineChars="200"/>
        <w:rPr>
          <w:color w:val="000000"/>
          <w:sz w:val="24"/>
          <w:szCs w:val="24"/>
        </w:rPr>
      </w:pPr>
      <w:r>
        <w:rPr>
          <w:color w:val="000000"/>
          <w:sz w:val="24"/>
          <w:szCs w:val="24"/>
        </w:rPr>
        <w:t>6、基金管理人业务资格批件、营业执照；</w:t>
      </w:r>
    </w:p>
    <w:p>
      <w:pPr>
        <w:spacing w:before="29" w:line="288" w:lineRule="auto"/>
        <w:ind w:firstLine="480" w:firstLineChars="200"/>
        <w:rPr>
          <w:color w:val="000000"/>
          <w:sz w:val="24"/>
          <w:szCs w:val="24"/>
        </w:rPr>
      </w:pPr>
      <w:r>
        <w:rPr>
          <w:color w:val="000000"/>
          <w:sz w:val="24"/>
          <w:szCs w:val="24"/>
        </w:rPr>
        <w:t>7、基金托管人业务资格批件、营业执照；</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8、报告期内交银施罗德趋势优先混合型证券投资基金在指定报刊上各项公告的原稿。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交银施罗德趋势优先混合型证券投资基金2020年第4季度报告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