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C53DC" w:rsidRDefault="0085384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44,311,172.53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在追求本金安全、有效控制风险的基础上，力争实现基金资产的持续稳定增值。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6C53DC" w:rsidRDefault="0085384D">
            <w:pPr>
              <w:adjustRightInd w:val="0"/>
              <w:spacing w:before="29" w:line="288" w:lineRule="auto"/>
              <w:ind w:left="17"/>
              <w:jc w:val="left"/>
              <w:rPr>
                <w:color w:val="000000"/>
                <w:sz w:val="24"/>
                <w:szCs w:val="24"/>
              </w:rPr>
            </w:pPr>
            <w:r>
              <w:rPr>
                <w:color w:val="000000"/>
                <w:kern w:val="0"/>
                <w:sz w:val="24"/>
                <w:szCs w:val="24"/>
              </w:rPr>
              <w:t>本基金在逐期追求投资本金安全的风险控制目标下追求基金收益的稳定递增。自转型完成之日起，本基金以</w:t>
            </w:r>
            <w:r>
              <w:rPr>
                <w:color w:val="000000"/>
                <w:kern w:val="0"/>
                <w:sz w:val="24"/>
                <w:szCs w:val="24"/>
              </w:rPr>
              <w:t xml:space="preserve">3 </w:t>
            </w:r>
            <w:r>
              <w:rPr>
                <w:color w:val="000000"/>
                <w:kern w:val="0"/>
                <w:sz w:val="24"/>
                <w:szCs w:val="24"/>
              </w:rPr>
              <w:t>年为一个运作周期逐期运作，每一运作周期期满后且后一运作周期起始日前，安排不少于</w:t>
            </w:r>
            <w:r>
              <w:rPr>
                <w:color w:val="000000"/>
                <w:kern w:val="0"/>
                <w:sz w:val="24"/>
                <w:szCs w:val="24"/>
              </w:rPr>
              <w:t xml:space="preserve">5 </w:t>
            </w:r>
            <w:r>
              <w:rPr>
                <w:color w:val="000000"/>
                <w:kern w:val="0"/>
                <w:sz w:val="24"/>
                <w:szCs w:val="24"/>
              </w:rPr>
              <w:t>个工作日的运作调整期，除对持续持有期少于</w:t>
            </w:r>
            <w:r>
              <w:rPr>
                <w:color w:val="000000"/>
                <w:kern w:val="0"/>
                <w:sz w:val="24"/>
                <w:szCs w:val="24"/>
              </w:rPr>
              <w:t>7</w:t>
            </w:r>
            <w:r>
              <w:rPr>
                <w:color w:val="000000"/>
                <w:kern w:val="0"/>
                <w:sz w:val="24"/>
                <w:szCs w:val="24"/>
              </w:rPr>
              <w:t>日的基金份额持有人收取不低于</w:t>
            </w:r>
            <w:r>
              <w:rPr>
                <w:color w:val="000000"/>
                <w:kern w:val="0"/>
                <w:sz w:val="24"/>
                <w:szCs w:val="24"/>
              </w:rPr>
              <w:t>1.5%</w:t>
            </w:r>
            <w:r>
              <w:rPr>
                <w:color w:val="000000"/>
                <w:kern w:val="0"/>
                <w:sz w:val="24"/>
                <w:szCs w:val="24"/>
              </w:rPr>
              <w:t>的赎回费以外，投资者在运作调整期内办理本基金的申购和赎回业务时不收取申购、赎回费用。</w:t>
            </w:r>
          </w:p>
          <w:p w:rsidR="006C53DC" w:rsidRDefault="0085384D">
            <w:pPr>
              <w:adjustRightInd w:val="0"/>
              <w:spacing w:before="29" w:line="288" w:lineRule="auto"/>
              <w:ind w:left="17"/>
              <w:jc w:val="left"/>
              <w:rPr>
                <w:color w:val="000000"/>
                <w:sz w:val="24"/>
                <w:szCs w:val="24"/>
              </w:rPr>
            </w:pPr>
            <w:r>
              <w:rPr>
                <w:color w:val="000000"/>
                <w:kern w:val="0"/>
                <w:sz w:val="24"/>
                <w:szCs w:val="24"/>
              </w:rPr>
              <w:t>本基金在每一运作周期的投资目标为力求期末基金份额净值加上该运作周期累计分红金额不低于该运作周</w:t>
            </w:r>
            <w:r>
              <w:rPr>
                <w:color w:val="000000"/>
                <w:kern w:val="0"/>
                <w:sz w:val="24"/>
                <w:szCs w:val="24"/>
              </w:rPr>
              <w:lastRenderedPageBreak/>
              <w:t>期第</w:t>
            </w:r>
            <w:r>
              <w:rPr>
                <w:color w:val="000000"/>
                <w:kern w:val="0"/>
                <w:sz w:val="24"/>
                <w:szCs w:val="24"/>
              </w:rPr>
              <w:t xml:space="preserve">1 </w:t>
            </w:r>
            <w:r>
              <w:rPr>
                <w:color w:val="000000"/>
                <w:kern w:val="0"/>
                <w:sz w:val="24"/>
                <w:szCs w:val="24"/>
              </w:rPr>
              <w:t>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本基金不设置担保人或保本义务人，不承诺基金份额持有人在本基金运作周期期满时可以获得保本金额的保证。</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注：本基金于</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日由交银施罗德荣祥保本混合型证券投资基金转型为交银施罗德稳固收益债券型证券投资基金，新基金合同及托管协议即日起生效。</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5384D" w:rsidRPr="00414345" w:rsidTr="0085384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5384D" w:rsidRPr="00414345" w:rsidTr="008538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-501,832.22</w:t>
            </w:r>
          </w:p>
        </w:tc>
      </w:tr>
      <w:tr w:rsidR="0085384D" w:rsidRPr="00414345" w:rsidTr="008538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-53,656.43</w:t>
            </w:r>
          </w:p>
        </w:tc>
      </w:tr>
      <w:tr w:rsidR="0085384D" w:rsidRPr="00414345" w:rsidTr="008538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-0.0011</w:t>
            </w:r>
          </w:p>
        </w:tc>
      </w:tr>
      <w:tr w:rsidR="0085384D" w:rsidRPr="00414345" w:rsidTr="0085384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50,198,883.24</w:t>
            </w:r>
          </w:p>
        </w:tc>
      </w:tr>
      <w:tr w:rsidR="0085384D" w:rsidRPr="00414345" w:rsidTr="0085384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1.1329</w:t>
            </w:r>
          </w:p>
        </w:tc>
      </w:tr>
    </w:tbl>
    <w:p w:rsidR="006C53DC" w:rsidRDefault="008538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85384D">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C53DC">
        <w:trPr>
          <w:jc w:val="center"/>
        </w:trPr>
        <w:tc>
          <w:tcPr>
            <w:tcW w:w="1701" w:type="dxa"/>
            <w:vAlign w:val="center"/>
          </w:tcPr>
          <w:p w:rsidR="006C53DC" w:rsidRDefault="0085384D">
            <w:pPr>
              <w:jc w:val="left"/>
            </w:pPr>
            <w:bookmarkStart w:id="0" w:name="_GoBack"/>
            <w:bookmarkEnd w:id="0"/>
            <w:r>
              <w:rPr>
                <w:color w:val="000000"/>
                <w:sz w:val="24"/>
                <w:szCs w:val="24"/>
              </w:rPr>
              <w:t>过去三个月</w:t>
            </w:r>
          </w:p>
        </w:tc>
        <w:tc>
          <w:tcPr>
            <w:tcW w:w="1045" w:type="dxa"/>
            <w:vAlign w:val="center"/>
          </w:tcPr>
          <w:p w:rsidR="006C53DC" w:rsidRDefault="0085384D">
            <w:pPr>
              <w:jc w:val="center"/>
            </w:pPr>
            <w:r>
              <w:rPr>
                <w:color w:val="000000"/>
                <w:sz w:val="24"/>
                <w:szCs w:val="24"/>
              </w:rPr>
              <w:t>-0.08%</w:t>
            </w:r>
          </w:p>
        </w:tc>
        <w:tc>
          <w:tcPr>
            <w:tcW w:w="1344" w:type="dxa"/>
            <w:vAlign w:val="center"/>
          </w:tcPr>
          <w:p w:rsidR="006C53DC" w:rsidRDefault="0085384D">
            <w:pPr>
              <w:jc w:val="center"/>
            </w:pPr>
            <w:r>
              <w:rPr>
                <w:color w:val="000000"/>
                <w:sz w:val="24"/>
                <w:szCs w:val="24"/>
              </w:rPr>
              <w:t>0.25%</w:t>
            </w:r>
          </w:p>
        </w:tc>
        <w:tc>
          <w:tcPr>
            <w:tcW w:w="1194" w:type="dxa"/>
            <w:vAlign w:val="center"/>
          </w:tcPr>
          <w:p w:rsidR="006C53DC" w:rsidRDefault="0085384D">
            <w:pPr>
              <w:jc w:val="center"/>
            </w:pPr>
            <w:r>
              <w:rPr>
                <w:color w:val="000000"/>
                <w:sz w:val="24"/>
                <w:szCs w:val="24"/>
              </w:rPr>
              <w:t>0.70%</w:t>
            </w:r>
          </w:p>
        </w:tc>
        <w:tc>
          <w:tcPr>
            <w:tcW w:w="1492" w:type="dxa"/>
            <w:vAlign w:val="center"/>
          </w:tcPr>
          <w:p w:rsidR="006C53DC" w:rsidRDefault="0085384D">
            <w:pPr>
              <w:jc w:val="center"/>
            </w:pPr>
            <w:r>
              <w:rPr>
                <w:color w:val="000000"/>
                <w:sz w:val="24"/>
                <w:szCs w:val="24"/>
              </w:rPr>
              <w:t>0.01%</w:t>
            </w:r>
          </w:p>
        </w:tc>
        <w:tc>
          <w:tcPr>
            <w:tcW w:w="1194" w:type="dxa"/>
            <w:vAlign w:val="center"/>
          </w:tcPr>
          <w:p w:rsidR="006C53DC" w:rsidRDefault="0085384D">
            <w:pPr>
              <w:jc w:val="center"/>
            </w:pPr>
            <w:r>
              <w:rPr>
                <w:color w:val="000000"/>
                <w:sz w:val="24"/>
                <w:szCs w:val="24"/>
              </w:rPr>
              <w:t>-0.78%</w:t>
            </w:r>
          </w:p>
        </w:tc>
        <w:tc>
          <w:tcPr>
            <w:tcW w:w="898" w:type="dxa"/>
            <w:vAlign w:val="center"/>
          </w:tcPr>
          <w:p w:rsidR="006C53DC" w:rsidRDefault="0085384D">
            <w:pPr>
              <w:jc w:val="center"/>
            </w:pPr>
            <w:r>
              <w:rPr>
                <w:color w:val="000000"/>
                <w:sz w:val="24"/>
                <w:szCs w:val="24"/>
              </w:rPr>
              <w:t>0.24%</w:t>
            </w:r>
          </w:p>
        </w:tc>
      </w:tr>
      <w:tr w:rsidR="006C53DC">
        <w:trPr>
          <w:jc w:val="center"/>
        </w:trPr>
        <w:tc>
          <w:tcPr>
            <w:tcW w:w="1701" w:type="dxa"/>
            <w:vAlign w:val="center"/>
          </w:tcPr>
          <w:p w:rsidR="006C53DC" w:rsidRDefault="0085384D">
            <w:pPr>
              <w:jc w:val="left"/>
            </w:pPr>
            <w:r>
              <w:rPr>
                <w:color w:val="000000"/>
                <w:sz w:val="24"/>
                <w:szCs w:val="24"/>
              </w:rPr>
              <w:t>过去六个月</w:t>
            </w:r>
          </w:p>
        </w:tc>
        <w:tc>
          <w:tcPr>
            <w:tcW w:w="1045" w:type="dxa"/>
            <w:vAlign w:val="center"/>
          </w:tcPr>
          <w:p w:rsidR="006C53DC" w:rsidRDefault="0085384D">
            <w:pPr>
              <w:jc w:val="center"/>
            </w:pPr>
            <w:r>
              <w:rPr>
                <w:color w:val="000000"/>
                <w:sz w:val="24"/>
                <w:szCs w:val="24"/>
              </w:rPr>
              <w:t>-1.14%</w:t>
            </w:r>
          </w:p>
        </w:tc>
        <w:tc>
          <w:tcPr>
            <w:tcW w:w="1344" w:type="dxa"/>
            <w:vAlign w:val="center"/>
          </w:tcPr>
          <w:p w:rsidR="006C53DC" w:rsidRDefault="0085384D">
            <w:pPr>
              <w:jc w:val="center"/>
            </w:pPr>
            <w:r>
              <w:rPr>
                <w:color w:val="000000"/>
                <w:sz w:val="24"/>
                <w:szCs w:val="24"/>
              </w:rPr>
              <w:t>0.31%</w:t>
            </w:r>
          </w:p>
        </w:tc>
        <w:tc>
          <w:tcPr>
            <w:tcW w:w="1194" w:type="dxa"/>
            <w:vAlign w:val="center"/>
          </w:tcPr>
          <w:p w:rsidR="006C53DC" w:rsidRDefault="0085384D">
            <w:pPr>
              <w:jc w:val="center"/>
            </w:pPr>
            <w:r>
              <w:rPr>
                <w:color w:val="000000"/>
                <w:sz w:val="24"/>
                <w:szCs w:val="24"/>
              </w:rPr>
              <w:t>1.41%</w:t>
            </w:r>
          </w:p>
        </w:tc>
        <w:tc>
          <w:tcPr>
            <w:tcW w:w="1492" w:type="dxa"/>
            <w:vAlign w:val="center"/>
          </w:tcPr>
          <w:p w:rsidR="006C53DC" w:rsidRDefault="0085384D">
            <w:pPr>
              <w:jc w:val="center"/>
            </w:pPr>
            <w:r>
              <w:rPr>
                <w:color w:val="000000"/>
                <w:sz w:val="24"/>
                <w:szCs w:val="24"/>
              </w:rPr>
              <w:t>0.01%</w:t>
            </w:r>
          </w:p>
        </w:tc>
        <w:tc>
          <w:tcPr>
            <w:tcW w:w="1194" w:type="dxa"/>
            <w:vAlign w:val="center"/>
          </w:tcPr>
          <w:p w:rsidR="006C53DC" w:rsidRDefault="0085384D">
            <w:pPr>
              <w:jc w:val="center"/>
            </w:pPr>
            <w:r>
              <w:rPr>
                <w:color w:val="000000"/>
                <w:sz w:val="24"/>
                <w:szCs w:val="24"/>
              </w:rPr>
              <w:t>-2.55%</w:t>
            </w:r>
          </w:p>
        </w:tc>
        <w:tc>
          <w:tcPr>
            <w:tcW w:w="898" w:type="dxa"/>
            <w:vAlign w:val="center"/>
          </w:tcPr>
          <w:p w:rsidR="006C53DC" w:rsidRDefault="0085384D">
            <w:pPr>
              <w:jc w:val="center"/>
            </w:pPr>
            <w:r>
              <w:rPr>
                <w:color w:val="000000"/>
                <w:sz w:val="24"/>
                <w:szCs w:val="24"/>
              </w:rPr>
              <w:t>0.30%</w:t>
            </w:r>
          </w:p>
        </w:tc>
      </w:tr>
      <w:tr w:rsidR="006C53DC">
        <w:trPr>
          <w:jc w:val="center"/>
        </w:trPr>
        <w:tc>
          <w:tcPr>
            <w:tcW w:w="1701" w:type="dxa"/>
            <w:vAlign w:val="center"/>
          </w:tcPr>
          <w:p w:rsidR="006C53DC" w:rsidRDefault="0085384D">
            <w:pPr>
              <w:jc w:val="left"/>
            </w:pPr>
            <w:r>
              <w:rPr>
                <w:color w:val="000000"/>
                <w:sz w:val="24"/>
                <w:szCs w:val="24"/>
              </w:rPr>
              <w:t>过去一年</w:t>
            </w:r>
          </w:p>
        </w:tc>
        <w:tc>
          <w:tcPr>
            <w:tcW w:w="1045" w:type="dxa"/>
            <w:vAlign w:val="center"/>
          </w:tcPr>
          <w:p w:rsidR="006C53DC" w:rsidRDefault="0085384D">
            <w:pPr>
              <w:jc w:val="center"/>
            </w:pPr>
            <w:r>
              <w:rPr>
                <w:color w:val="000000"/>
                <w:sz w:val="24"/>
                <w:szCs w:val="24"/>
              </w:rPr>
              <w:t>1.88%</w:t>
            </w:r>
          </w:p>
        </w:tc>
        <w:tc>
          <w:tcPr>
            <w:tcW w:w="1344" w:type="dxa"/>
            <w:vAlign w:val="center"/>
          </w:tcPr>
          <w:p w:rsidR="006C53DC" w:rsidRDefault="0085384D">
            <w:pPr>
              <w:jc w:val="center"/>
            </w:pPr>
            <w:r>
              <w:rPr>
                <w:color w:val="000000"/>
                <w:sz w:val="24"/>
                <w:szCs w:val="24"/>
              </w:rPr>
              <w:t>0.27%</w:t>
            </w:r>
          </w:p>
        </w:tc>
        <w:tc>
          <w:tcPr>
            <w:tcW w:w="1194" w:type="dxa"/>
            <w:vAlign w:val="center"/>
          </w:tcPr>
          <w:p w:rsidR="006C53DC" w:rsidRDefault="0085384D">
            <w:pPr>
              <w:jc w:val="center"/>
            </w:pPr>
            <w:r>
              <w:rPr>
                <w:color w:val="000000"/>
                <w:sz w:val="24"/>
                <w:szCs w:val="24"/>
              </w:rPr>
              <w:t>2.80%</w:t>
            </w:r>
          </w:p>
        </w:tc>
        <w:tc>
          <w:tcPr>
            <w:tcW w:w="1492" w:type="dxa"/>
            <w:vAlign w:val="center"/>
          </w:tcPr>
          <w:p w:rsidR="006C53DC" w:rsidRDefault="0085384D">
            <w:pPr>
              <w:jc w:val="center"/>
            </w:pPr>
            <w:r>
              <w:rPr>
                <w:color w:val="000000"/>
                <w:sz w:val="24"/>
                <w:szCs w:val="24"/>
              </w:rPr>
              <w:t>0.01%</w:t>
            </w:r>
          </w:p>
        </w:tc>
        <w:tc>
          <w:tcPr>
            <w:tcW w:w="1194" w:type="dxa"/>
            <w:vAlign w:val="center"/>
          </w:tcPr>
          <w:p w:rsidR="006C53DC" w:rsidRDefault="0085384D">
            <w:pPr>
              <w:jc w:val="center"/>
            </w:pPr>
            <w:r>
              <w:rPr>
                <w:color w:val="000000"/>
                <w:sz w:val="24"/>
                <w:szCs w:val="24"/>
              </w:rPr>
              <w:t>-0.92%</w:t>
            </w:r>
          </w:p>
        </w:tc>
        <w:tc>
          <w:tcPr>
            <w:tcW w:w="898" w:type="dxa"/>
            <w:vAlign w:val="center"/>
          </w:tcPr>
          <w:p w:rsidR="006C53DC" w:rsidRDefault="0085384D">
            <w:pPr>
              <w:jc w:val="center"/>
            </w:pPr>
            <w:r>
              <w:rPr>
                <w:color w:val="000000"/>
                <w:sz w:val="24"/>
                <w:szCs w:val="24"/>
              </w:rPr>
              <w:t>0.26%</w:t>
            </w:r>
          </w:p>
        </w:tc>
      </w:tr>
      <w:tr w:rsidR="006C53DC">
        <w:trPr>
          <w:jc w:val="center"/>
        </w:trPr>
        <w:tc>
          <w:tcPr>
            <w:tcW w:w="1701" w:type="dxa"/>
            <w:vAlign w:val="center"/>
          </w:tcPr>
          <w:p w:rsidR="006C53DC" w:rsidRDefault="0085384D">
            <w:pPr>
              <w:jc w:val="left"/>
            </w:pPr>
            <w:r>
              <w:rPr>
                <w:color w:val="000000"/>
                <w:sz w:val="24"/>
                <w:szCs w:val="24"/>
              </w:rPr>
              <w:t>自基金合同生效起至今</w:t>
            </w:r>
          </w:p>
        </w:tc>
        <w:tc>
          <w:tcPr>
            <w:tcW w:w="1045" w:type="dxa"/>
            <w:vAlign w:val="center"/>
          </w:tcPr>
          <w:p w:rsidR="006C53DC" w:rsidRDefault="0085384D">
            <w:pPr>
              <w:jc w:val="center"/>
            </w:pPr>
            <w:r>
              <w:rPr>
                <w:color w:val="000000"/>
                <w:sz w:val="24"/>
                <w:szCs w:val="24"/>
              </w:rPr>
              <w:t>5.39%</w:t>
            </w:r>
          </w:p>
        </w:tc>
        <w:tc>
          <w:tcPr>
            <w:tcW w:w="1344" w:type="dxa"/>
            <w:vAlign w:val="center"/>
          </w:tcPr>
          <w:p w:rsidR="006C53DC" w:rsidRDefault="0085384D">
            <w:pPr>
              <w:jc w:val="center"/>
            </w:pPr>
            <w:r>
              <w:rPr>
                <w:color w:val="000000"/>
                <w:sz w:val="24"/>
                <w:szCs w:val="24"/>
              </w:rPr>
              <w:t>0.23%</w:t>
            </w:r>
          </w:p>
        </w:tc>
        <w:tc>
          <w:tcPr>
            <w:tcW w:w="1194" w:type="dxa"/>
            <w:vAlign w:val="center"/>
          </w:tcPr>
          <w:p w:rsidR="006C53DC" w:rsidRDefault="0085384D">
            <w:pPr>
              <w:jc w:val="center"/>
            </w:pPr>
            <w:r>
              <w:rPr>
                <w:color w:val="000000"/>
                <w:sz w:val="24"/>
                <w:szCs w:val="24"/>
              </w:rPr>
              <w:t>4.44%</w:t>
            </w:r>
          </w:p>
        </w:tc>
        <w:tc>
          <w:tcPr>
            <w:tcW w:w="1492" w:type="dxa"/>
            <w:vAlign w:val="center"/>
          </w:tcPr>
          <w:p w:rsidR="006C53DC" w:rsidRDefault="0085384D">
            <w:pPr>
              <w:jc w:val="center"/>
            </w:pPr>
            <w:r>
              <w:rPr>
                <w:color w:val="000000"/>
                <w:sz w:val="24"/>
                <w:szCs w:val="24"/>
              </w:rPr>
              <w:t>0.01%</w:t>
            </w:r>
          </w:p>
        </w:tc>
        <w:tc>
          <w:tcPr>
            <w:tcW w:w="1194" w:type="dxa"/>
            <w:vAlign w:val="center"/>
          </w:tcPr>
          <w:p w:rsidR="006C53DC" w:rsidRDefault="0085384D">
            <w:pPr>
              <w:jc w:val="center"/>
            </w:pPr>
            <w:r>
              <w:rPr>
                <w:color w:val="000000"/>
                <w:sz w:val="24"/>
                <w:szCs w:val="24"/>
              </w:rPr>
              <w:t>0.95%</w:t>
            </w:r>
          </w:p>
        </w:tc>
        <w:tc>
          <w:tcPr>
            <w:tcW w:w="898" w:type="dxa"/>
            <w:vAlign w:val="center"/>
          </w:tcPr>
          <w:p w:rsidR="006C53DC" w:rsidRDefault="0085384D">
            <w:pPr>
              <w:jc w:val="center"/>
            </w:pPr>
            <w:r>
              <w:rPr>
                <w:color w:val="000000"/>
                <w:sz w:val="24"/>
                <w:szCs w:val="24"/>
              </w:rPr>
              <w:t>0.22%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注：本基金由交银施罗德荣祥保本混合型证券投资基金转型而来。基金转型日为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日。本基金的投资转型期为交银施罗德荣祥保本混合型证券投资基金保本周期到期选择期截止日次日（即</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31</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C53DC">
        <w:trPr>
          <w:jc w:val="center"/>
        </w:trPr>
        <w:tc>
          <w:tcPr>
            <w:tcW w:w="846" w:type="dxa"/>
            <w:vAlign w:val="center"/>
          </w:tcPr>
          <w:p w:rsidR="006C53DC" w:rsidRDefault="0085384D">
            <w:pPr>
              <w:jc w:val="center"/>
            </w:pPr>
            <w:r>
              <w:rPr>
                <w:color w:val="000000"/>
                <w:sz w:val="24"/>
                <w:szCs w:val="24"/>
              </w:rPr>
              <w:t>唐赟</w:t>
            </w:r>
          </w:p>
        </w:tc>
        <w:tc>
          <w:tcPr>
            <w:tcW w:w="845" w:type="dxa"/>
            <w:vAlign w:val="center"/>
          </w:tcPr>
          <w:p w:rsidR="006C53DC" w:rsidRDefault="0085384D">
            <w:pPr>
              <w:jc w:val="center"/>
            </w:pPr>
            <w:r>
              <w:rPr>
                <w:color w:val="000000"/>
                <w:sz w:val="24"/>
                <w:szCs w:val="24"/>
              </w:rPr>
              <w:t>交银信用添利债券</w:t>
            </w:r>
            <w:r>
              <w:rPr>
                <w:color w:val="000000"/>
                <w:sz w:val="24"/>
                <w:szCs w:val="24"/>
              </w:rPr>
              <w:t>(LOF)</w:t>
            </w:r>
            <w:r>
              <w:rPr>
                <w:color w:val="000000"/>
                <w:sz w:val="24"/>
                <w:szCs w:val="24"/>
              </w:rPr>
              <w:t>、交银双利债券、交银双轮动债券、交银定期支付月月丰债券、交银增强收益债券、交银强化回报债券、交银荣鑫灵活配置混合、交银稳固收益债券的基金经</w:t>
            </w:r>
            <w:r>
              <w:rPr>
                <w:color w:val="000000"/>
                <w:sz w:val="24"/>
                <w:szCs w:val="24"/>
              </w:rPr>
              <w:lastRenderedPageBreak/>
              <w:t>理</w:t>
            </w:r>
          </w:p>
        </w:tc>
        <w:tc>
          <w:tcPr>
            <w:tcW w:w="1549" w:type="dxa"/>
            <w:vAlign w:val="center"/>
          </w:tcPr>
          <w:p w:rsidR="006C53DC" w:rsidRDefault="0085384D">
            <w:pPr>
              <w:jc w:val="center"/>
            </w:pPr>
            <w:r>
              <w:rPr>
                <w:color w:val="000000"/>
                <w:sz w:val="24"/>
                <w:szCs w:val="24"/>
              </w:rPr>
              <w:lastRenderedPageBreak/>
              <w:t>2020-07-14</w:t>
            </w:r>
          </w:p>
        </w:tc>
        <w:tc>
          <w:tcPr>
            <w:tcW w:w="1548" w:type="dxa"/>
            <w:vAlign w:val="center"/>
          </w:tcPr>
          <w:p w:rsidR="006C53DC" w:rsidRDefault="0085384D">
            <w:pPr>
              <w:jc w:val="center"/>
            </w:pPr>
            <w:r>
              <w:rPr>
                <w:color w:val="000000"/>
                <w:sz w:val="24"/>
                <w:szCs w:val="24"/>
              </w:rPr>
              <w:t>-</w:t>
            </w:r>
          </w:p>
        </w:tc>
        <w:tc>
          <w:tcPr>
            <w:tcW w:w="1407" w:type="dxa"/>
            <w:vAlign w:val="center"/>
          </w:tcPr>
          <w:p w:rsidR="006C53DC" w:rsidRDefault="0085384D">
            <w:pPr>
              <w:jc w:val="center"/>
            </w:pPr>
            <w:r>
              <w:rPr>
                <w:color w:val="000000"/>
                <w:sz w:val="24"/>
                <w:szCs w:val="24"/>
              </w:rPr>
              <w:t>10</w:t>
            </w:r>
            <w:r>
              <w:rPr>
                <w:color w:val="000000"/>
                <w:sz w:val="24"/>
                <w:szCs w:val="24"/>
              </w:rPr>
              <w:t>年</w:t>
            </w:r>
          </w:p>
        </w:tc>
        <w:tc>
          <w:tcPr>
            <w:tcW w:w="2673" w:type="dxa"/>
            <w:vAlign w:val="center"/>
          </w:tcPr>
          <w:p w:rsidR="006C53DC" w:rsidRDefault="0085384D">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0</w:t>
            </w:r>
            <w:r>
              <w:rPr>
                <w:color w:val="000000"/>
                <w:sz w:val="24"/>
                <w:szCs w:val="24"/>
              </w:rPr>
              <w:t>月</w:t>
            </w:r>
            <w:r>
              <w:rPr>
                <w:color w:val="000000"/>
                <w:sz w:val="24"/>
                <w:szCs w:val="24"/>
              </w:rPr>
              <w:t>23</w:t>
            </w:r>
            <w:r>
              <w:rPr>
                <w:color w:val="000000"/>
                <w:sz w:val="24"/>
                <w:szCs w:val="24"/>
              </w:rPr>
              <w:t>日担任交银施罗德裕通纯债债券型证券投资基金的基金经理。</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12</w:t>
            </w:r>
            <w:r>
              <w:rPr>
                <w:color w:val="000000"/>
                <w:sz w:val="24"/>
                <w:szCs w:val="24"/>
              </w:rPr>
              <w:t>月</w:t>
            </w:r>
            <w:r>
              <w:rPr>
                <w:color w:val="000000"/>
                <w:sz w:val="24"/>
                <w:szCs w:val="24"/>
              </w:rPr>
              <w:t>13</w:t>
            </w:r>
            <w:r>
              <w:rPr>
                <w:color w:val="000000"/>
                <w:sz w:val="24"/>
                <w:szCs w:val="24"/>
              </w:rPr>
              <w:t>日担任交银施罗德安心收益债券型证券投资基金的基金经理。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C53DC" w:rsidRDefault="0085384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6C53DC" w:rsidRDefault="0085384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w:t>
      </w:r>
      <w:r>
        <w:rPr>
          <w:color w:val="000000"/>
          <w:sz w:val="24"/>
          <w:szCs w:val="24"/>
        </w:rPr>
        <w:t>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6C53DC" w:rsidRDefault="0085384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szCs w:val="24"/>
        </w:rPr>
        <w:t>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C53DC" w:rsidRDefault="0085384D">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债券市场总体呈现出收益率先上后下的震荡行情。进入十月后，央行重提总闸门引发货币政策进一步收紧的预期，收益率小幅震荡上行。十一月上旬，部分信用债超预期违约事件爆发，引起市场对于弱资质国企信用风险的一致担忧，信用债和利率债均经历了一波大幅下跌。当月下旬开始到年底，随着金稳委出面强调坚决打击逃废债行为，央行配合超预期投放流动性，加上经济工作会议表态不会出现政策</w:t>
      </w:r>
      <w:r>
        <w:rPr>
          <w:color w:val="000000"/>
          <w:sz w:val="24"/>
          <w:szCs w:val="24"/>
        </w:rPr>
        <w:t>“</w:t>
      </w:r>
      <w:r>
        <w:rPr>
          <w:color w:val="000000"/>
          <w:sz w:val="24"/>
          <w:szCs w:val="24"/>
        </w:rPr>
        <w:t>急转弯</w:t>
      </w:r>
      <w:r>
        <w:rPr>
          <w:color w:val="000000"/>
          <w:sz w:val="24"/>
          <w:szCs w:val="24"/>
        </w:rPr>
        <w:t>”</w:t>
      </w:r>
      <w:r>
        <w:rPr>
          <w:color w:val="000000"/>
          <w:sz w:val="24"/>
          <w:szCs w:val="24"/>
        </w:rPr>
        <w:t>，债券市场在配置和交易力量的共同带动下，收益率转而下行，市场情绪明显缓和。权益类资产方面，市场在报告期内大部分时间处于窄幅震荡行情</w:t>
      </w:r>
      <w:r>
        <w:rPr>
          <w:color w:val="000000"/>
          <w:sz w:val="24"/>
          <w:szCs w:val="24"/>
        </w:rPr>
        <w:t>，新能源车、光伏等部分行业有结构性行情。</w:t>
      </w:r>
    </w:p>
    <w:p w:rsidR="006C53DC" w:rsidRDefault="0085384D">
      <w:pPr>
        <w:spacing w:before="29" w:line="288" w:lineRule="auto"/>
        <w:ind w:firstLineChars="200" w:firstLine="480"/>
        <w:rPr>
          <w:color w:val="000000"/>
          <w:sz w:val="24"/>
          <w:szCs w:val="24"/>
        </w:rPr>
      </w:pPr>
      <w:r>
        <w:rPr>
          <w:color w:val="000000"/>
          <w:sz w:val="24"/>
          <w:szCs w:val="24"/>
        </w:rPr>
        <w:t>报告期内，组合的债券资产维持短久期低仓位配置。权益资产则维持在中性仓位附近，行业配置上以消费、新能源板块等行业为主。</w:t>
      </w:r>
    </w:p>
    <w:p w:rsidR="006C53DC" w:rsidRDefault="0085384D">
      <w:pPr>
        <w:spacing w:before="29" w:line="288" w:lineRule="auto"/>
        <w:ind w:firstLineChars="200" w:firstLine="480"/>
        <w:rPr>
          <w:color w:val="000000"/>
          <w:sz w:val="24"/>
          <w:szCs w:val="24"/>
        </w:rPr>
      </w:pPr>
      <w:r>
        <w:rPr>
          <w:color w:val="000000"/>
          <w:sz w:val="24"/>
          <w:szCs w:val="24"/>
        </w:rPr>
        <w:t>展望</w:t>
      </w:r>
      <w:r>
        <w:rPr>
          <w:color w:val="000000"/>
          <w:sz w:val="24"/>
          <w:szCs w:val="24"/>
        </w:rPr>
        <w:t>2021</w:t>
      </w:r>
      <w:r>
        <w:rPr>
          <w:color w:val="000000"/>
          <w:sz w:val="24"/>
          <w:szCs w:val="24"/>
        </w:rPr>
        <w:t>年一季度，经济增长动能将从疫情后以基建、地产等逆周期因素拉动，继续逐步切换到以消费、制造业为支柱的顺周期方向，同时出口受到疫苗接种和海外复苏影响，韧性相对较强，预计</w:t>
      </w:r>
      <w:r>
        <w:rPr>
          <w:color w:val="000000"/>
          <w:sz w:val="24"/>
          <w:szCs w:val="24"/>
        </w:rPr>
        <w:t>2021</w:t>
      </w:r>
      <w:r>
        <w:rPr>
          <w:color w:val="000000"/>
          <w:sz w:val="24"/>
          <w:szCs w:val="24"/>
        </w:rPr>
        <w:t>年的经济运行将回归正常轨道。节奏上，环比增长预计先稳后弱，下半年增长压力或将大于上半年。宏观政策方面，在稳定宏观杠杆率和政策不急转弯的大环境下，</w:t>
      </w:r>
      <w:r>
        <w:rPr>
          <w:color w:val="000000"/>
          <w:sz w:val="24"/>
          <w:szCs w:val="24"/>
        </w:rPr>
        <w:t>2021</w:t>
      </w:r>
      <w:r>
        <w:rPr>
          <w:color w:val="000000"/>
          <w:sz w:val="24"/>
          <w:szCs w:val="24"/>
        </w:rPr>
        <w:t>年或呈现信用环境</w:t>
      </w:r>
      <w:r>
        <w:rPr>
          <w:color w:val="000000"/>
          <w:sz w:val="24"/>
          <w:szCs w:val="24"/>
        </w:rPr>
        <w:t>边际收紧、货币条件先紧后松、通胀趋势先上后稳的格局。对于债券市场，我们认为明年整体机会大于风险。节奏上，预计在二季度前后，经济环比增长动力将边际趋弱，届时债券市场的趋势性配置价值或将显现。同时，</w:t>
      </w:r>
      <w:r>
        <w:rPr>
          <w:color w:val="000000"/>
          <w:sz w:val="24"/>
          <w:szCs w:val="24"/>
        </w:rPr>
        <w:t>2021</w:t>
      </w:r>
      <w:r>
        <w:rPr>
          <w:color w:val="000000"/>
          <w:sz w:val="24"/>
          <w:szCs w:val="24"/>
        </w:rPr>
        <w:t>年信用环境边际收缩、叠加信用债到期压力较大，预计低等级信用债券的信用利差存在持续走扩压力。</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组合策略方面，我们将保持债券资产相对偏低的杠杆和久期，适当关注长端利率的波段交易机会。权益资产方面，我们将寻找未来一段时间景气度较高的行业及行业地位明确、增长确定性较高的公司，在控制组合回撤的前提下，积极把握权益类资产可能带来的增厚组合收益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6,913,652.70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6,913,652.70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44,983,532.00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44,983,532.00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1,496,805.70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1,275,646.21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54,669,636.61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6,530,940.70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382,712.00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6,913,652.70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C53DC">
        <w:trPr>
          <w:jc w:val="center"/>
        </w:trPr>
        <w:tc>
          <w:tcPr>
            <w:tcW w:w="855" w:type="dxa"/>
            <w:vAlign w:val="center"/>
          </w:tcPr>
          <w:p w:rsidR="006C53DC" w:rsidRDefault="0085384D">
            <w:pPr>
              <w:jc w:val="center"/>
            </w:pPr>
            <w:r>
              <w:rPr>
                <w:color w:val="000000"/>
                <w:sz w:val="24"/>
                <w:szCs w:val="24"/>
              </w:rPr>
              <w:t>1</w:t>
            </w:r>
          </w:p>
        </w:tc>
        <w:tc>
          <w:tcPr>
            <w:tcW w:w="1334" w:type="dxa"/>
            <w:vAlign w:val="center"/>
          </w:tcPr>
          <w:p w:rsidR="006C53DC" w:rsidRDefault="0085384D">
            <w:pPr>
              <w:jc w:val="center"/>
            </w:pPr>
            <w:r>
              <w:rPr>
                <w:color w:val="000000"/>
                <w:sz w:val="24"/>
                <w:szCs w:val="24"/>
              </w:rPr>
              <w:t>600519</w:t>
            </w:r>
          </w:p>
        </w:tc>
        <w:tc>
          <w:tcPr>
            <w:tcW w:w="1777" w:type="dxa"/>
            <w:vAlign w:val="center"/>
          </w:tcPr>
          <w:p w:rsidR="006C53DC" w:rsidRDefault="0085384D">
            <w:pPr>
              <w:jc w:val="center"/>
            </w:pPr>
            <w:r>
              <w:rPr>
                <w:color w:val="000000"/>
                <w:sz w:val="24"/>
                <w:szCs w:val="24"/>
              </w:rPr>
              <w:t>贵州茅台</w:t>
            </w:r>
          </w:p>
        </w:tc>
        <w:tc>
          <w:tcPr>
            <w:tcW w:w="1334" w:type="dxa"/>
            <w:vAlign w:val="center"/>
          </w:tcPr>
          <w:p w:rsidR="006C53DC" w:rsidRDefault="0085384D">
            <w:pPr>
              <w:jc w:val="right"/>
            </w:pPr>
            <w:r>
              <w:rPr>
                <w:color w:val="000000"/>
                <w:sz w:val="24"/>
                <w:szCs w:val="24"/>
              </w:rPr>
              <w:t>600</w:t>
            </w:r>
          </w:p>
        </w:tc>
        <w:tc>
          <w:tcPr>
            <w:tcW w:w="1924" w:type="dxa"/>
            <w:vAlign w:val="center"/>
          </w:tcPr>
          <w:p w:rsidR="006C53DC" w:rsidRDefault="0085384D">
            <w:pPr>
              <w:jc w:val="right"/>
            </w:pPr>
            <w:r>
              <w:rPr>
                <w:color w:val="000000"/>
                <w:sz w:val="24"/>
                <w:szCs w:val="24"/>
              </w:rPr>
              <w:t>1,198,800.00</w:t>
            </w:r>
          </w:p>
        </w:tc>
        <w:tc>
          <w:tcPr>
            <w:tcW w:w="1644" w:type="dxa"/>
            <w:vAlign w:val="center"/>
          </w:tcPr>
          <w:p w:rsidR="006C53DC" w:rsidRDefault="0085384D">
            <w:pPr>
              <w:jc w:val="right"/>
            </w:pPr>
            <w:r>
              <w:rPr>
                <w:color w:val="000000"/>
                <w:sz w:val="24"/>
                <w:szCs w:val="24"/>
              </w:rPr>
              <w:t>2.39</w:t>
            </w:r>
          </w:p>
        </w:tc>
      </w:tr>
      <w:tr w:rsidR="006C53DC">
        <w:trPr>
          <w:jc w:val="center"/>
        </w:trPr>
        <w:tc>
          <w:tcPr>
            <w:tcW w:w="855" w:type="dxa"/>
            <w:vAlign w:val="center"/>
          </w:tcPr>
          <w:p w:rsidR="006C53DC" w:rsidRDefault="0085384D">
            <w:pPr>
              <w:jc w:val="center"/>
            </w:pPr>
            <w:r>
              <w:rPr>
                <w:color w:val="000000"/>
                <w:sz w:val="24"/>
                <w:szCs w:val="24"/>
              </w:rPr>
              <w:t>2</w:t>
            </w:r>
          </w:p>
        </w:tc>
        <w:tc>
          <w:tcPr>
            <w:tcW w:w="1334" w:type="dxa"/>
            <w:vAlign w:val="center"/>
          </w:tcPr>
          <w:p w:rsidR="006C53DC" w:rsidRDefault="0085384D">
            <w:pPr>
              <w:jc w:val="center"/>
            </w:pPr>
            <w:r>
              <w:rPr>
                <w:color w:val="000000"/>
                <w:sz w:val="24"/>
                <w:szCs w:val="24"/>
              </w:rPr>
              <w:t>300124</w:t>
            </w:r>
          </w:p>
        </w:tc>
        <w:tc>
          <w:tcPr>
            <w:tcW w:w="1777" w:type="dxa"/>
            <w:vAlign w:val="center"/>
          </w:tcPr>
          <w:p w:rsidR="006C53DC" w:rsidRDefault="0085384D">
            <w:pPr>
              <w:jc w:val="center"/>
            </w:pPr>
            <w:r>
              <w:rPr>
                <w:color w:val="000000"/>
                <w:sz w:val="24"/>
                <w:szCs w:val="24"/>
              </w:rPr>
              <w:t>汇川技术</w:t>
            </w:r>
          </w:p>
        </w:tc>
        <w:tc>
          <w:tcPr>
            <w:tcW w:w="1334" w:type="dxa"/>
            <w:vAlign w:val="center"/>
          </w:tcPr>
          <w:p w:rsidR="006C53DC" w:rsidRDefault="0085384D">
            <w:pPr>
              <w:jc w:val="right"/>
            </w:pPr>
            <w:r>
              <w:rPr>
                <w:color w:val="000000"/>
                <w:sz w:val="24"/>
                <w:szCs w:val="24"/>
              </w:rPr>
              <w:t>8,759</w:t>
            </w:r>
          </w:p>
        </w:tc>
        <w:tc>
          <w:tcPr>
            <w:tcW w:w="1924" w:type="dxa"/>
            <w:vAlign w:val="center"/>
          </w:tcPr>
          <w:p w:rsidR="006C53DC" w:rsidRDefault="0085384D">
            <w:pPr>
              <w:jc w:val="right"/>
            </w:pPr>
            <w:r>
              <w:rPr>
                <w:color w:val="000000"/>
                <w:sz w:val="24"/>
                <w:szCs w:val="24"/>
              </w:rPr>
              <w:t>817,214.70</w:t>
            </w:r>
          </w:p>
        </w:tc>
        <w:tc>
          <w:tcPr>
            <w:tcW w:w="1644" w:type="dxa"/>
            <w:vAlign w:val="center"/>
          </w:tcPr>
          <w:p w:rsidR="006C53DC" w:rsidRDefault="0085384D">
            <w:pPr>
              <w:jc w:val="right"/>
            </w:pPr>
            <w:r>
              <w:rPr>
                <w:color w:val="000000"/>
                <w:sz w:val="24"/>
                <w:szCs w:val="24"/>
              </w:rPr>
              <w:t>1.63</w:t>
            </w:r>
          </w:p>
        </w:tc>
      </w:tr>
      <w:tr w:rsidR="006C53DC">
        <w:trPr>
          <w:jc w:val="center"/>
        </w:trPr>
        <w:tc>
          <w:tcPr>
            <w:tcW w:w="855" w:type="dxa"/>
            <w:vAlign w:val="center"/>
          </w:tcPr>
          <w:p w:rsidR="006C53DC" w:rsidRDefault="0085384D">
            <w:pPr>
              <w:jc w:val="center"/>
            </w:pPr>
            <w:r>
              <w:rPr>
                <w:color w:val="000000"/>
                <w:sz w:val="24"/>
                <w:szCs w:val="24"/>
              </w:rPr>
              <w:t>3</w:t>
            </w:r>
          </w:p>
        </w:tc>
        <w:tc>
          <w:tcPr>
            <w:tcW w:w="1334" w:type="dxa"/>
            <w:vAlign w:val="center"/>
          </w:tcPr>
          <w:p w:rsidR="006C53DC" w:rsidRDefault="0085384D">
            <w:pPr>
              <w:jc w:val="center"/>
            </w:pPr>
            <w:r>
              <w:rPr>
                <w:color w:val="000000"/>
                <w:sz w:val="24"/>
                <w:szCs w:val="24"/>
              </w:rPr>
              <w:t>688002</w:t>
            </w:r>
          </w:p>
        </w:tc>
        <w:tc>
          <w:tcPr>
            <w:tcW w:w="1777" w:type="dxa"/>
            <w:vAlign w:val="center"/>
          </w:tcPr>
          <w:p w:rsidR="006C53DC" w:rsidRDefault="0085384D">
            <w:pPr>
              <w:jc w:val="center"/>
            </w:pPr>
            <w:r>
              <w:rPr>
                <w:color w:val="000000"/>
                <w:sz w:val="24"/>
                <w:szCs w:val="24"/>
              </w:rPr>
              <w:t>睿创微纳</w:t>
            </w:r>
          </w:p>
        </w:tc>
        <w:tc>
          <w:tcPr>
            <w:tcW w:w="1334" w:type="dxa"/>
            <w:vAlign w:val="center"/>
          </w:tcPr>
          <w:p w:rsidR="006C53DC" w:rsidRDefault="0085384D">
            <w:pPr>
              <w:jc w:val="right"/>
            </w:pPr>
            <w:r>
              <w:rPr>
                <w:color w:val="000000"/>
                <w:sz w:val="24"/>
                <w:szCs w:val="24"/>
              </w:rPr>
              <w:t>6,710</w:t>
            </w:r>
          </w:p>
        </w:tc>
        <w:tc>
          <w:tcPr>
            <w:tcW w:w="1924" w:type="dxa"/>
            <w:vAlign w:val="center"/>
          </w:tcPr>
          <w:p w:rsidR="006C53DC" w:rsidRDefault="0085384D">
            <w:pPr>
              <w:jc w:val="right"/>
            </w:pPr>
            <w:r>
              <w:rPr>
                <w:color w:val="000000"/>
                <w:sz w:val="24"/>
                <w:szCs w:val="24"/>
              </w:rPr>
              <w:t>744,810.00</w:t>
            </w:r>
          </w:p>
        </w:tc>
        <w:tc>
          <w:tcPr>
            <w:tcW w:w="1644" w:type="dxa"/>
            <w:vAlign w:val="center"/>
          </w:tcPr>
          <w:p w:rsidR="006C53DC" w:rsidRDefault="0085384D">
            <w:pPr>
              <w:jc w:val="right"/>
            </w:pPr>
            <w:r>
              <w:rPr>
                <w:color w:val="000000"/>
                <w:sz w:val="24"/>
                <w:szCs w:val="24"/>
              </w:rPr>
              <w:t>1.48</w:t>
            </w:r>
          </w:p>
        </w:tc>
      </w:tr>
      <w:tr w:rsidR="006C53DC">
        <w:trPr>
          <w:jc w:val="center"/>
        </w:trPr>
        <w:tc>
          <w:tcPr>
            <w:tcW w:w="855" w:type="dxa"/>
            <w:vAlign w:val="center"/>
          </w:tcPr>
          <w:p w:rsidR="006C53DC" w:rsidRDefault="0085384D">
            <w:pPr>
              <w:jc w:val="center"/>
            </w:pPr>
            <w:r>
              <w:rPr>
                <w:color w:val="000000"/>
                <w:sz w:val="24"/>
                <w:szCs w:val="24"/>
              </w:rPr>
              <w:t>4</w:t>
            </w:r>
          </w:p>
        </w:tc>
        <w:tc>
          <w:tcPr>
            <w:tcW w:w="1334" w:type="dxa"/>
            <w:vAlign w:val="center"/>
          </w:tcPr>
          <w:p w:rsidR="006C53DC" w:rsidRDefault="0085384D">
            <w:pPr>
              <w:jc w:val="center"/>
            </w:pPr>
            <w:r>
              <w:rPr>
                <w:color w:val="000000"/>
                <w:sz w:val="24"/>
                <w:szCs w:val="24"/>
              </w:rPr>
              <w:t>002594</w:t>
            </w:r>
          </w:p>
        </w:tc>
        <w:tc>
          <w:tcPr>
            <w:tcW w:w="1777" w:type="dxa"/>
            <w:vAlign w:val="center"/>
          </w:tcPr>
          <w:p w:rsidR="006C53DC" w:rsidRDefault="0085384D">
            <w:pPr>
              <w:jc w:val="center"/>
            </w:pPr>
            <w:r>
              <w:rPr>
                <w:color w:val="000000"/>
                <w:sz w:val="24"/>
                <w:szCs w:val="24"/>
              </w:rPr>
              <w:t>比亚迪</w:t>
            </w:r>
          </w:p>
        </w:tc>
        <w:tc>
          <w:tcPr>
            <w:tcW w:w="1334" w:type="dxa"/>
            <w:vAlign w:val="center"/>
          </w:tcPr>
          <w:p w:rsidR="006C53DC" w:rsidRDefault="0085384D">
            <w:pPr>
              <w:jc w:val="right"/>
            </w:pPr>
            <w:r>
              <w:rPr>
                <w:color w:val="000000"/>
                <w:sz w:val="24"/>
                <w:szCs w:val="24"/>
              </w:rPr>
              <w:t>3,000</w:t>
            </w:r>
          </w:p>
        </w:tc>
        <w:tc>
          <w:tcPr>
            <w:tcW w:w="1924" w:type="dxa"/>
            <w:vAlign w:val="center"/>
          </w:tcPr>
          <w:p w:rsidR="006C53DC" w:rsidRDefault="0085384D">
            <w:pPr>
              <w:jc w:val="right"/>
            </w:pPr>
            <w:r>
              <w:rPr>
                <w:color w:val="000000"/>
                <w:sz w:val="24"/>
                <w:szCs w:val="24"/>
              </w:rPr>
              <w:t>582,900.00</w:t>
            </w:r>
          </w:p>
        </w:tc>
        <w:tc>
          <w:tcPr>
            <w:tcW w:w="1644" w:type="dxa"/>
            <w:vAlign w:val="center"/>
          </w:tcPr>
          <w:p w:rsidR="006C53DC" w:rsidRDefault="0085384D">
            <w:pPr>
              <w:jc w:val="right"/>
            </w:pPr>
            <w:r>
              <w:rPr>
                <w:color w:val="000000"/>
                <w:sz w:val="24"/>
                <w:szCs w:val="24"/>
              </w:rPr>
              <w:t>1.16</w:t>
            </w:r>
          </w:p>
        </w:tc>
      </w:tr>
      <w:tr w:rsidR="006C53DC">
        <w:trPr>
          <w:jc w:val="center"/>
        </w:trPr>
        <w:tc>
          <w:tcPr>
            <w:tcW w:w="855" w:type="dxa"/>
            <w:vAlign w:val="center"/>
          </w:tcPr>
          <w:p w:rsidR="006C53DC" w:rsidRDefault="0085384D">
            <w:pPr>
              <w:jc w:val="center"/>
            </w:pPr>
            <w:r>
              <w:rPr>
                <w:color w:val="000000"/>
                <w:sz w:val="24"/>
                <w:szCs w:val="24"/>
              </w:rPr>
              <w:t>5</w:t>
            </w:r>
          </w:p>
        </w:tc>
        <w:tc>
          <w:tcPr>
            <w:tcW w:w="1334" w:type="dxa"/>
            <w:vAlign w:val="center"/>
          </w:tcPr>
          <w:p w:rsidR="006C53DC" w:rsidRDefault="0085384D">
            <w:pPr>
              <w:jc w:val="center"/>
            </w:pPr>
            <w:r>
              <w:rPr>
                <w:color w:val="000000"/>
                <w:sz w:val="24"/>
                <w:szCs w:val="24"/>
              </w:rPr>
              <w:t>002304</w:t>
            </w:r>
          </w:p>
        </w:tc>
        <w:tc>
          <w:tcPr>
            <w:tcW w:w="1777" w:type="dxa"/>
            <w:vAlign w:val="center"/>
          </w:tcPr>
          <w:p w:rsidR="006C53DC" w:rsidRDefault="0085384D">
            <w:pPr>
              <w:jc w:val="center"/>
            </w:pPr>
            <w:r>
              <w:rPr>
                <w:color w:val="000000"/>
                <w:sz w:val="24"/>
                <w:szCs w:val="24"/>
              </w:rPr>
              <w:t>洋河股份</w:t>
            </w:r>
          </w:p>
        </w:tc>
        <w:tc>
          <w:tcPr>
            <w:tcW w:w="1334" w:type="dxa"/>
            <w:vAlign w:val="center"/>
          </w:tcPr>
          <w:p w:rsidR="006C53DC" w:rsidRDefault="0085384D">
            <w:pPr>
              <w:jc w:val="right"/>
            </w:pPr>
            <w:r>
              <w:rPr>
                <w:color w:val="000000"/>
                <w:sz w:val="24"/>
                <w:szCs w:val="24"/>
              </w:rPr>
              <w:t>2,400</w:t>
            </w:r>
          </w:p>
        </w:tc>
        <w:tc>
          <w:tcPr>
            <w:tcW w:w="1924" w:type="dxa"/>
            <w:vAlign w:val="center"/>
          </w:tcPr>
          <w:p w:rsidR="006C53DC" w:rsidRDefault="0085384D">
            <w:pPr>
              <w:jc w:val="right"/>
            </w:pPr>
            <w:r>
              <w:rPr>
                <w:color w:val="000000"/>
                <w:sz w:val="24"/>
                <w:szCs w:val="24"/>
              </w:rPr>
              <w:t>566,376.00</w:t>
            </w:r>
          </w:p>
        </w:tc>
        <w:tc>
          <w:tcPr>
            <w:tcW w:w="1644" w:type="dxa"/>
            <w:vAlign w:val="center"/>
          </w:tcPr>
          <w:p w:rsidR="006C53DC" w:rsidRDefault="0085384D">
            <w:pPr>
              <w:jc w:val="right"/>
            </w:pPr>
            <w:r>
              <w:rPr>
                <w:color w:val="000000"/>
                <w:sz w:val="24"/>
                <w:szCs w:val="24"/>
              </w:rPr>
              <w:t>1.13</w:t>
            </w:r>
          </w:p>
        </w:tc>
      </w:tr>
      <w:tr w:rsidR="006C53DC">
        <w:trPr>
          <w:jc w:val="center"/>
        </w:trPr>
        <w:tc>
          <w:tcPr>
            <w:tcW w:w="855" w:type="dxa"/>
            <w:vAlign w:val="center"/>
          </w:tcPr>
          <w:p w:rsidR="006C53DC" w:rsidRDefault="0085384D">
            <w:pPr>
              <w:jc w:val="center"/>
            </w:pPr>
            <w:r>
              <w:rPr>
                <w:color w:val="000000"/>
                <w:sz w:val="24"/>
                <w:szCs w:val="24"/>
              </w:rPr>
              <w:t>6</w:t>
            </w:r>
          </w:p>
        </w:tc>
        <w:tc>
          <w:tcPr>
            <w:tcW w:w="1334" w:type="dxa"/>
            <w:vAlign w:val="center"/>
          </w:tcPr>
          <w:p w:rsidR="006C53DC" w:rsidRDefault="0085384D">
            <w:pPr>
              <w:jc w:val="center"/>
            </w:pPr>
            <w:r>
              <w:rPr>
                <w:color w:val="000000"/>
                <w:sz w:val="24"/>
                <w:szCs w:val="24"/>
              </w:rPr>
              <w:t>603317</w:t>
            </w:r>
          </w:p>
        </w:tc>
        <w:tc>
          <w:tcPr>
            <w:tcW w:w="1777" w:type="dxa"/>
            <w:vAlign w:val="center"/>
          </w:tcPr>
          <w:p w:rsidR="006C53DC" w:rsidRDefault="0085384D">
            <w:pPr>
              <w:jc w:val="center"/>
            </w:pPr>
            <w:r>
              <w:rPr>
                <w:color w:val="000000"/>
                <w:sz w:val="24"/>
                <w:szCs w:val="24"/>
              </w:rPr>
              <w:t>天味食品</w:t>
            </w:r>
          </w:p>
        </w:tc>
        <w:tc>
          <w:tcPr>
            <w:tcW w:w="1334" w:type="dxa"/>
            <w:vAlign w:val="center"/>
          </w:tcPr>
          <w:p w:rsidR="006C53DC" w:rsidRDefault="0085384D">
            <w:pPr>
              <w:jc w:val="right"/>
            </w:pPr>
            <w:r>
              <w:rPr>
                <w:color w:val="000000"/>
                <w:sz w:val="24"/>
                <w:szCs w:val="24"/>
              </w:rPr>
              <w:t>5,000</w:t>
            </w:r>
          </w:p>
        </w:tc>
        <w:tc>
          <w:tcPr>
            <w:tcW w:w="1924" w:type="dxa"/>
            <w:vAlign w:val="center"/>
          </w:tcPr>
          <w:p w:rsidR="006C53DC" w:rsidRDefault="0085384D">
            <w:pPr>
              <w:jc w:val="right"/>
            </w:pPr>
            <w:r>
              <w:rPr>
                <w:color w:val="000000"/>
                <w:sz w:val="24"/>
                <w:szCs w:val="24"/>
              </w:rPr>
              <w:t>411,200.00</w:t>
            </w:r>
          </w:p>
        </w:tc>
        <w:tc>
          <w:tcPr>
            <w:tcW w:w="1644" w:type="dxa"/>
            <w:vAlign w:val="center"/>
          </w:tcPr>
          <w:p w:rsidR="006C53DC" w:rsidRDefault="0085384D">
            <w:pPr>
              <w:jc w:val="right"/>
            </w:pPr>
            <w:r>
              <w:rPr>
                <w:color w:val="000000"/>
                <w:sz w:val="24"/>
                <w:szCs w:val="24"/>
              </w:rPr>
              <w:t>0.82</w:t>
            </w:r>
          </w:p>
        </w:tc>
      </w:tr>
      <w:tr w:rsidR="006C53DC">
        <w:trPr>
          <w:jc w:val="center"/>
        </w:trPr>
        <w:tc>
          <w:tcPr>
            <w:tcW w:w="855" w:type="dxa"/>
            <w:vAlign w:val="center"/>
          </w:tcPr>
          <w:p w:rsidR="006C53DC" w:rsidRDefault="0085384D">
            <w:pPr>
              <w:jc w:val="center"/>
            </w:pPr>
            <w:r>
              <w:rPr>
                <w:color w:val="000000"/>
                <w:sz w:val="24"/>
                <w:szCs w:val="24"/>
              </w:rPr>
              <w:t>7</w:t>
            </w:r>
          </w:p>
        </w:tc>
        <w:tc>
          <w:tcPr>
            <w:tcW w:w="1334" w:type="dxa"/>
            <w:vAlign w:val="center"/>
          </w:tcPr>
          <w:p w:rsidR="006C53DC" w:rsidRDefault="0085384D">
            <w:pPr>
              <w:jc w:val="center"/>
            </w:pPr>
            <w:r>
              <w:rPr>
                <w:color w:val="000000"/>
                <w:sz w:val="24"/>
                <w:szCs w:val="24"/>
              </w:rPr>
              <w:t>300122</w:t>
            </w:r>
          </w:p>
        </w:tc>
        <w:tc>
          <w:tcPr>
            <w:tcW w:w="1777" w:type="dxa"/>
            <w:vAlign w:val="center"/>
          </w:tcPr>
          <w:p w:rsidR="006C53DC" w:rsidRDefault="0085384D">
            <w:pPr>
              <w:jc w:val="center"/>
            </w:pPr>
            <w:r>
              <w:rPr>
                <w:color w:val="000000"/>
                <w:sz w:val="24"/>
                <w:szCs w:val="24"/>
              </w:rPr>
              <w:t>智飞生物</w:t>
            </w:r>
          </w:p>
        </w:tc>
        <w:tc>
          <w:tcPr>
            <w:tcW w:w="1334" w:type="dxa"/>
            <w:vAlign w:val="center"/>
          </w:tcPr>
          <w:p w:rsidR="006C53DC" w:rsidRDefault="0085384D">
            <w:pPr>
              <w:jc w:val="right"/>
            </w:pPr>
            <w:r>
              <w:rPr>
                <w:color w:val="000000"/>
                <w:sz w:val="24"/>
                <w:szCs w:val="24"/>
              </w:rPr>
              <w:t>2,700</w:t>
            </w:r>
          </w:p>
        </w:tc>
        <w:tc>
          <w:tcPr>
            <w:tcW w:w="1924" w:type="dxa"/>
            <w:vAlign w:val="center"/>
          </w:tcPr>
          <w:p w:rsidR="006C53DC" w:rsidRDefault="0085384D">
            <w:pPr>
              <w:jc w:val="right"/>
            </w:pPr>
            <w:r>
              <w:rPr>
                <w:color w:val="000000"/>
                <w:sz w:val="24"/>
                <w:szCs w:val="24"/>
              </w:rPr>
              <w:t>399,357.00</w:t>
            </w:r>
          </w:p>
        </w:tc>
        <w:tc>
          <w:tcPr>
            <w:tcW w:w="1644" w:type="dxa"/>
            <w:vAlign w:val="center"/>
          </w:tcPr>
          <w:p w:rsidR="006C53DC" w:rsidRDefault="0085384D">
            <w:pPr>
              <w:jc w:val="right"/>
            </w:pPr>
            <w:r>
              <w:rPr>
                <w:color w:val="000000"/>
                <w:sz w:val="24"/>
                <w:szCs w:val="24"/>
              </w:rPr>
              <w:t>0.80</w:t>
            </w:r>
          </w:p>
        </w:tc>
      </w:tr>
      <w:tr w:rsidR="006C53DC">
        <w:trPr>
          <w:jc w:val="center"/>
        </w:trPr>
        <w:tc>
          <w:tcPr>
            <w:tcW w:w="855" w:type="dxa"/>
            <w:vAlign w:val="center"/>
          </w:tcPr>
          <w:p w:rsidR="006C53DC" w:rsidRDefault="0085384D">
            <w:pPr>
              <w:jc w:val="center"/>
            </w:pPr>
            <w:r>
              <w:rPr>
                <w:color w:val="000000"/>
                <w:sz w:val="24"/>
                <w:szCs w:val="24"/>
              </w:rPr>
              <w:t>8</w:t>
            </w:r>
          </w:p>
        </w:tc>
        <w:tc>
          <w:tcPr>
            <w:tcW w:w="1334" w:type="dxa"/>
            <w:vAlign w:val="center"/>
          </w:tcPr>
          <w:p w:rsidR="006C53DC" w:rsidRDefault="0085384D">
            <w:pPr>
              <w:jc w:val="center"/>
            </w:pPr>
            <w:r>
              <w:rPr>
                <w:color w:val="000000"/>
                <w:sz w:val="24"/>
                <w:szCs w:val="24"/>
              </w:rPr>
              <w:t>600563</w:t>
            </w:r>
          </w:p>
        </w:tc>
        <w:tc>
          <w:tcPr>
            <w:tcW w:w="1777" w:type="dxa"/>
            <w:vAlign w:val="center"/>
          </w:tcPr>
          <w:p w:rsidR="006C53DC" w:rsidRDefault="0085384D">
            <w:pPr>
              <w:jc w:val="center"/>
            </w:pPr>
            <w:r>
              <w:rPr>
                <w:color w:val="000000"/>
                <w:sz w:val="24"/>
                <w:szCs w:val="24"/>
              </w:rPr>
              <w:t>法拉电子</w:t>
            </w:r>
          </w:p>
        </w:tc>
        <w:tc>
          <w:tcPr>
            <w:tcW w:w="1334" w:type="dxa"/>
            <w:vAlign w:val="center"/>
          </w:tcPr>
          <w:p w:rsidR="006C53DC" w:rsidRDefault="0085384D">
            <w:pPr>
              <w:jc w:val="right"/>
            </w:pPr>
            <w:r>
              <w:rPr>
                <w:color w:val="000000"/>
                <w:sz w:val="24"/>
                <w:szCs w:val="24"/>
              </w:rPr>
              <w:t>3,700</w:t>
            </w:r>
          </w:p>
        </w:tc>
        <w:tc>
          <w:tcPr>
            <w:tcW w:w="1924" w:type="dxa"/>
            <w:vAlign w:val="center"/>
          </w:tcPr>
          <w:p w:rsidR="006C53DC" w:rsidRDefault="0085384D">
            <w:pPr>
              <w:jc w:val="right"/>
            </w:pPr>
            <w:r>
              <w:rPr>
                <w:color w:val="000000"/>
                <w:sz w:val="24"/>
                <w:szCs w:val="24"/>
              </w:rPr>
              <w:t>397,935.00</w:t>
            </w:r>
          </w:p>
        </w:tc>
        <w:tc>
          <w:tcPr>
            <w:tcW w:w="1644" w:type="dxa"/>
            <w:vAlign w:val="center"/>
          </w:tcPr>
          <w:p w:rsidR="006C53DC" w:rsidRDefault="0085384D">
            <w:pPr>
              <w:jc w:val="right"/>
            </w:pPr>
            <w:r>
              <w:rPr>
                <w:color w:val="000000"/>
                <w:sz w:val="24"/>
                <w:szCs w:val="24"/>
              </w:rPr>
              <w:t>0.79</w:t>
            </w:r>
          </w:p>
        </w:tc>
      </w:tr>
      <w:tr w:rsidR="006C53DC">
        <w:trPr>
          <w:jc w:val="center"/>
        </w:trPr>
        <w:tc>
          <w:tcPr>
            <w:tcW w:w="855" w:type="dxa"/>
            <w:vAlign w:val="center"/>
          </w:tcPr>
          <w:p w:rsidR="006C53DC" w:rsidRDefault="0085384D">
            <w:pPr>
              <w:jc w:val="center"/>
            </w:pPr>
            <w:r>
              <w:rPr>
                <w:color w:val="000000"/>
                <w:sz w:val="24"/>
                <w:szCs w:val="24"/>
              </w:rPr>
              <w:t>9</w:t>
            </w:r>
          </w:p>
        </w:tc>
        <w:tc>
          <w:tcPr>
            <w:tcW w:w="1334" w:type="dxa"/>
            <w:vAlign w:val="center"/>
          </w:tcPr>
          <w:p w:rsidR="006C53DC" w:rsidRDefault="0085384D">
            <w:pPr>
              <w:jc w:val="center"/>
            </w:pPr>
            <w:r>
              <w:rPr>
                <w:color w:val="000000"/>
                <w:sz w:val="24"/>
                <w:szCs w:val="24"/>
              </w:rPr>
              <w:t>002709</w:t>
            </w:r>
          </w:p>
        </w:tc>
        <w:tc>
          <w:tcPr>
            <w:tcW w:w="1777" w:type="dxa"/>
            <w:vAlign w:val="center"/>
          </w:tcPr>
          <w:p w:rsidR="006C53DC" w:rsidRDefault="0085384D">
            <w:pPr>
              <w:jc w:val="center"/>
            </w:pPr>
            <w:r>
              <w:rPr>
                <w:color w:val="000000"/>
                <w:sz w:val="24"/>
                <w:szCs w:val="24"/>
              </w:rPr>
              <w:t>天赐材料</w:t>
            </w:r>
          </w:p>
        </w:tc>
        <w:tc>
          <w:tcPr>
            <w:tcW w:w="1334" w:type="dxa"/>
            <w:vAlign w:val="center"/>
          </w:tcPr>
          <w:p w:rsidR="006C53DC" w:rsidRDefault="0085384D">
            <w:pPr>
              <w:jc w:val="right"/>
            </w:pPr>
            <w:r>
              <w:rPr>
                <w:color w:val="000000"/>
                <w:sz w:val="24"/>
                <w:szCs w:val="24"/>
              </w:rPr>
              <w:t>3,800</w:t>
            </w:r>
          </w:p>
        </w:tc>
        <w:tc>
          <w:tcPr>
            <w:tcW w:w="1924" w:type="dxa"/>
            <w:vAlign w:val="center"/>
          </w:tcPr>
          <w:p w:rsidR="006C53DC" w:rsidRDefault="0085384D">
            <w:pPr>
              <w:jc w:val="right"/>
            </w:pPr>
            <w:r>
              <w:rPr>
                <w:color w:val="000000"/>
                <w:sz w:val="24"/>
                <w:szCs w:val="24"/>
              </w:rPr>
              <w:t>394,440.00</w:t>
            </w:r>
          </w:p>
        </w:tc>
        <w:tc>
          <w:tcPr>
            <w:tcW w:w="1644" w:type="dxa"/>
            <w:vAlign w:val="center"/>
          </w:tcPr>
          <w:p w:rsidR="006C53DC" w:rsidRDefault="0085384D">
            <w:pPr>
              <w:jc w:val="right"/>
            </w:pPr>
            <w:r>
              <w:rPr>
                <w:color w:val="000000"/>
                <w:sz w:val="24"/>
                <w:szCs w:val="24"/>
              </w:rPr>
              <w:t>0.79</w:t>
            </w:r>
          </w:p>
        </w:tc>
      </w:tr>
      <w:tr w:rsidR="006C53DC">
        <w:trPr>
          <w:jc w:val="center"/>
        </w:trPr>
        <w:tc>
          <w:tcPr>
            <w:tcW w:w="855" w:type="dxa"/>
            <w:vAlign w:val="center"/>
          </w:tcPr>
          <w:p w:rsidR="006C53DC" w:rsidRDefault="0085384D">
            <w:pPr>
              <w:jc w:val="center"/>
            </w:pPr>
            <w:r>
              <w:rPr>
                <w:color w:val="000000"/>
                <w:sz w:val="24"/>
                <w:szCs w:val="24"/>
              </w:rPr>
              <w:t>10</w:t>
            </w:r>
          </w:p>
        </w:tc>
        <w:tc>
          <w:tcPr>
            <w:tcW w:w="1334" w:type="dxa"/>
            <w:vAlign w:val="center"/>
          </w:tcPr>
          <w:p w:rsidR="006C53DC" w:rsidRDefault="0085384D">
            <w:pPr>
              <w:jc w:val="center"/>
            </w:pPr>
            <w:r>
              <w:rPr>
                <w:color w:val="000000"/>
                <w:sz w:val="24"/>
                <w:szCs w:val="24"/>
              </w:rPr>
              <w:t>002179</w:t>
            </w:r>
          </w:p>
        </w:tc>
        <w:tc>
          <w:tcPr>
            <w:tcW w:w="1777" w:type="dxa"/>
            <w:vAlign w:val="center"/>
          </w:tcPr>
          <w:p w:rsidR="006C53DC" w:rsidRDefault="0085384D">
            <w:pPr>
              <w:jc w:val="center"/>
            </w:pPr>
            <w:r>
              <w:rPr>
                <w:color w:val="000000"/>
                <w:sz w:val="24"/>
                <w:szCs w:val="24"/>
              </w:rPr>
              <w:t>中航光电</w:t>
            </w:r>
          </w:p>
        </w:tc>
        <w:tc>
          <w:tcPr>
            <w:tcW w:w="1334" w:type="dxa"/>
            <w:vAlign w:val="center"/>
          </w:tcPr>
          <w:p w:rsidR="006C53DC" w:rsidRDefault="0085384D">
            <w:pPr>
              <w:jc w:val="right"/>
            </w:pPr>
            <w:r>
              <w:rPr>
                <w:color w:val="000000"/>
                <w:sz w:val="24"/>
                <w:szCs w:val="24"/>
              </w:rPr>
              <w:t>4,900</w:t>
            </w:r>
          </w:p>
        </w:tc>
        <w:tc>
          <w:tcPr>
            <w:tcW w:w="1924" w:type="dxa"/>
            <w:vAlign w:val="center"/>
          </w:tcPr>
          <w:p w:rsidR="006C53DC" w:rsidRDefault="0085384D">
            <w:pPr>
              <w:jc w:val="right"/>
            </w:pPr>
            <w:r>
              <w:rPr>
                <w:color w:val="000000"/>
                <w:sz w:val="24"/>
                <w:szCs w:val="24"/>
              </w:rPr>
              <w:t>383,621.00</w:t>
            </w:r>
          </w:p>
        </w:tc>
        <w:tc>
          <w:tcPr>
            <w:tcW w:w="1644" w:type="dxa"/>
            <w:vAlign w:val="center"/>
          </w:tcPr>
          <w:p w:rsidR="006C53DC" w:rsidRDefault="0085384D">
            <w:pPr>
              <w:jc w:val="right"/>
            </w:pPr>
            <w:r>
              <w:rPr>
                <w:color w:val="000000"/>
                <w:sz w:val="24"/>
                <w:szCs w:val="24"/>
              </w:rPr>
              <w:t>0.76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36,672,319.50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8,276,549.10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16.49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8,276,549.10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16.49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34,663.40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44,983,532.00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89.61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C53DC">
        <w:trPr>
          <w:jc w:val="center"/>
        </w:trPr>
        <w:tc>
          <w:tcPr>
            <w:tcW w:w="850" w:type="dxa"/>
            <w:vAlign w:val="center"/>
          </w:tcPr>
          <w:p w:rsidR="006C53DC" w:rsidRDefault="0085384D">
            <w:pPr>
              <w:jc w:val="center"/>
            </w:pPr>
            <w:r>
              <w:rPr>
                <w:color w:val="000000"/>
                <w:sz w:val="24"/>
                <w:szCs w:val="24"/>
              </w:rPr>
              <w:t>1</w:t>
            </w:r>
          </w:p>
        </w:tc>
        <w:tc>
          <w:tcPr>
            <w:tcW w:w="1475" w:type="dxa"/>
            <w:vAlign w:val="center"/>
          </w:tcPr>
          <w:p w:rsidR="006C53DC" w:rsidRDefault="0085384D">
            <w:pPr>
              <w:jc w:val="center"/>
            </w:pPr>
            <w:r>
              <w:rPr>
                <w:color w:val="000000"/>
                <w:sz w:val="24"/>
                <w:szCs w:val="24"/>
              </w:rPr>
              <w:t>010107</w:t>
            </w:r>
          </w:p>
        </w:tc>
        <w:tc>
          <w:tcPr>
            <w:tcW w:w="1769" w:type="dxa"/>
            <w:vAlign w:val="center"/>
          </w:tcPr>
          <w:p w:rsidR="006C53DC" w:rsidRDefault="0085384D">
            <w:pPr>
              <w:jc w:val="center"/>
            </w:pPr>
            <w:r>
              <w:rPr>
                <w:color w:val="000000"/>
                <w:sz w:val="24"/>
                <w:szCs w:val="24"/>
              </w:rPr>
              <w:t>21</w:t>
            </w:r>
            <w:r>
              <w:rPr>
                <w:color w:val="000000"/>
                <w:sz w:val="24"/>
                <w:szCs w:val="24"/>
              </w:rPr>
              <w:t>国债</w:t>
            </w:r>
            <w:r>
              <w:rPr>
                <w:color w:val="000000"/>
                <w:sz w:val="24"/>
                <w:szCs w:val="24"/>
              </w:rPr>
              <w:t>⑺</w:t>
            </w:r>
          </w:p>
        </w:tc>
        <w:tc>
          <w:tcPr>
            <w:tcW w:w="1387" w:type="dxa"/>
            <w:vAlign w:val="center"/>
          </w:tcPr>
          <w:p w:rsidR="006C53DC" w:rsidRDefault="0085384D">
            <w:pPr>
              <w:jc w:val="right"/>
            </w:pPr>
            <w:r>
              <w:rPr>
                <w:color w:val="000000"/>
                <w:sz w:val="24"/>
                <w:szCs w:val="24"/>
              </w:rPr>
              <w:t>225,800</w:t>
            </w:r>
          </w:p>
        </w:tc>
        <w:tc>
          <w:tcPr>
            <w:tcW w:w="2150" w:type="dxa"/>
            <w:vAlign w:val="center"/>
          </w:tcPr>
          <w:p w:rsidR="006C53DC" w:rsidRDefault="0085384D">
            <w:pPr>
              <w:jc w:val="right"/>
            </w:pPr>
            <w:r>
              <w:rPr>
                <w:color w:val="000000"/>
                <w:sz w:val="24"/>
                <w:szCs w:val="24"/>
              </w:rPr>
              <w:t>22,848,702.00</w:t>
            </w:r>
          </w:p>
        </w:tc>
        <w:tc>
          <w:tcPr>
            <w:tcW w:w="1237" w:type="dxa"/>
            <w:vAlign w:val="center"/>
          </w:tcPr>
          <w:p w:rsidR="006C53DC" w:rsidRDefault="0085384D">
            <w:pPr>
              <w:jc w:val="right"/>
            </w:pPr>
            <w:r>
              <w:rPr>
                <w:color w:val="000000"/>
                <w:sz w:val="24"/>
                <w:szCs w:val="24"/>
              </w:rPr>
              <w:t>45.52</w:t>
            </w:r>
          </w:p>
        </w:tc>
      </w:tr>
      <w:tr w:rsidR="006C53DC">
        <w:trPr>
          <w:jc w:val="center"/>
        </w:trPr>
        <w:tc>
          <w:tcPr>
            <w:tcW w:w="850" w:type="dxa"/>
            <w:vAlign w:val="center"/>
          </w:tcPr>
          <w:p w:rsidR="006C53DC" w:rsidRDefault="0085384D">
            <w:pPr>
              <w:jc w:val="center"/>
            </w:pPr>
            <w:r>
              <w:rPr>
                <w:color w:val="000000"/>
                <w:sz w:val="24"/>
                <w:szCs w:val="24"/>
              </w:rPr>
              <w:t>2</w:t>
            </w:r>
          </w:p>
        </w:tc>
        <w:tc>
          <w:tcPr>
            <w:tcW w:w="1475" w:type="dxa"/>
            <w:vAlign w:val="center"/>
          </w:tcPr>
          <w:p w:rsidR="006C53DC" w:rsidRDefault="0085384D">
            <w:pPr>
              <w:jc w:val="center"/>
            </w:pPr>
            <w:r>
              <w:rPr>
                <w:color w:val="000000"/>
                <w:sz w:val="24"/>
                <w:szCs w:val="24"/>
              </w:rPr>
              <w:t>019627</w:t>
            </w:r>
          </w:p>
        </w:tc>
        <w:tc>
          <w:tcPr>
            <w:tcW w:w="1769" w:type="dxa"/>
            <w:vAlign w:val="center"/>
          </w:tcPr>
          <w:p w:rsidR="006C53DC" w:rsidRDefault="0085384D">
            <w:pPr>
              <w:jc w:val="center"/>
            </w:pPr>
            <w:r>
              <w:rPr>
                <w:color w:val="000000"/>
                <w:sz w:val="24"/>
                <w:szCs w:val="24"/>
              </w:rPr>
              <w:t>20</w:t>
            </w:r>
            <w:r>
              <w:rPr>
                <w:color w:val="000000"/>
                <w:sz w:val="24"/>
                <w:szCs w:val="24"/>
              </w:rPr>
              <w:t>国债</w:t>
            </w:r>
            <w:r>
              <w:rPr>
                <w:color w:val="000000"/>
                <w:sz w:val="24"/>
                <w:szCs w:val="24"/>
              </w:rPr>
              <w:t>01</w:t>
            </w:r>
          </w:p>
        </w:tc>
        <w:tc>
          <w:tcPr>
            <w:tcW w:w="1387" w:type="dxa"/>
            <w:vAlign w:val="center"/>
          </w:tcPr>
          <w:p w:rsidR="006C53DC" w:rsidRDefault="0085384D">
            <w:pPr>
              <w:jc w:val="right"/>
            </w:pPr>
            <w:r>
              <w:rPr>
                <w:color w:val="000000"/>
                <w:sz w:val="24"/>
                <w:szCs w:val="24"/>
              </w:rPr>
              <w:t>138,250</w:t>
            </w:r>
          </w:p>
        </w:tc>
        <w:tc>
          <w:tcPr>
            <w:tcW w:w="2150" w:type="dxa"/>
            <w:vAlign w:val="center"/>
          </w:tcPr>
          <w:p w:rsidR="006C53DC" w:rsidRDefault="0085384D">
            <w:pPr>
              <w:jc w:val="right"/>
            </w:pPr>
            <w:r>
              <w:rPr>
                <w:color w:val="000000"/>
                <w:sz w:val="24"/>
                <w:szCs w:val="24"/>
              </w:rPr>
              <w:t>13,823,617.50</w:t>
            </w:r>
          </w:p>
        </w:tc>
        <w:tc>
          <w:tcPr>
            <w:tcW w:w="1237" w:type="dxa"/>
            <w:vAlign w:val="center"/>
          </w:tcPr>
          <w:p w:rsidR="006C53DC" w:rsidRDefault="0085384D">
            <w:pPr>
              <w:jc w:val="right"/>
            </w:pPr>
            <w:r>
              <w:rPr>
                <w:color w:val="000000"/>
                <w:sz w:val="24"/>
                <w:szCs w:val="24"/>
              </w:rPr>
              <w:t>27.54</w:t>
            </w:r>
          </w:p>
        </w:tc>
      </w:tr>
      <w:tr w:rsidR="006C53DC">
        <w:trPr>
          <w:jc w:val="center"/>
        </w:trPr>
        <w:tc>
          <w:tcPr>
            <w:tcW w:w="850" w:type="dxa"/>
            <w:vAlign w:val="center"/>
          </w:tcPr>
          <w:p w:rsidR="006C53DC" w:rsidRDefault="0085384D">
            <w:pPr>
              <w:jc w:val="center"/>
            </w:pPr>
            <w:r>
              <w:rPr>
                <w:color w:val="000000"/>
                <w:sz w:val="24"/>
                <w:szCs w:val="24"/>
              </w:rPr>
              <w:t>3</w:t>
            </w:r>
          </w:p>
        </w:tc>
        <w:tc>
          <w:tcPr>
            <w:tcW w:w="1475" w:type="dxa"/>
            <w:vAlign w:val="center"/>
          </w:tcPr>
          <w:p w:rsidR="006C53DC" w:rsidRDefault="0085384D">
            <w:pPr>
              <w:jc w:val="center"/>
            </w:pPr>
            <w:r>
              <w:rPr>
                <w:color w:val="000000"/>
                <w:sz w:val="24"/>
                <w:szCs w:val="24"/>
              </w:rPr>
              <w:t>018006</w:t>
            </w:r>
          </w:p>
        </w:tc>
        <w:tc>
          <w:tcPr>
            <w:tcW w:w="1769" w:type="dxa"/>
            <w:vAlign w:val="center"/>
          </w:tcPr>
          <w:p w:rsidR="006C53DC" w:rsidRDefault="0085384D">
            <w:pPr>
              <w:jc w:val="center"/>
            </w:pPr>
            <w:r>
              <w:rPr>
                <w:color w:val="000000"/>
                <w:sz w:val="24"/>
                <w:szCs w:val="24"/>
              </w:rPr>
              <w:t>国开</w:t>
            </w:r>
            <w:r>
              <w:rPr>
                <w:color w:val="000000"/>
                <w:sz w:val="24"/>
                <w:szCs w:val="24"/>
              </w:rPr>
              <w:t>1702</w:t>
            </w:r>
          </w:p>
        </w:tc>
        <w:tc>
          <w:tcPr>
            <w:tcW w:w="1387" w:type="dxa"/>
            <w:vAlign w:val="center"/>
          </w:tcPr>
          <w:p w:rsidR="006C53DC" w:rsidRDefault="0085384D">
            <w:pPr>
              <w:jc w:val="right"/>
            </w:pPr>
            <w:r>
              <w:rPr>
                <w:color w:val="000000"/>
                <w:sz w:val="24"/>
                <w:szCs w:val="24"/>
              </w:rPr>
              <w:t>81,390</w:t>
            </w:r>
          </w:p>
        </w:tc>
        <w:tc>
          <w:tcPr>
            <w:tcW w:w="2150" w:type="dxa"/>
            <w:vAlign w:val="center"/>
          </w:tcPr>
          <w:p w:rsidR="006C53DC" w:rsidRDefault="0085384D">
            <w:pPr>
              <w:jc w:val="right"/>
            </w:pPr>
            <w:r>
              <w:rPr>
                <w:color w:val="000000"/>
                <w:sz w:val="24"/>
                <w:szCs w:val="24"/>
              </w:rPr>
              <w:t>8,276,549.10</w:t>
            </w:r>
          </w:p>
        </w:tc>
        <w:tc>
          <w:tcPr>
            <w:tcW w:w="1237" w:type="dxa"/>
            <w:vAlign w:val="center"/>
          </w:tcPr>
          <w:p w:rsidR="006C53DC" w:rsidRDefault="0085384D">
            <w:pPr>
              <w:jc w:val="right"/>
            </w:pPr>
            <w:r>
              <w:rPr>
                <w:color w:val="000000"/>
                <w:sz w:val="24"/>
                <w:szCs w:val="24"/>
              </w:rPr>
              <w:t>16.49</w:t>
            </w:r>
          </w:p>
        </w:tc>
      </w:tr>
      <w:tr w:rsidR="006C53DC">
        <w:trPr>
          <w:jc w:val="center"/>
        </w:trPr>
        <w:tc>
          <w:tcPr>
            <w:tcW w:w="850" w:type="dxa"/>
            <w:vAlign w:val="center"/>
          </w:tcPr>
          <w:p w:rsidR="006C53DC" w:rsidRDefault="0085384D">
            <w:pPr>
              <w:jc w:val="center"/>
            </w:pPr>
            <w:r>
              <w:rPr>
                <w:color w:val="000000"/>
                <w:sz w:val="24"/>
                <w:szCs w:val="24"/>
              </w:rPr>
              <w:t>4</w:t>
            </w:r>
          </w:p>
        </w:tc>
        <w:tc>
          <w:tcPr>
            <w:tcW w:w="1475" w:type="dxa"/>
            <w:vAlign w:val="center"/>
          </w:tcPr>
          <w:p w:rsidR="006C53DC" w:rsidRDefault="0085384D">
            <w:pPr>
              <w:jc w:val="center"/>
            </w:pPr>
            <w:r>
              <w:rPr>
                <w:color w:val="000000"/>
                <w:sz w:val="24"/>
                <w:szCs w:val="24"/>
              </w:rPr>
              <w:t>113044</w:t>
            </w:r>
          </w:p>
        </w:tc>
        <w:tc>
          <w:tcPr>
            <w:tcW w:w="1769" w:type="dxa"/>
            <w:vAlign w:val="center"/>
          </w:tcPr>
          <w:p w:rsidR="006C53DC" w:rsidRDefault="0085384D">
            <w:pPr>
              <w:jc w:val="center"/>
            </w:pPr>
            <w:r>
              <w:rPr>
                <w:color w:val="000000"/>
                <w:sz w:val="24"/>
                <w:szCs w:val="24"/>
              </w:rPr>
              <w:t>大秦转债</w:t>
            </w:r>
          </w:p>
        </w:tc>
        <w:tc>
          <w:tcPr>
            <w:tcW w:w="1387" w:type="dxa"/>
            <w:vAlign w:val="center"/>
          </w:tcPr>
          <w:p w:rsidR="006C53DC" w:rsidRDefault="0085384D">
            <w:pPr>
              <w:jc w:val="right"/>
            </w:pPr>
            <w:r>
              <w:rPr>
                <w:color w:val="000000"/>
                <w:sz w:val="24"/>
                <w:szCs w:val="24"/>
              </w:rPr>
              <w:t>280</w:t>
            </w:r>
          </w:p>
        </w:tc>
        <w:tc>
          <w:tcPr>
            <w:tcW w:w="2150" w:type="dxa"/>
            <w:vAlign w:val="center"/>
          </w:tcPr>
          <w:p w:rsidR="006C53DC" w:rsidRDefault="0085384D">
            <w:pPr>
              <w:jc w:val="right"/>
            </w:pPr>
            <w:r>
              <w:rPr>
                <w:color w:val="000000"/>
                <w:sz w:val="24"/>
                <w:szCs w:val="24"/>
              </w:rPr>
              <w:t>28,000.00</w:t>
            </w:r>
          </w:p>
        </w:tc>
        <w:tc>
          <w:tcPr>
            <w:tcW w:w="1237" w:type="dxa"/>
            <w:vAlign w:val="center"/>
          </w:tcPr>
          <w:p w:rsidR="006C53DC" w:rsidRDefault="0085384D">
            <w:pPr>
              <w:jc w:val="right"/>
            </w:pPr>
            <w:r>
              <w:rPr>
                <w:color w:val="000000"/>
                <w:sz w:val="24"/>
                <w:szCs w:val="24"/>
              </w:rPr>
              <w:t>0.06</w:t>
            </w:r>
          </w:p>
        </w:tc>
      </w:tr>
      <w:tr w:rsidR="006C53DC">
        <w:trPr>
          <w:jc w:val="center"/>
        </w:trPr>
        <w:tc>
          <w:tcPr>
            <w:tcW w:w="850" w:type="dxa"/>
            <w:vAlign w:val="center"/>
          </w:tcPr>
          <w:p w:rsidR="006C53DC" w:rsidRDefault="0085384D">
            <w:pPr>
              <w:jc w:val="center"/>
            </w:pPr>
            <w:r>
              <w:rPr>
                <w:color w:val="000000"/>
                <w:sz w:val="24"/>
                <w:szCs w:val="24"/>
              </w:rPr>
              <w:t>5</w:t>
            </w:r>
          </w:p>
        </w:tc>
        <w:tc>
          <w:tcPr>
            <w:tcW w:w="1475" w:type="dxa"/>
            <w:vAlign w:val="center"/>
          </w:tcPr>
          <w:p w:rsidR="006C53DC" w:rsidRDefault="0085384D">
            <w:pPr>
              <w:jc w:val="center"/>
            </w:pPr>
            <w:r>
              <w:rPr>
                <w:color w:val="000000"/>
                <w:sz w:val="24"/>
                <w:szCs w:val="24"/>
              </w:rPr>
              <w:t>128126</w:t>
            </w:r>
          </w:p>
        </w:tc>
        <w:tc>
          <w:tcPr>
            <w:tcW w:w="1769" w:type="dxa"/>
            <w:vAlign w:val="center"/>
          </w:tcPr>
          <w:p w:rsidR="006C53DC" w:rsidRDefault="0085384D">
            <w:pPr>
              <w:jc w:val="center"/>
            </w:pPr>
            <w:r>
              <w:rPr>
                <w:color w:val="000000"/>
                <w:sz w:val="24"/>
                <w:szCs w:val="24"/>
              </w:rPr>
              <w:t>赣锋转</w:t>
            </w:r>
            <w:r>
              <w:rPr>
                <w:color w:val="000000"/>
                <w:sz w:val="24"/>
                <w:szCs w:val="24"/>
              </w:rPr>
              <w:t>2</w:t>
            </w:r>
          </w:p>
        </w:tc>
        <w:tc>
          <w:tcPr>
            <w:tcW w:w="1387" w:type="dxa"/>
            <w:vAlign w:val="center"/>
          </w:tcPr>
          <w:p w:rsidR="006C53DC" w:rsidRDefault="0085384D">
            <w:pPr>
              <w:jc w:val="right"/>
            </w:pPr>
            <w:r>
              <w:rPr>
                <w:color w:val="000000"/>
                <w:sz w:val="24"/>
                <w:szCs w:val="24"/>
              </w:rPr>
              <w:t>10</w:t>
            </w:r>
          </w:p>
        </w:tc>
        <w:tc>
          <w:tcPr>
            <w:tcW w:w="2150" w:type="dxa"/>
            <w:vAlign w:val="center"/>
          </w:tcPr>
          <w:p w:rsidR="006C53DC" w:rsidRDefault="0085384D">
            <w:pPr>
              <w:jc w:val="right"/>
            </w:pPr>
            <w:r>
              <w:rPr>
                <w:color w:val="000000"/>
                <w:sz w:val="24"/>
                <w:szCs w:val="24"/>
              </w:rPr>
              <w:t>1,669.00</w:t>
            </w:r>
          </w:p>
        </w:tc>
        <w:tc>
          <w:tcPr>
            <w:tcW w:w="1237" w:type="dxa"/>
            <w:vAlign w:val="center"/>
          </w:tcPr>
          <w:p w:rsidR="006C53DC" w:rsidRDefault="0085384D">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53,304.56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267,552.04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945,916.98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8,872.63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1,275,646.21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52,419,883.89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560,795.45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8,669,506.81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44,311,172.53</w:t>
            </w:r>
          </w:p>
        </w:tc>
      </w:tr>
    </w:tbl>
    <w:p w:rsidR="006C53DC" w:rsidRDefault="008538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6C53DC">
        <w:tc>
          <w:tcPr>
            <w:tcW w:w="993" w:type="dxa"/>
            <w:vMerge w:val="restart"/>
          </w:tcPr>
          <w:p w:rsidR="006C53DC" w:rsidRDefault="006C53DC"/>
          <w:p w:rsidR="006C53DC" w:rsidRDefault="0085384D">
            <w:r>
              <w:rPr>
                <w:rFonts w:ascii="宋体" w:hAnsi="宋体" w:hint="eastAsia"/>
                <w:bCs/>
                <w:color w:val="000000"/>
                <w:kern w:val="0"/>
              </w:rPr>
              <w:t>机构</w:t>
            </w:r>
          </w:p>
        </w:tc>
        <w:tc>
          <w:tcPr>
            <w:tcW w:w="992" w:type="dxa"/>
            <w:vAlign w:val="center"/>
          </w:tcPr>
          <w:p w:rsidR="006C53DC" w:rsidRDefault="0085384D">
            <w:pPr>
              <w:jc w:val="center"/>
            </w:pPr>
            <w:r>
              <w:rPr>
                <w:rFonts w:ascii="宋体" w:hAnsi="宋体"/>
                <w:color w:val="000000"/>
                <w:kern w:val="0"/>
              </w:rPr>
              <w:t>1</w:t>
            </w:r>
          </w:p>
        </w:tc>
        <w:tc>
          <w:tcPr>
            <w:tcW w:w="1843" w:type="dxa"/>
            <w:vAlign w:val="center"/>
          </w:tcPr>
          <w:p w:rsidR="006C53DC" w:rsidRDefault="0085384D">
            <w:pPr>
              <w:jc w:val="center"/>
            </w:pPr>
            <w:r>
              <w:rPr>
                <w:rFonts w:ascii="宋体" w:hAnsi="宋体"/>
                <w:color w:val="000000"/>
                <w:kern w:val="0"/>
              </w:rPr>
              <w:t>2020/10/1-2020/12/31</w:t>
            </w:r>
          </w:p>
        </w:tc>
        <w:tc>
          <w:tcPr>
            <w:tcW w:w="851" w:type="dxa"/>
            <w:vAlign w:val="center"/>
          </w:tcPr>
          <w:p w:rsidR="006C53DC" w:rsidRDefault="0085384D">
            <w:pPr>
              <w:jc w:val="center"/>
            </w:pPr>
            <w:r>
              <w:rPr>
                <w:rFonts w:ascii="宋体" w:hAnsi="宋体"/>
                <w:color w:val="000000"/>
                <w:kern w:val="0"/>
              </w:rPr>
              <w:t>17,651,368.05</w:t>
            </w:r>
          </w:p>
        </w:tc>
        <w:tc>
          <w:tcPr>
            <w:tcW w:w="850" w:type="dxa"/>
            <w:vAlign w:val="center"/>
          </w:tcPr>
          <w:p w:rsidR="006C53DC" w:rsidRDefault="0085384D">
            <w:pPr>
              <w:jc w:val="center"/>
            </w:pPr>
            <w:r>
              <w:rPr>
                <w:rFonts w:ascii="宋体" w:hAnsi="宋体"/>
                <w:color w:val="000000"/>
                <w:kern w:val="0"/>
              </w:rPr>
              <w:t>-</w:t>
            </w:r>
          </w:p>
        </w:tc>
        <w:tc>
          <w:tcPr>
            <w:tcW w:w="1134" w:type="dxa"/>
            <w:vAlign w:val="center"/>
          </w:tcPr>
          <w:p w:rsidR="006C53DC" w:rsidRDefault="0085384D">
            <w:pPr>
              <w:jc w:val="center"/>
            </w:pPr>
            <w:r>
              <w:rPr>
                <w:rFonts w:ascii="宋体" w:hAnsi="宋体"/>
                <w:color w:val="000000"/>
                <w:kern w:val="0"/>
              </w:rPr>
              <w:t>-</w:t>
            </w:r>
          </w:p>
        </w:tc>
        <w:tc>
          <w:tcPr>
            <w:tcW w:w="1419" w:type="dxa"/>
            <w:vAlign w:val="center"/>
          </w:tcPr>
          <w:p w:rsidR="006C53DC" w:rsidRDefault="0085384D">
            <w:pPr>
              <w:jc w:val="center"/>
            </w:pPr>
            <w:r>
              <w:rPr>
                <w:rFonts w:ascii="宋体" w:hAnsi="宋体"/>
                <w:color w:val="000000"/>
                <w:kern w:val="0"/>
              </w:rPr>
              <w:t>17,651,368.05</w:t>
            </w:r>
          </w:p>
        </w:tc>
        <w:tc>
          <w:tcPr>
            <w:tcW w:w="1130" w:type="dxa"/>
            <w:vAlign w:val="center"/>
          </w:tcPr>
          <w:p w:rsidR="006C53DC" w:rsidRDefault="0085384D">
            <w:pPr>
              <w:jc w:val="center"/>
            </w:pPr>
            <w:r>
              <w:rPr>
                <w:rFonts w:ascii="宋体" w:hAnsi="宋体"/>
                <w:color w:val="000000"/>
                <w:kern w:val="0"/>
              </w:rPr>
              <w:t>39.84%</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C53DC" w:rsidRDefault="0085384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、《交银施罗德稳固收益债券型证券投资基金基金合同》；</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、《交银施罗德稳固收益债券型证券投资基金招募说明书》；</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、《交银施罗德稳固收益债券型证券投资基金托管协议》；</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、《交银施罗德荣祥保本混合型证券投资基金基金合同》；</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、《交银施罗德荣祥保本混合型证券投资基金招募说明书》；</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、《交银施罗德荣祥保本混合型证券投资基金托管协议》；</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6C53DC" w:rsidRDefault="0085384D">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、关于申请募集交银施罗德荣祥保本混合型证券投资基金之法律意见书；</w:t>
      </w:r>
      <w:r>
        <w:rPr>
          <w:color w:val="000000"/>
          <w:sz w:val="24"/>
          <w:szCs w:val="24"/>
        </w:rPr>
        <w:t xml:space="preserve"> </w:t>
      </w:r>
    </w:p>
    <w:p w:rsidR="006C53DC" w:rsidRDefault="0085384D">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、关于修改《交银施罗德荣祥保本混合型证券投资基金基金合同》的法律意见书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、报告期内交银施罗德荣祥保本混合型证券投资基金、交银施罗德稳固收益债券型证券投资基金在指定报刊上各项公告的原稿。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C53DC" w:rsidRDefault="0085384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5384D">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5384D">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交银施罗德稳固收益债券型证券投资基金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53D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384D"/>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9EF9-6B89-4DA3-8435-C0B7BF98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13</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601</cp:revision>
  <dcterms:created xsi:type="dcterms:W3CDTF">2012-10-16T06:07:00Z</dcterms:created>
  <dcterms:modified xsi:type="dcterms:W3CDTF">2021-01-12T09:36:00Z</dcterms:modified>
</cp:coreProperties>
</file>