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交银施罗德裕坤纯债一年定期开放债券型发起式证券投资基金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中国光大银行股份有限公司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基金托管人中国光大银行股份有限公司根据本基金合同规定，于2021年1月20日复核了本报告中的财务指标、净值表现和投资组合报告等内容，保证复核内容不存在虚假记载、误导性陈述或者重大遗漏。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交银裕坤纯债一年定期开放债券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008352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008352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2019年12月26日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999,999,000.00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本基金在严格控制风险和保持资产流动性的基础上，通过积极主动的投资管理，力争持续稳定地实现超越业绩比较基准的投资回报。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本基金是一只债券型基金，其预期风险与预期收益高于货币市场基金，低于混合型基金和股票型基金。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中国光大银行股份有限公司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7,306,519.47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11,154,919.47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0.0112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1,014,545,925.11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1.0145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1.11%</w:t>
            </w:r>
          </w:p>
        </w:tc>
        <w:tc>
          <w:tcPr>
            <w:vAlign w:val="center"/>
          </w:tcPr>
          <w:p>
            <w:pPr>
              <w:jc w:val="center"/>
            </w:pPr>
            <w:r>
              <w:rPr>
                <w:color w:val="000000"/>
                <w:sz w:val="24"/>
                <w:szCs w:val="24"/>
              </w:rPr>
              <w:t>0.04%</w:t>
            </w:r>
          </w:p>
        </w:tc>
        <w:tc>
          <w:tcPr>
            <w:vAlign w:val="center"/>
          </w:tcPr>
          <w:p>
            <w:pPr>
              <w:jc w:val="center"/>
            </w:pPr>
            <w:r>
              <w:rPr>
                <w:color w:val="000000"/>
                <w:sz w:val="24"/>
                <w:szCs w:val="24"/>
              </w:rPr>
              <w:t>0.64%</w:t>
            </w:r>
          </w:p>
        </w:tc>
        <w:tc>
          <w:tcPr>
            <w:vAlign w:val="center"/>
          </w:tcPr>
          <w:p>
            <w:pPr>
              <w:jc w:val="center"/>
            </w:pPr>
            <w:r>
              <w:rPr>
                <w:color w:val="000000"/>
                <w:sz w:val="24"/>
                <w:szCs w:val="24"/>
              </w:rPr>
              <w:t>0.04%</w:t>
            </w:r>
          </w:p>
        </w:tc>
        <w:tc>
          <w:tcPr>
            <w:vAlign w:val="center"/>
          </w:tcPr>
          <w:p>
            <w:pPr>
              <w:jc w:val="center"/>
            </w:pPr>
            <w:r>
              <w:rPr>
                <w:color w:val="000000"/>
                <w:sz w:val="24"/>
                <w:szCs w:val="24"/>
              </w:rPr>
              <w:t>0.47%</w:t>
            </w:r>
          </w:p>
        </w:tc>
        <w:tc>
          <w:tcPr>
            <w:vAlign w:val="center"/>
          </w:tcPr>
          <w:p>
            <w:pPr>
              <w:jc w:val="center"/>
            </w:pPr>
            <w:r>
              <w:rPr>
                <w:color w:val="000000"/>
                <w:sz w:val="24"/>
                <w:szCs w:val="24"/>
              </w:rPr>
              <w:t>0.00%</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0.72%</w:t>
            </w:r>
          </w:p>
        </w:tc>
        <w:tc>
          <w:tcPr>
            <w:vAlign w:val="center"/>
          </w:tcPr>
          <w:p>
            <w:pPr>
              <w:jc w:val="center"/>
            </w:pPr>
            <w:r>
              <w:rPr>
                <w:color w:val="000000"/>
                <w:sz w:val="24"/>
                <w:szCs w:val="24"/>
              </w:rPr>
              <w:t>0.06%</w:t>
            </w:r>
          </w:p>
        </w:tc>
        <w:tc>
          <w:tcPr>
            <w:vAlign w:val="center"/>
          </w:tcPr>
          <w:p>
            <w:pPr>
              <w:jc w:val="center"/>
            </w:pPr>
            <w:r>
              <w:rPr>
                <w:color w:val="000000"/>
                <w:sz w:val="24"/>
                <w:szCs w:val="24"/>
              </w:rPr>
              <w:t>-0.85%</w:t>
            </w:r>
          </w:p>
        </w:tc>
        <w:tc>
          <w:tcPr>
            <w:vAlign w:val="center"/>
          </w:tcPr>
          <w:p>
            <w:pPr>
              <w:jc w:val="center"/>
            </w:pPr>
            <w:r>
              <w:rPr>
                <w:color w:val="000000"/>
                <w:sz w:val="24"/>
                <w:szCs w:val="24"/>
              </w:rPr>
              <w:t>0.07%</w:t>
            </w:r>
          </w:p>
        </w:tc>
        <w:tc>
          <w:tcPr>
            <w:vAlign w:val="center"/>
          </w:tcPr>
          <w:p>
            <w:pPr>
              <w:jc w:val="center"/>
            </w:pPr>
            <w:r>
              <w:rPr>
                <w:color w:val="000000"/>
                <w:sz w:val="24"/>
                <w:szCs w:val="24"/>
              </w:rPr>
              <w:t>1.57%</w:t>
            </w:r>
          </w:p>
        </w:tc>
        <w:tc>
          <w:tcPr>
            <w:vAlign w:val="center"/>
          </w:tcPr>
          <w:p>
            <w:pPr>
              <w:jc w:val="center"/>
            </w:pPr>
            <w:r>
              <w:rPr>
                <w:color w:val="000000"/>
                <w:sz w:val="24"/>
                <w:szCs w:val="24"/>
              </w:rPr>
              <w:t>-0.01%</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1.44%</w:t>
            </w:r>
          </w:p>
        </w:tc>
        <w:tc>
          <w:tcPr>
            <w:vAlign w:val="center"/>
          </w:tcPr>
          <w:p>
            <w:pPr>
              <w:jc w:val="center"/>
            </w:pPr>
            <w:r>
              <w:rPr>
                <w:color w:val="000000"/>
                <w:sz w:val="24"/>
                <w:szCs w:val="24"/>
              </w:rPr>
              <w:t>0.09%</w:t>
            </w:r>
          </w:p>
        </w:tc>
        <w:tc>
          <w:tcPr>
            <w:vAlign w:val="center"/>
          </w:tcPr>
          <w:p>
            <w:pPr>
              <w:jc w:val="center"/>
            </w:pPr>
            <w:r>
              <w:rPr>
                <w:color w:val="000000"/>
                <w:sz w:val="24"/>
                <w:szCs w:val="24"/>
              </w:rPr>
              <w:t>-0.06%</w:t>
            </w:r>
          </w:p>
        </w:tc>
        <w:tc>
          <w:tcPr>
            <w:vAlign w:val="center"/>
          </w:tcPr>
          <w:p>
            <w:pPr>
              <w:jc w:val="center"/>
            </w:pPr>
            <w:r>
              <w:rPr>
                <w:color w:val="000000"/>
                <w:sz w:val="24"/>
                <w:szCs w:val="24"/>
              </w:rPr>
              <w:t>0.09%</w:t>
            </w:r>
          </w:p>
        </w:tc>
        <w:tc>
          <w:tcPr>
            <w:vAlign w:val="center"/>
          </w:tcPr>
          <w:p>
            <w:pPr>
              <w:jc w:val="center"/>
            </w:pPr>
            <w:r>
              <w:rPr>
                <w:color w:val="000000"/>
                <w:sz w:val="24"/>
                <w:szCs w:val="24"/>
              </w:rPr>
              <w:t>1.50%</w:t>
            </w:r>
          </w:p>
        </w:tc>
        <w:tc>
          <w:tcPr>
            <w:vAlign w:val="center"/>
          </w:tcPr>
          <w:p>
            <w:pPr>
              <w:jc w:val="center"/>
            </w:pPr>
            <w:r>
              <w:rPr>
                <w:color w:val="000000"/>
                <w:sz w:val="24"/>
                <w:szCs w:val="24"/>
              </w:rPr>
              <w:t>0.00%</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1.45%</w:t>
            </w:r>
          </w:p>
        </w:tc>
        <w:tc>
          <w:tcPr>
            <w:vAlign w:val="center"/>
          </w:tcPr>
          <w:p>
            <w:pPr>
              <w:jc w:val="center"/>
            </w:pPr>
            <w:r>
              <w:rPr>
                <w:color w:val="000000"/>
                <w:sz w:val="24"/>
                <w:szCs w:val="24"/>
              </w:rPr>
              <w:t>0.09%</w:t>
            </w:r>
          </w:p>
        </w:tc>
        <w:tc>
          <w:tcPr>
            <w:vAlign w:val="center"/>
          </w:tcPr>
          <w:p>
            <w:pPr>
              <w:jc w:val="center"/>
            </w:pPr>
            <w:r>
              <w:rPr>
                <w:color w:val="000000"/>
                <w:sz w:val="24"/>
                <w:szCs w:val="24"/>
              </w:rPr>
              <w:t>0.07%</w:t>
            </w:r>
          </w:p>
        </w:tc>
        <w:tc>
          <w:tcPr>
            <w:vAlign w:val="center"/>
          </w:tcPr>
          <w:p>
            <w:pPr>
              <w:jc w:val="center"/>
            </w:pPr>
            <w:r>
              <w:rPr>
                <w:color w:val="000000"/>
                <w:sz w:val="24"/>
                <w:szCs w:val="24"/>
              </w:rPr>
              <w:t>0.09%</w:t>
            </w:r>
          </w:p>
        </w:tc>
        <w:tc>
          <w:tcPr>
            <w:vAlign w:val="center"/>
          </w:tcPr>
          <w:p>
            <w:pPr>
              <w:jc w:val="center"/>
            </w:pPr>
            <w:r>
              <w:rPr>
                <w:color w:val="000000"/>
                <w:sz w:val="24"/>
                <w:szCs w:val="24"/>
              </w:rPr>
              <w:t>1.38%</w:t>
            </w:r>
          </w:p>
        </w:tc>
        <w:tc>
          <w:tcPr>
            <w:vAlign w:val="center"/>
          </w:tcPr>
          <w:p>
            <w:pPr>
              <w:jc w:val="center"/>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交银施罗德裕坤纯债一年定期开放债券型发起式证券投资基金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2019年12月26日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2019年12月26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于海颖</w:t>
            </w:r>
          </w:p>
        </w:tc>
        <w:tc>
          <w:tcPr>
            <w:vAlign w:val="center"/>
          </w:tcPr>
          <w:p>
            <w:pPr>
              <w:jc w:val="center"/>
            </w:pPr>
            <w:r>
              <w:rPr>
                <w:color w:val="000000"/>
                <w:sz w:val="24"/>
                <w:szCs w:val="24"/>
              </w:rPr>
              <w:t>交银纯债债券发起、交银丰晟收益债券、交银裕如纯债债券、交银裕泰两年定期开放债券、交银裕坤纯债一年定期开放债券的基金经理，公司固定收益（公募）投资总监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szCs w:val="24"/>
              </w:rPr>
              <w:t>2019-12-26</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2016年12月29日至2020年8月21日担任交银施罗德丰盈收益债券型证券投资基金的基金经理。2017年6月10日至2020年8月21日担任交银施罗德增利债券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四季度，债券市场先跌后涨，下跌原因一方面是资金面边际收紧的影响、另一方面宏观经济的表现和部分信用事件也对市场产生了较大影响，市场收益率水平上行明显，信用利差随后随着决策层的表态，市场情绪逐步恢复，且叠加资金面的边际好转，市场收益率企稳，临近年末，金稳会定调和央行超预期投放MLF，市场对于政策退出节奏的担忧进一步得到缓解，市场情绪较前期明显恢复，市场收益率下行明显，而资金利率回落也进一步进发了市场的交易热情，收益率曲线陡峭化下行。</w:t>
      </w:r>
    </w:p>
    <w:p>
      <w:pPr>
        <w:spacing w:before="29" w:line="288" w:lineRule="auto"/>
        <w:ind w:firstLine="480" w:firstLineChars="200"/>
        <w:rPr>
          <w:color w:val="000000"/>
          <w:sz w:val="24"/>
          <w:szCs w:val="24"/>
        </w:rPr>
      </w:pPr>
      <w:r>
        <w:rPr>
          <w:color w:val="000000"/>
          <w:sz w:val="24"/>
          <w:szCs w:val="24"/>
        </w:rPr>
        <w:t>报告期内，组合以信用债为主要配置，并控制久期，降低利率风险暴露，通过精选信用个券和保持一定的杠杆操作，增强组合收益。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流动性环境和基本面趋势将成为影响债市的主要因素。短期来看，由于基数效应一季度经济增长同比增速较高，国内外疫苗推进下基本面仍延续改善趋势，跨年之后资金面或边际收敛但仍将保持合理充裕状态。目前尚未公布地方债提前发行计划，债市供需结构或将延续改善。总体来看，债市明显反弹之后性价比有所下降，趋势性机会仍需等待，预计一季度债市市场以震荡格局为主，关注两会前后由于经济数据和通胀压力引发债市小幅调整的可能。操作策略方面，组合将整体上控制久期，根据市场情况变化和曲线形态，适时进行组合个券调仓，并充分利用杠杆，以期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1,337,181,000.00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97.67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1,337,181,000.00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97.67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2,324,216.80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29,636,174.41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1,369,141,391.21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753,820,000.00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74.30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753,820,000.00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74.30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229,221,000.00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22.59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354,140,000.00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34.91</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1,337,181,000.00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131.80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190202</w:t>
            </w:r>
          </w:p>
        </w:tc>
        <w:tc>
          <w:tcPr>
            <w:vAlign w:val="center"/>
          </w:tcPr>
          <w:p>
            <w:pPr>
              <w:jc w:val="center"/>
            </w:pPr>
            <w:r>
              <w:rPr>
                <w:color w:val="000000"/>
                <w:sz w:val="24"/>
                <w:szCs w:val="24"/>
              </w:rPr>
              <w:t>19国开02</w:t>
            </w:r>
          </w:p>
        </w:tc>
        <w:tc>
          <w:tcPr>
            <w:vAlign w:val="center"/>
          </w:tcPr>
          <w:p>
            <w:pPr>
              <w:jc w:val="right"/>
            </w:pPr>
            <w:r>
              <w:rPr>
                <w:color w:val="000000"/>
                <w:sz w:val="24"/>
                <w:szCs w:val="24"/>
              </w:rPr>
              <w:t>4,000,000</w:t>
            </w:r>
          </w:p>
        </w:tc>
        <w:tc>
          <w:tcPr>
            <w:vAlign w:val="center"/>
          </w:tcPr>
          <w:p>
            <w:pPr>
              <w:jc w:val="right"/>
            </w:pPr>
            <w:r>
              <w:rPr>
                <w:color w:val="000000"/>
                <w:sz w:val="24"/>
                <w:szCs w:val="24"/>
              </w:rPr>
              <w:t>401,840,000.00</w:t>
            </w:r>
          </w:p>
        </w:tc>
        <w:tc>
          <w:tcPr>
            <w:vAlign w:val="center"/>
          </w:tcPr>
          <w:p>
            <w:pPr>
              <w:jc w:val="right"/>
            </w:pPr>
            <w:r>
              <w:rPr>
                <w:color w:val="000000"/>
                <w:sz w:val="24"/>
                <w:szCs w:val="24"/>
              </w:rPr>
              <w:t>39.61</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190207</w:t>
            </w:r>
          </w:p>
        </w:tc>
        <w:tc>
          <w:tcPr>
            <w:vAlign w:val="center"/>
          </w:tcPr>
          <w:p>
            <w:pPr>
              <w:jc w:val="center"/>
            </w:pPr>
            <w:r>
              <w:rPr>
                <w:color w:val="000000"/>
                <w:sz w:val="24"/>
                <w:szCs w:val="24"/>
              </w:rPr>
              <w:t>19国开07</w:t>
            </w:r>
          </w:p>
        </w:tc>
        <w:tc>
          <w:tcPr>
            <w:vAlign w:val="center"/>
          </w:tcPr>
          <w:p>
            <w:pPr>
              <w:jc w:val="right"/>
            </w:pPr>
            <w:r>
              <w:rPr>
                <w:color w:val="000000"/>
                <w:sz w:val="24"/>
                <w:szCs w:val="24"/>
              </w:rPr>
              <w:t>3,000,000</w:t>
            </w:r>
          </w:p>
        </w:tc>
        <w:tc>
          <w:tcPr>
            <w:vAlign w:val="center"/>
          </w:tcPr>
          <w:p>
            <w:pPr>
              <w:jc w:val="right"/>
            </w:pPr>
            <w:r>
              <w:rPr>
                <w:color w:val="000000"/>
                <w:sz w:val="24"/>
                <w:szCs w:val="24"/>
              </w:rPr>
              <w:t>301,770,000.00</w:t>
            </w:r>
          </w:p>
        </w:tc>
        <w:tc>
          <w:tcPr>
            <w:vAlign w:val="center"/>
          </w:tcPr>
          <w:p>
            <w:pPr>
              <w:jc w:val="right"/>
            </w:pPr>
            <w:r>
              <w:rPr>
                <w:color w:val="000000"/>
                <w:sz w:val="24"/>
                <w:szCs w:val="24"/>
              </w:rPr>
              <w:t>29.74</w:t>
            </w:r>
          </w:p>
        </w:tc>
      </w:tr>
      <w:tr>
        <w:tc>
          <w:tcPr>
            <w:vAlign w:val="center"/>
          </w:tcPr>
          <w:p>
            <w:pPr>
              <w:jc w:val="center"/>
            </w:pPr>
            <w:r>
              <w:rPr>
                <w:color w:val="000000"/>
                <w:sz w:val="24"/>
                <w:szCs w:val="24"/>
              </w:rPr>
              <w:t>3</w:t>
            </w:r>
          </w:p>
        </w:tc>
        <w:tc>
          <w:tcPr>
            <w:vAlign w:val="center"/>
          </w:tcPr>
          <w:p>
            <w:pPr>
              <w:jc w:val="center"/>
            </w:pPr>
            <w:r>
              <w:rPr>
                <w:color w:val="000000"/>
                <w:sz w:val="24"/>
                <w:szCs w:val="24"/>
              </w:rPr>
              <w:t>102000524</w:t>
            </w:r>
          </w:p>
        </w:tc>
        <w:tc>
          <w:tcPr>
            <w:vAlign w:val="center"/>
          </w:tcPr>
          <w:p>
            <w:pPr>
              <w:jc w:val="center"/>
            </w:pPr>
            <w:r>
              <w:rPr>
                <w:color w:val="000000"/>
                <w:sz w:val="24"/>
                <w:szCs w:val="24"/>
              </w:rPr>
              <w:t>20申通MTN001</w:t>
            </w:r>
          </w:p>
        </w:tc>
        <w:tc>
          <w:tcPr>
            <w:vAlign w:val="center"/>
          </w:tcPr>
          <w:p>
            <w:pPr>
              <w:jc w:val="right"/>
            </w:pPr>
            <w:r>
              <w:rPr>
                <w:color w:val="000000"/>
                <w:sz w:val="24"/>
                <w:szCs w:val="24"/>
              </w:rPr>
              <w:t>1,000,000</w:t>
            </w:r>
          </w:p>
        </w:tc>
        <w:tc>
          <w:tcPr>
            <w:vAlign w:val="center"/>
          </w:tcPr>
          <w:p>
            <w:pPr>
              <w:jc w:val="right"/>
            </w:pPr>
            <w:r>
              <w:rPr>
                <w:color w:val="000000"/>
                <w:sz w:val="24"/>
                <w:szCs w:val="24"/>
              </w:rPr>
              <w:t>99,270,000.00</w:t>
            </w:r>
          </w:p>
        </w:tc>
        <w:tc>
          <w:tcPr>
            <w:vAlign w:val="center"/>
          </w:tcPr>
          <w:p>
            <w:pPr>
              <w:jc w:val="right"/>
            </w:pPr>
            <w:r>
              <w:rPr>
                <w:color w:val="000000"/>
                <w:sz w:val="24"/>
                <w:szCs w:val="24"/>
              </w:rPr>
              <w:t>9.78</w:t>
            </w:r>
          </w:p>
        </w:tc>
      </w:tr>
      <w:tr>
        <w:tc>
          <w:tcPr>
            <w:vAlign w:val="center"/>
          </w:tcPr>
          <w:p>
            <w:pPr>
              <w:jc w:val="center"/>
            </w:pPr>
            <w:r>
              <w:rPr>
                <w:color w:val="000000"/>
                <w:sz w:val="24"/>
                <w:szCs w:val="24"/>
              </w:rPr>
              <w:t>4</w:t>
            </w:r>
          </w:p>
        </w:tc>
        <w:tc>
          <w:tcPr>
            <w:vAlign w:val="center"/>
          </w:tcPr>
          <w:p>
            <w:pPr>
              <w:jc w:val="center"/>
            </w:pPr>
            <w:r>
              <w:rPr>
                <w:color w:val="000000"/>
                <w:sz w:val="24"/>
                <w:szCs w:val="24"/>
              </w:rPr>
              <w:t>163246</w:t>
            </w:r>
          </w:p>
        </w:tc>
        <w:tc>
          <w:tcPr>
            <w:vAlign w:val="center"/>
          </w:tcPr>
          <w:p>
            <w:pPr>
              <w:jc w:val="center"/>
            </w:pPr>
            <w:r>
              <w:rPr>
                <w:color w:val="000000"/>
                <w:sz w:val="24"/>
                <w:szCs w:val="24"/>
              </w:rPr>
              <w:t>20上国投</w:t>
            </w:r>
          </w:p>
        </w:tc>
        <w:tc>
          <w:tcPr>
            <w:vAlign w:val="center"/>
          </w:tcPr>
          <w:p>
            <w:pPr>
              <w:jc w:val="right"/>
            </w:pPr>
            <w:r>
              <w:rPr>
                <w:color w:val="000000"/>
                <w:sz w:val="24"/>
                <w:szCs w:val="24"/>
              </w:rPr>
              <w:t>800,000</w:t>
            </w:r>
          </w:p>
        </w:tc>
        <w:tc>
          <w:tcPr>
            <w:vAlign w:val="center"/>
          </w:tcPr>
          <w:p>
            <w:pPr>
              <w:jc w:val="right"/>
            </w:pPr>
            <w:r>
              <w:rPr>
                <w:color w:val="000000"/>
                <w:sz w:val="24"/>
                <w:szCs w:val="24"/>
              </w:rPr>
              <w:t>79,184,000.00</w:t>
            </w:r>
          </w:p>
        </w:tc>
        <w:tc>
          <w:tcPr>
            <w:vAlign w:val="center"/>
          </w:tcPr>
          <w:p>
            <w:pPr>
              <w:jc w:val="right"/>
            </w:pPr>
            <w:r>
              <w:rPr>
                <w:color w:val="000000"/>
                <w:sz w:val="24"/>
                <w:szCs w:val="24"/>
              </w:rPr>
              <w:t>7.80</w:t>
            </w:r>
          </w:p>
        </w:tc>
      </w:tr>
      <w:tr>
        <w:tc>
          <w:tcPr>
            <w:vAlign w:val="center"/>
          </w:tcPr>
          <w:p>
            <w:pPr>
              <w:jc w:val="center"/>
            </w:pPr>
            <w:r>
              <w:rPr>
                <w:color w:val="000000"/>
                <w:sz w:val="24"/>
                <w:szCs w:val="24"/>
              </w:rPr>
              <w:t>5</w:t>
            </w:r>
          </w:p>
        </w:tc>
        <w:tc>
          <w:tcPr>
            <w:vAlign w:val="center"/>
          </w:tcPr>
          <w:p>
            <w:pPr>
              <w:jc w:val="center"/>
            </w:pPr>
            <w:r>
              <w:rPr>
                <w:color w:val="000000"/>
                <w:sz w:val="24"/>
                <w:szCs w:val="24"/>
              </w:rPr>
              <w:t>149191</w:t>
            </w:r>
          </w:p>
        </w:tc>
        <w:tc>
          <w:tcPr>
            <w:vAlign w:val="center"/>
          </w:tcPr>
          <w:p>
            <w:pPr>
              <w:jc w:val="center"/>
            </w:pPr>
            <w:r>
              <w:rPr>
                <w:color w:val="000000"/>
                <w:sz w:val="24"/>
                <w:szCs w:val="24"/>
              </w:rPr>
              <w:t>20广物02</w:t>
            </w:r>
          </w:p>
        </w:tc>
        <w:tc>
          <w:tcPr>
            <w:vAlign w:val="center"/>
          </w:tcPr>
          <w:p>
            <w:pPr>
              <w:jc w:val="right"/>
            </w:pPr>
            <w:r>
              <w:rPr>
                <w:color w:val="000000"/>
                <w:sz w:val="24"/>
                <w:szCs w:val="24"/>
              </w:rPr>
              <w:t>700,000</w:t>
            </w:r>
          </w:p>
        </w:tc>
        <w:tc>
          <w:tcPr>
            <w:vAlign w:val="center"/>
          </w:tcPr>
          <w:p>
            <w:pPr>
              <w:jc w:val="right"/>
            </w:pPr>
            <w:r>
              <w:rPr>
                <w:color w:val="000000"/>
                <w:sz w:val="24"/>
                <w:szCs w:val="24"/>
              </w:rPr>
              <w:t>69,517,000.00</w:t>
            </w:r>
          </w:p>
        </w:tc>
        <w:tc>
          <w:tcPr>
            <w:vAlign w:val="center"/>
          </w:tcPr>
          <w:p>
            <w:pPr>
              <w:jc w:val="right"/>
            </w:pPr>
            <w:r>
              <w:rPr>
                <w:color w:val="000000"/>
                <w:sz w:val="24"/>
                <w:szCs w:val="24"/>
              </w:rPr>
              <w:t>6.85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1,291.98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29,634,882.43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29,636,174.41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本基金本报告期末未持有股票。</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999,999,000.00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999,999,000.00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ED2620" w:rsidRDefault="00ED2620" w:rsidRPr="00ED2620">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10,000,000.00</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w:t>
            </w:r>
            <w:r w:rsidRPr="00ED2620">
              <w:rPr>
                <w:color w:val="000000"/>
                <w:sz w:val="24"/>
              </w:rPr>
              <w:lastRenderedPageBreak/>
              <w:t>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lastRenderedPageBreak/>
              <w:t/>
            </w:r>
            <w:r w:rsidRPr="00ED2620">
              <w:rPr>
                <w:rFonts w:eastAsiaTheme="minorEastAsia"/>
                <w:color w:val="000000"/>
                <w:sz w:val="24"/>
              </w:rPr>
              <w:lastRenderedPageBreak/>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lastRenderedPageBreak/>
              <w:t>本报告期</w:t>
            </w:r>
            <w:r w:rsidRPr="00ED2620">
              <w:rPr>
                <w:color w:val="000000"/>
                <w:sz w:val="24"/>
              </w:rPr>
              <w:t>卖出</w:t>
            </w:r>
            <w:r w:rsidRPr="00ED2620">
              <w:rPr>
                <w:color w:val="000000"/>
                <w:sz w:val="24"/>
              </w:rPr>
              <w:t>/</w:t>
            </w:r>
            <w:r w:rsidRPr="00ED2620">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10,000,000.00</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1.00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2、如果本报告期间发生转换出业务，则总赎回份额中包含该业务。</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D21FFF" w:rsidRDefault="006A1C62"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w:r>
      <w:r w:rsidR="00D21FFF" w:rsidRPr="00414345">
        <w:rPr>
          <w:color w:val="000000"/>
          <w:kern w:val="0"/>
          <w:sz w:val="24"/>
          <w:szCs w:val="24"/>
        </w:rPr>
        <w:t>§</w:t>
      </w:r>
      <w:r w:rsidR="008442C4" w:rsidRPr="00414345">
        <w:rPr>
          <w:color w:val="000000"/>
          <w:kern w:val="0"/>
          <w:sz w:val="24"/>
          <w:szCs w:val="24"/>
        </w:rPr>
        <w:t/>
      </w:r>
      <w:r w:rsidR="006423B9" w:rsidRPr="00414345">
        <w:rPr>
          <w:color w:val="000000"/>
          <w:kern w:val="0"/>
          <w:sz w:val="24"/>
          <w:szCs w:val="24"/>
        </w:rPr>
        <w:t>8</w:t>
      </w:r>
      <w:r w:rsidR="00834E74">
        <w:rPr>
          <w:color w:val="000000"/>
          <w:kern w:val="0"/>
          <w:sz w:val="24"/>
          <w:szCs w:val="24"/>
        </w:rPr>
        <w:t xml:space="preserve">  </w:t>
      </w:r>
      <w:r w:rsidR="003307FE" w:rsidRPr="00414345">
        <w:rPr>
          <w:color w:val="000000"/>
          <w:kern w:val="0"/>
          <w:sz w:val="24"/>
          <w:szCs w:val="24"/>
        </w:rPr>
        <w:t>报告期末</w:t>
      </w:r>
      <w:r w:rsidR="00D21FFF" w:rsidRPr="00414345">
        <w:rPr>
          <w:color w:val="000000"/>
          <w:kern w:val="0"/>
          <w:sz w:val="24"/>
          <w:szCs w:val="24"/>
        </w:rPr>
        <w:t>发起式基金发起资金持有份额情况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
          <w:bottom w:type="dxa" w:w="-1"/>
        </w:tblCellMar>
        <w:tblLook w:firstColumn="1" w:firstRow="1" w:lastColumn="0" w:lastRow="0" w:noHBand="0" w:noVBand="1" w:val="04A0"/>
      </w:tblPr>
      <w:tblGrid>
        <w:gridCol w:w="2387"/>
        <w:gridCol w:w="1156"/>
        <w:gridCol w:w="1312"/>
        <w:gridCol w:w="1064"/>
        <w:gridCol w:w="1456"/>
        <w:gridCol w:w="1493"/>
      </w:tblGrid>
      <w:tr w:rsidR="00D21FFF" w:rsidRPr="00414345" w:rsidTr="00AB4DB6">
        <w:trPr>
          <w:trHeight w:val="543"/>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widowControl/>
              <w:spacing w:before="29" w:line="288" w:lineRule="auto"/>
              <w:jc w:val="center"/>
              <w:rPr>
                <w:color w:val="000000"/>
                <w:sz w:val="24"/>
                <w:szCs w:val="24"/>
              </w:rPr>
            </w:pPr>
            <w:r w:rsidRPr="00414345">
              <w:rPr>
                <w:color w:val="000000"/>
                <w:sz w:val="24"/>
                <w:szCs w:val="24"/>
              </w:rPr>
              <w:t>项目</w:t>
            </w:r>
            <w:r w:rsidR="00797305" w:rsidRPr="00414345">
              <w:rPr>
                <w:color w:val="000000"/>
                <w:sz w:val="24"/>
                <w:szCs w:val="24"/>
              </w:rPr>
              <w:t/>
            </w:r>
            <w:r w:rsidR="00706D60" w:rsidRPr="00414345">
              <w:rPr>
                <w:color w:val="000000"/>
                <w:sz w:val="24"/>
                <w:szCs w:val="24"/>
              </w:rPr>
              <w:t/>
            </w:r>
            <w:r w:rsidR="00706D60" w:rsidRPr="00414345">
              <w:rPr>
                <w:color w:val="000000"/>
                <w:sz w:val="24"/>
                <w:szCs w:val="24"/>
              </w:rPr>
              <w:lastRenderedPageBreak/>
              <w:t/>
            </w:r>
          </w:p>
        </w:tc>
        <w:tc>
          <w:tcPr>
            <w:tcW w:type="dxa" w:w="1157"/>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jc w:val="center"/>
              <w:rPr>
                <w:color w:val="000000"/>
                <w:sz w:val="24"/>
                <w:szCs w:val="24"/>
              </w:rPr>
            </w:pPr>
            <w:r w:rsidRPr="00414345">
              <w:rPr>
                <w:color w:val="000000"/>
                <w:sz w:val="24"/>
                <w:szCs w:val="24"/>
              </w:rPr>
              <w:lastRenderedPageBreak/>
              <w:t>持有份额总数</w:t>
            </w:r>
          </w:p>
        </w:tc>
        <w:tc>
          <w:tcPr>
            <w:tcW w:type="dxa" w:w="1314"/>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jc w:val="center"/>
              <w:rPr>
                <w:color w:val="000000"/>
                <w:sz w:val="24"/>
                <w:szCs w:val="24"/>
              </w:rPr>
            </w:pPr>
            <w:r w:rsidRPr="00414345">
              <w:rPr>
                <w:color w:val="000000"/>
                <w:sz w:val="24"/>
                <w:szCs w:val="24"/>
              </w:rPr>
              <w:t>持有份额占基金总</w:t>
            </w:r>
            <w:r w:rsidRPr="00414345">
              <w:rPr>
                <w:color w:val="000000"/>
                <w:sz w:val="24"/>
                <w:szCs w:val="24"/>
              </w:rPr>
              <w:lastRenderedPageBreak/>
              <w:t>份额比例</w:t>
            </w:r>
          </w:p>
        </w:tc>
        <w:tc>
          <w:tcPr>
            <w:tcW w:type="dxa" w:w="1065"/>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jc w:val="center"/>
              <w:rPr>
                <w:color w:val="000000"/>
                <w:sz w:val="24"/>
                <w:szCs w:val="24"/>
              </w:rPr>
            </w:pPr>
            <w:r w:rsidRPr="00414345">
              <w:rPr>
                <w:color w:val="000000"/>
                <w:sz w:val="24"/>
                <w:szCs w:val="24"/>
              </w:rPr>
              <w:lastRenderedPageBreak/>
              <w:t>发起份额总数</w:t>
            </w:r>
          </w:p>
        </w:tc>
        <w:tc>
          <w:tcPr>
            <w:tcW w:type="dxa" w:w="1458"/>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jc w:val="center"/>
              <w:rPr>
                <w:color w:val="000000"/>
                <w:sz w:val="24"/>
                <w:szCs w:val="24"/>
              </w:rPr>
            </w:pPr>
            <w:r w:rsidRPr="00414345">
              <w:rPr>
                <w:color w:val="000000"/>
                <w:sz w:val="24"/>
                <w:szCs w:val="24"/>
              </w:rPr>
              <w:t>发起份额占基金总份额</w:t>
            </w:r>
            <w:r w:rsidRPr="00414345">
              <w:rPr>
                <w:color w:val="000000"/>
                <w:sz w:val="24"/>
                <w:szCs w:val="24"/>
              </w:rPr>
              <w:lastRenderedPageBreak/>
              <w:t>比例</w:t>
            </w:r>
          </w:p>
        </w:tc>
        <w:tc>
          <w:tcPr>
            <w:tcW w:type="dxa" w:w="1495"/>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widowControl/>
              <w:spacing w:before="29" w:line="288" w:lineRule="auto"/>
              <w:jc w:val="center"/>
              <w:rPr>
                <w:color w:val="000000"/>
                <w:sz w:val="24"/>
                <w:szCs w:val="24"/>
              </w:rPr>
            </w:pPr>
            <w:r w:rsidRPr="00414345">
              <w:rPr>
                <w:color w:val="000000"/>
                <w:sz w:val="24"/>
                <w:szCs w:val="24"/>
              </w:rPr>
              <w:lastRenderedPageBreak/>
              <w:t>发起份额承诺持有期限</w:t>
            </w:r>
          </w:p>
        </w:tc>
      </w:tr>
      <w:tr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rPr>
                <w:color w:val="000000"/>
                <w:sz w:val="24"/>
                <w:szCs w:val="24"/>
              </w:rPr>
            </w:pPr>
            <w:r w:rsidRPr="00414345">
              <w:rPr>
                <w:color w:val="000000"/>
                <w:sz w:val="24"/>
                <w:szCs w:val="24"/>
              </w:rPr>
              <w:t>基金管理人固有资金</w:t>
            </w:r>
          </w:p>
        </w:tc>
        <w:tc>
          <w:tcPr>
            <w:tcW w:type="dxa" w:w="1157"/>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10,000,000.00</w:t>
            </w:r>
          </w:p>
        </w:tc>
        <w:tc>
          <w:tcPr>
            <w:tcW w:type="dxa" w:w="1314"/>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w:t>
            </w:r>
          </w:p>
        </w:tc>
        <w:tc>
          <w:tcPr>
            <w:tcW w:type="dxa" w:w="106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10,000,000.00</w:t>
            </w:r>
          </w:p>
        </w:tc>
        <w:tc>
          <w:tcPr>
            <w:tcW w:type="dxa" w:w="1458"/>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w:t>
            </w:r>
          </w:p>
        </w:tc>
        <w:tc>
          <w:tcPr>
            <w:tcW w:type="dxa" w:w="149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不少于三年</w:t>
            </w:r>
          </w:p>
        </w:tc>
      </w:tr>
      <w:tr w:rsidR="00D21FFF" w:rsidRPr="00414345" w:rsidTr="00AB4DB6">
        <w:trPr>
          <w:trHeight w:val="790"/>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type="dxa" w:w="1157"/>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314"/>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06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458"/>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49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type="dxa" w:w="1157"/>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314"/>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06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458"/>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49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type="dxa" w:w="1157"/>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
            </w:r>
            <w:r w:rsidRPr="00414345">
              <w:rPr>
                <w:kern w:val="0"/>
                <w:sz w:val="24"/>
                <w:szCs w:val="24"/>
              </w:rPr>
              <w:lastRenderedPageBreak/>
              <w:t>-</w:t>
            </w:r>
          </w:p>
        </w:tc>
        <w:tc>
          <w:tcPr>
            <w:tcW w:type="dxa" w:w="1314"/>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lastRenderedPageBreak/>
              <w:t/>
            </w:r>
            <w:r w:rsidRPr="00414345">
              <w:rPr>
                <w:kern w:val="0"/>
                <w:sz w:val="24"/>
                <w:szCs w:val="24"/>
              </w:rPr>
              <w:lastRenderedPageBreak/>
              <w:t>-</w:t>
            </w:r>
          </w:p>
        </w:tc>
        <w:tc>
          <w:tcPr>
            <w:tcW w:type="dxa" w:w="106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lastRenderedPageBreak/>
              <w:t/>
            </w:r>
            <w:r w:rsidRPr="00414345">
              <w:rPr>
                <w:kern w:val="0"/>
                <w:sz w:val="24"/>
                <w:szCs w:val="24"/>
              </w:rPr>
              <w:lastRenderedPageBreak/>
              <w:t>-</w:t>
            </w:r>
          </w:p>
        </w:tc>
        <w:tc>
          <w:tcPr>
            <w:tcW w:type="dxa" w:w="1458"/>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lastRenderedPageBreak/>
              <w:t/>
            </w:r>
            <w:r w:rsidRPr="00414345">
              <w:rPr>
                <w:kern w:val="0"/>
                <w:sz w:val="24"/>
                <w:szCs w:val="24"/>
              </w:rPr>
              <w:lastRenderedPageBreak/>
              <w:t>-</w:t>
            </w:r>
          </w:p>
        </w:tc>
        <w:tc>
          <w:tcPr>
            <w:tcW w:type="dxa" w:w="149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lastRenderedPageBreak/>
              <w:t/>
            </w:r>
            <w:r w:rsidRPr="00414345">
              <w:rPr>
                <w:kern w:val="0"/>
                <w:sz w:val="24"/>
                <w:szCs w:val="24"/>
              </w:rPr>
              <w:lastRenderedPageBreak/>
              <w:t>-</w:t>
            </w:r>
          </w:p>
        </w:tc>
      </w:tr>
      <w:tr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jc w:val="left"/>
              <w:rPr>
                <w:color w:val="000000"/>
                <w:sz w:val="24"/>
                <w:szCs w:val="24"/>
              </w:rPr>
            </w:pPr>
            <w:r w:rsidRPr="00414345">
              <w:rPr>
                <w:color w:val="000000"/>
                <w:sz w:val="24"/>
                <w:szCs w:val="24"/>
              </w:rPr>
              <w:lastRenderedPageBreak/>
              <w:t>其他</w:t>
            </w:r>
          </w:p>
        </w:tc>
        <w:tc>
          <w:tcPr>
            <w:tcW w:type="dxa" w:w="1157"/>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314"/>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06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458"/>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49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rsidP="00C15CAC" w:rsidR="00D21FFF" w:rsidRDefault="00D21FFF"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1157"/>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10,000,000.00</w:t>
            </w:r>
          </w:p>
        </w:tc>
        <w:tc>
          <w:tcPr>
            <w:tcW w:type="dxa" w:w="1314"/>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w:t>
            </w:r>
          </w:p>
        </w:tc>
        <w:tc>
          <w:tcPr>
            <w:tcW w:type="dxa" w:w="106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10,000,000.00</w:t>
            </w:r>
          </w:p>
        </w:tc>
        <w:tc>
          <w:tcPr>
            <w:tcW w:type="dxa" w:w="1458"/>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w:t>
            </w:r>
          </w:p>
        </w:tc>
        <w:tc>
          <w:tcPr>
            <w:tcW w:type="dxa" w:w="1495"/>
            <w:tcBorders>
              <w:top w:color="auto" w:space="0" w:sz="4" w:val="single"/>
              <w:left w:color="auto" w:space="0" w:sz="4" w:val="single"/>
              <w:bottom w:color="auto" w:space="0" w:sz="4" w:val="single"/>
              <w:right w:color="auto" w:space="0" w:sz="4" w:val="single"/>
            </w:tcBorders>
            <w:vAlign w:val="center"/>
            <w:hideMark/>
          </w:tcPr>
          <w:p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r>
    </w:tbl>
    <w:p w:rsidP="00C15CAC" w:rsidR="005B09FA" w:rsidRDefault="005B09FA" w:rsidRPr="00414345">
      <w:pPr>
        <w:autoSpaceDE w:val="0"/>
        <w:autoSpaceDN w:val="0"/>
        <w:adjustRightInd w:val="0"/>
        <w:spacing w:before="29" w:line="288" w:lineRule="auto"/>
        <w:jc w:val="left"/>
        <w:rPr>
          <w:color w:val="000000"/>
          <w:sz w:val="24"/>
          <w:szCs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2020/10/1-2020/12/31</w:t>
            </w:r>
          </w:p>
        </w:tc>
        <w:tc>
          <w:tcPr>
            <w:vAlign w:val="center"/>
          </w:tcPr>
          <w:p>
            <w:pPr>
              <w:jc w:val="center"/>
            </w:pPr>
            <w:r>
              <w:rPr>
                <w:rFonts w:ascii="宋体" w:hAnsi="宋体"/>
                <w:color w:val="000000"/>
                <w:kern w:val="0"/>
              </w:rPr>
              <w:t>989,999,000.00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989,999,000.00</w:t>
            </w:r>
          </w:p>
        </w:tc>
        <w:tc>
          <w:tcPr>
            <w:vAlign w:val="center"/>
          </w:tcPr>
          <w:p>
            <w:pPr>
              <w:jc w:val="center"/>
            </w:pPr>
            <w:r>
              <w:rPr>
                <w:rFonts w:ascii="宋体" w:hAnsi="宋体"/>
                <w:color w:val="000000"/>
                <w:kern w:val="0"/>
              </w:rPr>
              <w:t>99.00%</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1、中国证监会准予交银施罗德裕坤纯债一年定期开放债券型发起式证券投资基金募集注册的文件；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2、《交银施罗德裕坤纯债一年定期开放债券型发起式证券投资基金基金合同》； </w:t>
      </w:r>
    </w:p>
    <w:p>
      <w:pPr>
        <w:spacing w:before="29" w:line="288" w:lineRule="auto"/>
        <w:ind w:firstLine="480" w:firstLineChars="200"/>
        <w:rPr>
          <w:color w:val="000000"/>
          <w:sz w:val="24"/>
          <w:szCs w:val="24"/>
        </w:rPr>
      </w:pPr>
      <w:r>
        <w:rPr>
          <w:color w:val="000000"/>
          <w:sz w:val="24"/>
          <w:szCs w:val="24"/>
        </w:rPr>
        <w:t xml:space="preserve">3、《交银施罗德裕坤纯债一年定期开放债券型发起式证券投资基金招募说明书》； </w:t>
      </w:r>
    </w:p>
    <w:p>
      <w:pPr>
        <w:spacing w:before="29" w:line="288" w:lineRule="auto"/>
        <w:ind w:firstLine="480" w:firstLineChars="200"/>
        <w:rPr>
          <w:color w:val="000000"/>
          <w:sz w:val="24"/>
          <w:szCs w:val="24"/>
        </w:rPr>
      </w:pPr>
      <w:r>
        <w:rPr>
          <w:color w:val="000000"/>
          <w:sz w:val="24"/>
          <w:szCs w:val="24"/>
        </w:rPr>
        <w:t xml:space="preserve">4、《交银施罗德裕坤纯债一年定期开放债券型发起式证券投资基金托管协议》；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5、关于申请募集注册交银施罗德裕坤纯债一年定期开放债券型发起式证券投资基金的法律意见书；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8、报告期内交银施罗德裕坤纯债一年定期开放债券型发起式证券投资基金在指定报刊上各项公告的原稿。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交银施罗德裕坤纯债一年定期开放债券型发起式证券投资基金2020年第4季度报告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