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二〇二一年一月二十一日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4697D" w:rsidRDefault="00CD2B8C">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4697D" w:rsidRDefault="00CD2B8C">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2021</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4697D" w:rsidRDefault="00CD2B8C">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4697D" w:rsidRDefault="00CD2B8C">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4697D" w:rsidRDefault="00CD2B8C">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2011</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50,460,109.20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w:t>
            </w:r>
            <w:r w:rsidRPr="007F52FA">
              <w:rPr>
                <w:color w:val="000000"/>
                <w:kern w:val="0"/>
                <w:sz w:val="24"/>
              </w:rPr>
              <w:lastRenderedPageBreak/>
              <w:t>况与相应风险收益特征，在严格控制基金资产运作风险的基础上，把握投资机会，力争为投资者提供高于业绩比较基准的长期稳定投资回报。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r w:rsidRPr="007F52FA">
              <w:rPr>
                <w:color w:val="000000"/>
                <w:kern w:val="0"/>
                <w:sz w:val="24"/>
              </w:rPr>
              <w:t>×90%+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×10%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519683</w:t>
            </w:r>
            <w:r w:rsidRPr="007F52FA">
              <w:rPr>
                <w:color w:val="000000" w:themeColor="text1"/>
                <w:sz w:val="24"/>
              </w:rPr>
              <w:t>（前端）、</w:t>
            </w:r>
            <w:r w:rsidRPr="007F52FA">
              <w:rPr>
                <w:color w:val="000000" w:themeColor="text1"/>
                <w:sz w:val="24"/>
              </w:rPr>
              <w:t>519684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41,885,829.46</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8,574,279.74</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-3,035,702.61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-318,836.57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-1,922,803.18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-200,067.30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-0.0168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-0.0210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53,209,902.35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10,464,432.34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1.2704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1.2204</w:t>
            </w:r>
          </w:p>
        </w:tc>
      </w:tr>
    </w:tbl>
    <w:p w:rsidR="00B4697D" w:rsidRDefault="00CD2B8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w:t>
      </w:r>
      <w:r w:rsidRPr="007F52FA">
        <w:rPr>
          <w:rFonts w:eastAsiaTheme="minorEastAsia"/>
          <w:color w:val="000000"/>
          <w:sz w:val="24"/>
        </w:rPr>
        <w:lastRenderedPageBreak/>
        <w:t>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交银双利债券</w:t>
      </w:r>
      <w:r w:rsidR="00A5643A" w:rsidRPr="007F52FA">
        <w:rPr>
          <w:b/>
          <w:color w:val="000000"/>
          <w:kern w:val="0"/>
          <w:sz w:val="24"/>
        </w:rPr>
        <w:t>A/B</w:t>
      </w:r>
      <w:r w:rsidRPr="007F52FA">
        <w:rPr>
          <w:b/>
          <w:sz w:val="24"/>
        </w:rPr>
        <w:t>：</w:t>
      </w:r>
    </w:p>
    <w:tbl>
      <w:tblPr>
        <w:tblW w:w="9458" w:type="dxa"/>
        <w:jc w:val="center"/>
        <w:tblCellMar>
          <w:left w:w="0" w:type="dxa"/>
          <w:right w:w="0" w:type="dxa"/>
        </w:tblCellMar>
        <w:tblLook w:val="04A0" w:firstRow="1" w:lastRow="0" w:firstColumn="1" w:lastColumn="0" w:noHBand="0" w:noVBand="1"/>
      </w:tblPr>
      <w:tblGrid>
        <w:gridCol w:w="1560"/>
        <w:gridCol w:w="992"/>
        <w:gridCol w:w="1444"/>
        <w:gridCol w:w="1584"/>
        <w:gridCol w:w="1584"/>
        <w:gridCol w:w="1070"/>
        <w:gridCol w:w="1224"/>
      </w:tblGrid>
      <w:tr w:rsidR="00CE4BE3" w:rsidTr="00CE4BE3">
        <w:trPr>
          <w:jc w:val="center"/>
        </w:trPr>
        <w:tc>
          <w:tcPr>
            <w:tcW w:w="1560"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pPr>
              <w:snapToGrid w:val="0"/>
              <w:spacing w:before="29" w:line="288" w:lineRule="auto"/>
              <w:jc w:val="center"/>
              <w:rPr>
                <w:color w:val="000000"/>
                <w:sz w:val="24"/>
              </w:rPr>
            </w:pPr>
            <w:r w:rsidRPr="00CE4BE3">
              <w:rPr>
                <w:rFonts w:hint="eastAsia"/>
                <w:color w:val="000000"/>
                <w:sz w:val="24"/>
              </w:rPr>
              <w:t>阶段</w:t>
            </w:r>
          </w:p>
        </w:tc>
        <w:tc>
          <w:tcPr>
            <w:tcW w:w="992"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CE4BE3" w:rsidRDefault="00CE4BE3">
            <w:pPr>
              <w:snapToGrid w:val="0"/>
              <w:spacing w:before="29" w:line="288" w:lineRule="auto"/>
              <w:jc w:val="center"/>
              <w:rPr>
                <w:color w:val="000000"/>
                <w:sz w:val="24"/>
              </w:rPr>
            </w:pPr>
            <w:r w:rsidRPr="00CE4BE3">
              <w:rPr>
                <w:rFonts w:hint="eastAsia"/>
                <w:color w:val="000000"/>
                <w:sz w:val="24"/>
              </w:rPr>
              <w:t>净值增长率①</w:t>
            </w:r>
          </w:p>
        </w:tc>
        <w:tc>
          <w:tcPr>
            <w:tcW w:w="1444"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CE4BE3" w:rsidRDefault="00CE4BE3">
            <w:pPr>
              <w:snapToGrid w:val="0"/>
              <w:spacing w:before="29" w:line="288" w:lineRule="auto"/>
              <w:jc w:val="center"/>
              <w:rPr>
                <w:color w:val="000000"/>
                <w:sz w:val="24"/>
              </w:rPr>
            </w:pPr>
            <w:r w:rsidRPr="00CE4BE3">
              <w:rPr>
                <w:rFonts w:hint="eastAsia"/>
                <w:color w:val="000000"/>
                <w:sz w:val="24"/>
              </w:rPr>
              <w:t>净值增长率标准差②</w:t>
            </w:r>
          </w:p>
        </w:tc>
        <w:tc>
          <w:tcPr>
            <w:tcW w:w="1584"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CE4BE3" w:rsidRDefault="00CE4BE3">
            <w:pPr>
              <w:snapToGrid w:val="0"/>
              <w:spacing w:before="29" w:line="288" w:lineRule="auto"/>
              <w:jc w:val="center"/>
              <w:rPr>
                <w:color w:val="000000"/>
                <w:sz w:val="24"/>
              </w:rPr>
            </w:pPr>
            <w:r w:rsidRPr="00CE4BE3">
              <w:rPr>
                <w:rFonts w:hint="eastAsia"/>
                <w:color w:val="000000"/>
                <w:sz w:val="24"/>
              </w:rPr>
              <w:t>业绩比较基准收益率③</w:t>
            </w:r>
          </w:p>
        </w:tc>
        <w:tc>
          <w:tcPr>
            <w:tcW w:w="1584"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CE4BE3" w:rsidRDefault="00CE4BE3">
            <w:pPr>
              <w:snapToGrid w:val="0"/>
              <w:spacing w:before="29" w:line="288" w:lineRule="auto"/>
              <w:jc w:val="center"/>
              <w:rPr>
                <w:color w:val="000000"/>
                <w:sz w:val="24"/>
              </w:rPr>
            </w:pPr>
            <w:r w:rsidRPr="00CE4BE3">
              <w:rPr>
                <w:rFonts w:hint="eastAsia"/>
                <w:color w:val="000000"/>
                <w:sz w:val="24"/>
              </w:rPr>
              <w:t>业绩比较基准收益率标准差④</w:t>
            </w:r>
          </w:p>
        </w:tc>
        <w:tc>
          <w:tcPr>
            <w:tcW w:w="1070"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CE4BE3" w:rsidRDefault="00CE4BE3">
            <w:pPr>
              <w:snapToGrid w:val="0"/>
              <w:spacing w:before="29" w:line="288" w:lineRule="auto"/>
              <w:jc w:val="center"/>
              <w:rPr>
                <w:color w:val="000000"/>
                <w:sz w:val="24"/>
              </w:rPr>
            </w:pPr>
            <w:r w:rsidRPr="00CE4BE3">
              <w:rPr>
                <w:rFonts w:hint="eastAsia"/>
                <w:color w:val="000000"/>
                <w:sz w:val="24"/>
              </w:rPr>
              <w:t>①－③</w:t>
            </w:r>
          </w:p>
        </w:tc>
        <w:tc>
          <w:tcPr>
            <w:tcW w:w="1224"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CE4BE3" w:rsidRDefault="00CE4BE3">
            <w:pPr>
              <w:snapToGrid w:val="0"/>
              <w:spacing w:before="29" w:line="288" w:lineRule="auto"/>
              <w:jc w:val="center"/>
              <w:rPr>
                <w:color w:val="000000"/>
                <w:sz w:val="24"/>
              </w:rPr>
            </w:pPr>
            <w:r w:rsidRPr="00CE4BE3">
              <w:rPr>
                <w:rFonts w:hint="eastAsia"/>
                <w:color w:val="000000"/>
                <w:sz w:val="24"/>
              </w:rPr>
              <w:t>②－④</w:t>
            </w:r>
          </w:p>
        </w:tc>
      </w:tr>
      <w:tr w:rsidR="00CE4BE3" w:rsidTr="00CE4BE3">
        <w:trPr>
          <w:jc w:val="center"/>
        </w:trPr>
        <w:tc>
          <w:tcPr>
            <w:tcW w:w="1560"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sidRPr="00CE4BE3">
              <w:rPr>
                <w:rFonts w:hint="eastAsia"/>
                <w:color w:val="000000"/>
                <w:sz w:val="24"/>
              </w:rPr>
              <w:t>过去三个月</w:t>
            </w:r>
          </w:p>
        </w:tc>
        <w:tc>
          <w:tcPr>
            <w:tcW w:w="992"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-1.66%</w:t>
            </w:r>
          </w:p>
        </w:tc>
        <w:tc>
          <w:tcPr>
            <w:tcW w:w="14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0.26%</w:t>
            </w:r>
          </w:p>
        </w:tc>
        <w:tc>
          <w:tcPr>
            <w:tcW w:w="15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1.89%</w:t>
            </w:r>
          </w:p>
        </w:tc>
        <w:tc>
          <w:tcPr>
            <w:tcW w:w="15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0.11%</w:t>
            </w:r>
          </w:p>
        </w:tc>
        <w:tc>
          <w:tcPr>
            <w:tcW w:w="1070"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-3.55%</w:t>
            </w:r>
          </w:p>
        </w:tc>
        <w:tc>
          <w:tcPr>
            <w:tcW w:w="122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0.15%</w:t>
            </w:r>
          </w:p>
        </w:tc>
      </w:tr>
      <w:tr w:rsidR="00CE4BE3" w:rsidTr="00CE4BE3">
        <w:trPr>
          <w:jc w:val="center"/>
        </w:trPr>
        <w:tc>
          <w:tcPr>
            <w:tcW w:w="1560"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sidRPr="00CE4BE3">
              <w:rPr>
                <w:rFonts w:hint="eastAsia"/>
                <w:color w:val="000000"/>
                <w:sz w:val="24"/>
              </w:rPr>
              <w:t>过去六个月</w:t>
            </w:r>
          </w:p>
        </w:tc>
        <w:tc>
          <w:tcPr>
            <w:tcW w:w="992"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-1.75%</w:t>
            </w:r>
          </w:p>
        </w:tc>
        <w:tc>
          <w:tcPr>
            <w:tcW w:w="14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0.32%</w:t>
            </w:r>
          </w:p>
        </w:tc>
        <w:tc>
          <w:tcPr>
            <w:tcW w:w="15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1.59%</w:t>
            </w:r>
          </w:p>
        </w:tc>
        <w:tc>
          <w:tcPr>
            <w:tcW w:w="15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0.13%</w:t>
            </w:r>
          </w:p>
        </w:tc>
        <w:tc>
          <w:tcPr>
            <w:tcW w:w="1070"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-3.34%</w:t>
            </w:r>
          </w:p>
        </w:tc>
        <w:tc>
          <w:tcPr>
            <w:tcW w:w="122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0.19%</w:t>
            </w:r>
          </w:p>
        </w:tc>
      </w:tr>
      <w:tr w:rsidR="00CE4BE3" w:rsidTr="00CE4BE3">
        <w:trPr>
          <w:jc w:val="center"/>
        </w:trPr>
        <w:tc>
          <w:tcPr>
            <w:tcW w:w="1560"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sidRPr="00CE4BE3">
              <w:rPr>
                <w:rFonts w:hint="eastAsia"/>
                <w:color w:val="000000"/>
                <w:sz w:val="24"/>
              </w:rPr>
              <w:t>过去一年</w:t>
            </w:r>
          </w:p>
        </w:tc>
        <w:tc>
          <w:tcPr>
            <w:tcW w:w="992"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2.78%</w:t>
            </w:r>
          </w:p>
        </w:tc>
        <w:tc>
          <w:tcPr>
            <w:tcW w:w="14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0.29%</w:t>
            </w:r>
          </w:p>
        </w:tc>
        <w:tc>
          <w:tcPr>
            <w:tcW w:w="15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2.62%</w:t>
            </w:r>
          </w:p>
        </w:tc>
        <w:tc>
          <w:tcPr>
            <w:tcW w:w="15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0.14%</w:t>
            </w:r>
          </w:p>
        </w:tc>
        <w:tc>
          <w:tcPr>
            <w:tcW w:w="1070"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0.16%</w:t>
            </w:r>
          </w:p>
        </w:tc>
        <w:tc>
          <w:tcPr>
            <w:tcW w:w="122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0.15%</w:t>
            </w:r>
          </w:p>
        </w:tc>
      </w:tr>
      <w:tr w:rsidR="00CE4BE3" w:rsidTr="00CE4BE3">
        <w:trPr>
          <w:jc w:val="center"/>
        </w:trPr>
        <w:tc>
          <w:tcPr>
            <w:tcW w:w="1560"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sidRPr="00CE4BE3">
              <w:rPr>
                <w:rFonts w:hint="eastAsia"/>
                <w:color w:val="000000"/>
                <w:sz w:val="24"/>
              </w:rPr>
              <w:t>过去三年</w:t>
            </w:r>
          </w:p>
        </w:tc>
        <w:tc>
          <w:tcPr>
            <w:tcW w:w="992"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8.58%</w:t>
            </w:r>
          </w:p>
        </w:tc>
        <w:tc>
          <w:tcPr>
            <w:tcW w:w="14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0.23%</w:t>
            </w:r>
          </w:p>
        </w:tc>
        <w:tc>
          <w:tcPr>
            <w:tcW w:w="15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8.89%</w:t>
            </w:r>
          </w:p>
        </w:tc>
        <w:tc>
          <w:tcPr>
            <w:tcW w:w="15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0.13%</w:t>
            </w:r>
          </w:p>
        </w:tc>
        <w:tc>
          <w:tcPr>
            <w:tcW w:w="1070"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-0.31%</w:t>
            </w:r>
          </w:p>
        </w:tc>
        <w:tc>
          <w:tcPr>
            <w:tcW w:w="122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0.10%</w:t>
            </w:r>
          </w:p>
        </w:tc>
      </w:tr>
      <w:tr w:rsidR="00CE4BE3" w:rsidTr="00CE4BE3">
        <w:trPr>
          <w:jc w:val="center"/>
        </w:trPr>
        <w:tc>
          <w:tcPr>
            <w:tcW w:w="1560"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sidRPr="00CE4BE3">
              <w:rPr>
                <w:rFonts w:hint="eastAsia"/>
                <w:color w:val="000000"/>
                <w:sz w:val="24"/>
              </w:rPr>
              <w:t>过去五年</w:t>
            </w:r>
          </w:p>
        </w:tc>
        <w:tc>
          <w:tcPr>
            <w:tcW w:w="992"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2.70%</w:t>
            </w:r>
          </w:p>
        </w:tc>
        <w:tc>
          <w:tcPr>
            <w:tcW w:w="14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0.20%</w:t>
            </w:r>
          </w:p>
        </w:tc>
        <w:tc>
          <w:tcPr>
            <w:tcW w:w="15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5.09%</w:t>
            </w:r>
          </w:p>
        </w:tc>
        <w:tc>
          <w:tcPr>
            <w:tcW w:w="15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0.13%</w:t>
            </w:r>
          </w:p>
        </w:tc>
        <w:tc>
          <w:tcPr>
            <w:tcW w:w="1070"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-2.39%</w:t>
            </w:r>
          </w:p>
        </w:tc>
        <w:tc>
          <w:tcPr>
            <w:tcW w:w="122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0.07%</w:t>
            </w:r>
          </w:p>
        </w:tc>
      </w:tr>
      <w:tr w:rsidR="00CE4BE3" w:rsidTr="00CE4BE3">
        <w:trPr>
          <w:jc w:val="center"/>
        </w:trPr>
        <w:tc>
          <w:tcPr>
            <w:tcW w:w="1560"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sidRPr="00CE4BE3">
              <w:rPr>
                <w:rFonts w:hint="eastAsia"/>
                <w:color w:val="000000"/>
                <w:sz w:val="24"/>
              </w:rPr>
              <w:t>自基金合同生效起至今</w:t>
            </w:r>
          </w:p>
        </w:tc>
        <w:tc>
          <w:tcPr>
            <w:tcW w:w="992"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68.43%</w:t>
            </w:r>
          </w:p>
        </w:tc>
        <w:tc>
          <w:tcPr>
            <w:tcW w:w="144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0.41%</w:t>
            </w:r>
          </w:p>
        </w:tc>
        <w:tc>
          <w:tcPr>
            <w:tcW w:w="15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20.72%</w:t>
            </w:r>
          </w:p>
        </w:tc>
        <w:tc>
          <w:tcPr>
            <w:tcW w:w="15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0.16%</w:t>
            </w:r>
          </w:p>
        </w:tc>
        <w:tc>
          <w:tcPr>
            <w:tcW w:w="1070"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47.71%</w:t>
            </w:r>
          </w:p>
        </w:tc>
        <w:tc>
          <w:tcPr>
            <w:tcW w:w="122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0.25%</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交银双利债券</w:t>
      </w:r>
      <w:r w:rsidR="00FE7FBD" w:rsidRPr="007F52FA">
        <w:rPr>
          <w:b/>
          <w:color w:val="000000"/>
          <w:kern w:val="0"/>
          <w:sz w:val="24"/>
        </w:rPr>
        <w:t>C</w:t>
      </w:r>
      <w:r w:rsidRPr="007F52FA">
        <w:rPr>
          <w:b/>
          <w:color w:val="000000"/>
          <w:kern w:val="0"/>
          <w:sz w:val="24"/>
        </w:rPr>
        <w:t>：</w:t>
      </w:r>
    </w:p>
    <w:tbl>
      <w:tblPr>
        <w:tblW w:w="9465" w:type="dxa"/>
        <w:jc w:val="center"/>
        <w:tblCellMar>
          <w:left w:w="0" w:type="dxa"/>
          <w:right w:w="0" w:type="dxa"/>
        </w:tblCellMar>
        <w:tblLook w:val="04A0" w:firstRow="1" w:lastRow="0" w:firstColumn="1" w:lastColumn="0" w:noHBand="0" w:noVBand="1"/>
      </w:tblPr>
      <w:tblGrid>
        <w:gridCol w:w="1418"/>
        <w:gridCol w:w="1001"/>
        <w:gridCol w:w="1584"/>
        <w:gridCol w:w="1584"/>
        <w:gridCol w:w="1584"/>
        <w:gridCol w:w="999"/>
        <w:gridCol w:w="1295"/>
      </w:tblGrid>
      <w:tr w:rsidR="00CE4BE3" w:rsidTr="00CE4BE3">
        <w:trPr>
          <w:jc w:val="center"/>
        </w:trPr>
        <w:tc>
          <w:tcPr>
            <w:tcW w:w="1418"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pPr>
              <w:snapToGrid w:val="0"/>
              <w:spacing w:before="29" w:line="288" w:lineRule="auto"/>
              <w:jc w:val="center"/>
              <w:rPr>
                <w:color w:val="000000"/>
                <w:sz w:val="24"/>
              </w:rPr>
            </w:pPr>
            <w:r w:rsidRPr="00CE4BE3">
              <w:rPr>
                <w:rFonts w:hint="eastAsia"/>
                <w:color w:val="000000"/>
                <w:sz w:val="24"/>
              </w:rPr>
              <w:t>阶段</w:t>
            </w:r>
          </w:p>
        </w:tc>
        <w:tc>
          <w:tcPr>
            <w:tcW w:w="1001"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pPr>
              <w:snapToGrid w:val="0"/>
              <w:spacing w:before="29" w:line="288" w:lineRule="auto"/>
              <w:jc w:val="center"/>
              <w:rPr>
                <w:color w:val="000000"/>
                <w:sz w:val="24"/>
              </w:rPr>
            </w:pPr>
            <w:r w:rsidRPr="00CE4BE3">
              <w:rPr>
                <w:rFonts w:hint="eastAsia"/>
                <w:color w:val="000000"/>
                <w:sz w:val="24"/>
              </w:rPr>
              <w:t>净值增长率①</w:t>
            </w:r>
          </w:p>
        </w:tc>
        <w:tc>
          <w:tcPr>
            <w:tcW w:w="1584"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pPr>
              <w:snapToGrid w:val="0"/>
              <w:spacing w:before="29" w:line="288" w:lineRule="auto"/>
              <w:jc w:val="center"/>
              <w:rPr>
                <w:color w:val="000000"/>
                <w:sz w:val="24"/>
              </w:rPr>
            </w:pPr>
            <w:r w:rsidRPr="00CE4BE3">
              <w:rPr>
                <w:rFonts w:hint="eastAsia"/>
                <w:color w:val="000000"/>
                <w:sz w:val="24"/>
              </w:rPr>
              <w:t>净值增长率标准差②</w:t>
            </w:r>
          </w:p>
        </w:tc>
        <w:tc>
          <w:tcPr>
            <w:tcW w:w="1584"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CE4BE3" w:rsidRDefault="00CE4BE3">
            <w:pPr>
              <w:snapToGrid w:val="0"/>
              <w:spacing w:before="29" w:line="288" w:lineRule="auto"/>
              <w:jc w:val="center"/>
              <w:rPr>
                <w:color w:val="000000"/>
                <w:sz w:val="24"/>
              </w:rPr>
            </w:pPr>
            <w:r w:rsidRPr="00CE4BE3">
              <w:rPr>
                <w:rFonts w:hint="eastAsia"/>
                <w:color w:val="000000"/>
                <w:sz w:val="24"/>
              </w:rPr>
              <w:t>业绩比较基准收益率③</w:t>
            </w:r>
          </w:p>
        </w:tc>
        <w:tc>
          <w:tcPr>
            <w:tcW w:w="1584"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CE4BE3" w:rsidRDefault="00CE4BE3">
            <w:pPr>
              <w:snapToGrid w:val="0"/>
              <w:spacing w:before="29" w:line="288" w:lineRule="auto"/>
              <w:jc w:val="center"/>
              <w:rPr>
                <w:color w:val="000000"/>
                <w:sz w:val="24"/>
              </w:rPr>
            </w:pPr>
            <w:r w:rsidRPr="00CE4BE3">
              <w:rPr>
                <w:rFonts w:hint="eastAsia"/>
                <w:color w:val="000000"/>
                <w:sz w:val="24"/>
              </w:rPr>
              <w:t>业绩比较基准收益率标准差④</w:t>
            </w:r>
          </w:p>
        </w:tc>
        <w:tc>
          <w:tcPr>
            <w:tcW w:w="999"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CE4BE3" w:rsidRDefault="00CE4BE3">
            <w:pPr>
              <w:snapToGrid w:val="0"/>
              <w:spacing w:before="29" w:line="288" w:lineRule="auto"/>
              <w:jc w:val="center"/>
              <w:rPr>
                <w:color w:val="000000"/>
                <w:sz w:val="24"/>
              </w:rPr>
            </w:pPr>
            <w:r w:rsidRPr="00CE4BE3">
              <w:rPr>
                <w:rFonts w:hint="eastAsia"/>
                <w:color w:val="000000"/>
                <w:sz w:val="24"/>
              </w:rPr>
              <w:t>①－③</w:t>
            </w:r>
          </w:p>
        </w:tc>
        <w:tc>
          <w:tcPr>
            <w:tcW w:w="1295"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CE4BE3" w:rsidRDefault="00CE4BE3">
            <w:pPr>
              <w:snapToGrid w:val="0"/>
              <w:spacing w:before="29" w:line="288" w:lineRule="auto"/>
              <w:jc w:val="center"/>
              <w:rPr>
                <w:color w:val="000000"/>
                <w:sz w:val="24"/>
              </w:rPr>
            </w:pPr>
            <w:r w:rsidRPr="00CE4BE3">
              <w:rPr>
                <w:rFonts w:hint="eastAsia"/>
                <w:color w:val="000000"/>
                <w:sz w:val="24"/>
              </w:rPr>
              <w:t>②－④</w:t>
            </w:r>
          </w:p>
        </w:tc>
      </w:tr>
      <w:tr w:rsidR="00CE4BE3" w:rsidTr="00CE4BE3">
        <w:trPr>
          <w:jc w:val="center"/>
        </w:trPr>
        <w:tc>
          <w:tcPr>
            <w:tcW w:w="1418"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sidRPr="00CE4BE3">
              <w:rPr>
                <w:rFonts w:hint="eastAsia"/>
                <w:color w:val="000000"/>
                <w:sz w:val="24"/>
              </w:rPr>
              <w:t>过去三个月</w:t>
            </w:r>
          </w:p>
        </w:tc>
        <w:tc>
          <w:tcPr>
            <w:tcW w:w="1001"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-1.76%</w:t>
            </w:r>
          </w:p>
        </w:tc>
        <w:tc>
          <w:tcPr>
            <w:tcW w:w="15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0.26%</w:t>
            </w:r>
          </w:p>
        </w:tc>
        <w:tc>
          <w:tcPr>
            <w:tcW w:w="15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1.89%</w:t>
            </w:r>
          </w:p>
        </w:tc>
        <w:tc>
          <w:tcPr>
            <w:tcW w:w="15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0.11%</w:t>
            </w:r>
          </w:p>
        </w:tc>
        <w:tc>
          <w:tcPr>
            <w:tcW w:w="99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-3.65%</w:t>
            </w:r>
          </w:p>
        </w:tc>
        <w:tc>
          <w:tcPr>
            <w:tcW w:w="1295"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0.15%</w:t>
            </w:r>
          </w:p>
        </w:tc>
      </w:tr>
      <w:tr w:rsidR="00CE4BE3" w:rsidTr="00CE4BE3">
        <w:trPr>
          <w:jc w:val="center"/>
        </w:trPr>
        <w:tc>
          <w:tcPr>
            <w:tcW w:w="1418"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sidRPr="00CE4BE3">
              <w:rPr>
                <w:rFonts w:hint="eastAsia"/>
                <w:color w:val="000000"/>
                <w:sz w:val="24"/>
              </w:rPr>
              <w:t>过去六个月</w:t>
            </w:r>
          </w:p>
        </w:tc>
        <w:tc>
          <w:tcPr>
            <w:tcW w:w="1001"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-1.98%</w:t>
            </w:r>
          </w:p>
        </w:tc>
        <w:tc>
          <w:tcPr>
            <w:tcW w:w="15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0.32%</w:t>
            </w:r>
          </w:p>
        </w:tc>
        <w:tc>
          <w:tcPr>
            <w:tcW w:w="15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1.59%</w:t>
            </w:r>
          </w:p>
        </w:tc>
        <w:tc>
          <w:tcPr>
            <w:tcW w:w="15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0.13%</w:t>
            </w:r>
          </w:p>
        </w:tc>
        <w:tc>
          <w:tcPr>
            <w:tcW w:w="99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-3.57%</w:t>
            </w:r>
          </w:p>
        </w:tc>
        <w:tc>
          <w:tcPr>
            <w:tcW w:w="1295"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0.19%</w:t>
            </w:r>
          </w:p>
        </w:tc>
      </w:tr>
      <w:tr w:rsidR="00CE4BE3" w:rsidTr="00CE4BE3">
        <w:trPr>
          <w:jc w:val="center"/>
        </w:trPr>
        <w:tc>
          <w:tcPr>
            <w:tcW w:w="1418"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sidRPr="00CE4BE3">
              <w:rPr>
                <w:rFonts w:hint="eastAsia"/>
                <w:color w:val="000000"/>
                <w:sz w:val="24"/>
              </w:rPr>
              <w:t>过去一年</w:t>
            </w:r>
          </w:p>
        </w:tc>
        <w:tc>
          <w:tcPr>
            <w:tcW w:w="1001"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2.38%</w:t>
            </w:r>
          </w:p>
        </w:tc>
        <w:tc>
          <w:tcPr>
            <w:tcW w:w="15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bookmarkStart w:id="0" w:name="_GoBack"/>
            <w:bookmarkEnd w:id="0"/>
            <w:r>
              <w:rPr>
                <w:color w:val="000000"/>
                <w:sz w:val="24"/>
              </w:rPr>
              <w:t>0.29%</w:t>
            </w:r>
          </w:p>
        </w:tc>
        <w:tc>
          <w:tcPr>
            <w:tcW w:w="15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2.62%</w:t>
            </w:r>
          </w:p>
        </w:tc>
        <w:tc>
          <w:tcPr>
            <w:tcW w:w="15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0.14%</w:t>
            </w:r>
          </w:p>
        </w:tc>
        <w:tc>
          <w:tcPr>
            <w:tcW w:w="99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-0.24%</w:t>
            </w:r>
          </w:p>
        </w:tc>
        <w:tc>
          <w:tcPr>
            <w:tcW w:w="1295"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0.15%</w:t>
            </w:r>
          </w:p>
        </w:tc>
      </w:tr>
      <w:tr w:rsidR="00CE4BE3" w:rsidTr="00CE4BE3">
        <w:trPr>
          <w:jc w:val="center"/>
        </w:trPr>
        <w:tc>
          <w:tcPr>
            <w:tcW w:w="1418"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sidRPr="00CE4BE3">
              <w:rPr>
                <w:rFonts w:hint="eastAsia"/>
                <w:color w:val="000000"/>
                <w:sz w:val="24"/>
              </w:rPr>
              <w:t>过去三年</w:t>
            </w:r>
          </w:p>
        </w:tc>
        <w:tc>
          <w:tcPr>
            <w:tcW w:w="1001"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7.34%</w:t>
            </w:r>
          </w:p>
        </w:tc>
        <w:tc>
          <w:tcPr>
            <w:tcW w:w="15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0.23%</w:t>
            </w:r>
          </w:p>
        </w:tc>
        <w:tc>
          <w:tcPr>
            <w:tcW w:w="15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8.89%</w:t>
            </w:r>
          </w:p>
        </w:tc>
        <w:tc>
          <w:tcPr>
            <w:tcW w:w="15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0.13%</w:t>
            </w:r>
          </w:p>
        </w:tc>
        <w:tc>
          <w:tcPr>
            <w:tcW w:w="99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-1.55%</w:t>
            </w:r>
          </w:p>
        </w:tc>
        <w:tc>
          <w:tcPr>
            <w:tcW w:w="1295"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0.10%</w:t>
            </w:r>
          </w:p>
        </w:tc>
      </w:tr>
      <w:tr w:rsidR="00CE4BE3" w:rsidTr="00CE4BE3">
        <w:trPr>
          <w:jc w:val="center"/>
        </w:trPr>
        <w:tc>
          <w:tcPr>
            <w:tcW w:w="1418"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sidRPr="00CE4BE3">
              <w:rPr>
                <w:rFonts w:hint="eastAsia"/>
                <w:color w:val="000000"/>
                <w:sz w:val="24"/>
              </w:rPr>
              <w:t>过去五年</w:t>
            </w:r>
          </w:p>
        </w:tc>
        <w:tc>
          <w:tcPr>
            <w:tcW w:w="1001"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0.69%</w:t>
            </w:r>
          </w:p>
        </w:tc>
        <w:tc>
          <w:tcPr>
            <w:tcW w:w="15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0.20%</w:t>
            </w:r>
          </w:p>
        </w:tc>
        <w:tc>
          <w:tcPr>
            <w:tcW w:w="15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5.09%</w:t>
            </w:r>
          </w:p>
        </w:tc>
        <w:tc>
          <w:tcPr>
            <w:tcW w:w="15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0.13%</w:t>
            </w:r>
          </w:p>
        </w:tc>
        <w:tc>
          <w:tcPr>
            <w:tcW w:w="99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-4.40%</w:t>
            </w:r>
          </w:p>
        </w:tc>
        <w:tc>
          <w:tcPr>
            <w:tcW w:w="1295"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0.07%</w:t>
            </w:r>
          </w:p>
        </w:tc>
      </w:tr>
      <w:tr w:rsidR="00CE4BE3" w:rsidTr="00CE4BE3">
        <w:trPr>
          <w:jc w:val="center"/>
        </w:trPr>
        <w:tc>
          <w:tcPr>
            <w:tcW w:w="1418"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sidRPr="00CE4BE3">
              <w:rPr>
                <w:rFonts w:hint="eastAsia"/>
                <w:color w:val="000000"/>
                <w:sz w:val="24"/>
              </w:rPr>
              <w:t>自基金合同生效起至今</w:t>
            </w:r>
          </w:p>
        </w:tc>
        <w:tc>
          <w:tcPr>
            <w:tcW w:w="1001"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61.90%</w:t>
            </w:r>
          </w:p>
        </w:tc>
        <w:tc>
          <w:tcPr>
            <w:tcW w:w="15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0.41%</w:t>
            </w:r>
          </w:p>
        </w:tc>
        <w:tc>
          <w:tcPr>
            <w:tcW w:w="15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20.72%</w:t>
            </w:r>
          </w:p>
        </w:tc>
        <w:tc>
          <w:tcPr>
            <w:tcW w:w="1584"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0.16%</w:t>
            </w:r>
          </w:p>
        </w:tc>
        <w:tc>
          <w:tcPr>
            <w:tcW w:w="999"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41.18%</w:t>
            </w:r>
          </w:p>
        </w:tc>
        <w:tc>
          <w:tcPr>
            <w:tcW w:w="1295"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CE4BE3" w:rsidRPr="00CE4BE3" w:rsidRDefault="00CE4BE3" w:rsidP="00CE4BE3">
            <w:pPr>
              <w:snapToGrid w:val="0"/>
              <w:spacing w:before="29" w:line="288" w:lineRule="auto"/>
              <w:jc w:val="center"/>
              <w:rPr>
                <w:color w:val="000000"/>
                <w:sz w:val="24"/>
              </w:rPr>
            </w:pPr>
            <w:r>
              <w:rPr>
                <w:color w:val="000000"/>
                <w:sz w:val="24"/>
              </w:rPr>
              <w:t>0.25%</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lastRenderedPageBreak/>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2011</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w:t>
      </w:r>
      <w:r w:rsidRPr="007F52FA">
        <w:rPr>
          <w:color w:val="000000"/>
          <w:sz w:val="24"/>
        </w:rPr>
        <w:lastRenderedPageBreak/>
        <w:t>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4697D">
        <w:trPr>
          <w:jc w:val="center"/>
        </w:trPr>
        <w:tc>
          <w:tcPr>
            <w:tcW w:w="946" w:type="dxa"/>
            <w:vAlign w:val="center"/>
          </w:tcPr>
          <w:p w:rsidR="00B4697D" w:rsidRDefault="00CD2B8C">
            <w:pPr>
              <w:jc w:val="center"/>
            </w:pPr>
            <w:r>
              <w:rPr>
                <w:color w:val="000000"/>
                <w:sz w:val="24"/>
              </w:rPr>
              <w:t>唐赟</w:t>
            </w:r>
          </w:p>
        </w:tc>
        <w:tc>
          <w:tcPr>
            <w:tcW w:w="924" w:type="dxa"/>
            <w:vAlign w:val="center"/>
          </w:tcPr>
          <w:p w:rsidR="00B4697D" w:rsidRDefault="00CD2B8C">
            <w:pPr>
              <w:jc w:val="center"/>
            </w:pPr>
            <w:r>
              <w:rPr>
                <w:color w:val="000000"/>
                <w:sz w:val="24"/>
              </w:rPr>
              <w:t>交银信用添利债券</w:t>
            </w:r>
            <w:r>
              <w:rPr>
                <w:color w:val="000000"/>
                <w:sz w:val="24"/>
              </w:rPr>
              <w:t>(LOF)</w:t>
            </w:r>
            <w:r>
              <w:rPr>
                <w:color w:val="000000"/>
                <w:sz w:val="24"/>
              </w:rPr>
              <w:t>、交银双利债券、交银双轮动债券、交银定期支付月月丰债券、交银增强收益债券、交银强化回报债券、交银荣鑫灵活配置混合、</w:t>
            </w:r>
            <w:r>
              <w:rPr>
                <w:color w:val="000000"/>
                <w:sz w:val="24"/>
              </w:rPr>
              <w:lastRenderedPageBreak/>
              <w:t>交银稳固收益债券的基金经理</w:t>
            </w:r>
          </w:p>
        </w:tc>
        <w:tc>
          <w:tcPr>
            <w:tcW w:w="1202" w:type="dxa"/>
            <w:vAlign w:val="center"/>
          </w:tcPr>
          <w:p w:rsidR="00B4697D" w:rsidRDefault="00CD2B8C">
            <w:pPr>
              <w:jc w:val="center"/>
            </w:pPr>
            <w:r>
              <w:rPr>
                <w:color w:val="000000"/>
                <w:sz w:val="24"/>
              </w:rPr>
              <w:lastRenderedPageBreak/>
              <w:t>2015-11-07</w:t>
            </w:r>
          </w:p>
        </w:tc>
        <w:tc>
          <w:tcPr>
            <w:tcW w:w="1300" w:type="dxa"/>
            <w:vAlign w:val="center"/>
          </w:tcPr>
          <w:p w:rsidR="00B4697D" w:rsidRDefault="00CD2B8C">
            <w:pPr>
              <w:jc w:val="center"/>
            </w:pPr>
            <w:r>
              <w:rPr>
                <w:color w:val="000000"/>
                <w:sz w:val="24"/>
              </w:rPr>
              <w:t>-</w:t>
            </w:r>
          </w:p>
        </w:tc>
        <w:tc>
          <w:tcPr>
            <w:tcW w:w="1245" w:type="dxa"/>
            <w:vAlign w:val="center"/>
          </w:tcPr>
          <w:p w:rsidR="00B4697D" w:rsidRDefault="00CD2B8C">
            <w:pPr>
              <w:jc w:val="center"/>
            </w:pPr>
            <w:r>
              <w:rPr>
                <w:color w:val="000000"/>
                <w:sz w:val="24"/>
              </w:rPr>
              <w:t>10</w:t>
            </w:r>
            <w:r>
              <w:rPr>
                <w:color w:val="000000"/>
                <w:sz w:val="24"/>
              </w:rPr>
              <w:t>年</w:t>
            </w:r>
          </w:p>
        </w:tc>
        <w:tc>
          <w:tcPr>
            <w:tcW w:w="3251" w:type="dxa"/>
            <w:vAlign w:val="center"/>
          </w:tcPr>
          <w:p w:rsidR="00B4697D" w:rsidRDefault="00CD2B8C">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r>
              <w:rPr>
                <w:color w:val="000000"/>
                <w:sz w:val="24"/>
              </w:rPr>
              <w:t>2018</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13</w:t>
            </w:r>
            <w:r>
              <w:rPr>
                <w:color w:val="000000"/>
                <w:sz w:val="24"/>
              </w:rPr>
              <w:t>日担任交银施罗德安心收益债券型证券投资基金的基金经理。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B4697D" w:rsidRDefault="00CD2B8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B4697D" w:rsidRDefault="00CD2B8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B4697D" w:rsidRDefault="00CD2B8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lastRenderedPageBreak/>
        <w:t>4.4</w:t>
      </w:r>
      <w:r w:rsidRPr="007F52FA">
        <w:rPr>
          <w:rFonts w:hAnsi="宋体"/>
          <w:b/>
          <w:bCs/>
          <w:color w:val="000000"/>
          <w:sz w:val="24"/>
        </w:rPr>
        <w:t>报告期内基金的投资策略和运作分析</w:t>
      </w:r>
    </w:p>
    <w:p w:rsidR="00B4697D" w:rsidRDefault="00CD2B8C">
      <w:pPr>
        <w:spacing w:before="29" w:line="288" w:lineRule="auto"/>
        <w:ind w:firstLineChars="200" w:firstLine="480"/>
        <w:rPr>
          <w:color w:val="000000"/>
          <w:sz w:val="24"/>
        </w:rPr>
      </w:pPr>
      <w:r>
        <w:rPr>
          <w:color w:val="000000"/>
          <w:sz w:val="24"/>
        </w:rPr>
        <w:t>2020</w:t>
      </w:r>
      <w:r>
        <w:rPr>
          <w:color w:val="000000"/>
          <w:sz w:val="24"/>
        </w:rPr>
        <w:t>年四季度债券市场总体呈现出收益率先上后下的震荡行情。进入十月后，央行重提总闸门引发货币政策进一步收紧的预期，收益率小幅震荡上行。十一月上旬，部分信用债超预期违约事件爆发，引起市场对于弱资质国企信用风险的一致担忧，信用债和利率债均经历了一波大幅下跌。当月下旬开始到年底，随着金稳委出面强调坚决打击逃废债行为，央行配合超预期投放流动性，加上经济工作会议表态不会出现政策</w:t>
      </w:r>
      <w:r>
        <w:rPr>
          <w:color w:val="000000"/>
          <w:sz w:val="24"/>
        </w:rPr>
        <w:t>“</w:t>
      </w:r>
      <w:r>
        <w:rPr>
          <w:color w:val="000000"/>
          <w:sz w:val="24"/>
        </w:rPr>
        <w:t>急转弯</w:t>
      </w:r>
      <w:r>
        <w:rPr>
          <w:color w:val="000000"/>
          <w:sz w:val="24"/>
        </w:rPr>
        <w:t>”</w:t>
      </w:r>
      <w:r>
        <w:rPr>
          <w:color w:val="000000"/>
          <w:sz w:val="24"/>
        </w:rPr>
        <w:t>，债券市场在配置和交易力量的共同带动下，收益率转而下行，市场情绪明显缓和。权益类资产方面，市场在报告期内大部分时间处于窄幅震荡行情，新能源车、光伏等部分行业有结构性行情。</w:t>
      </w:r>
    </w:p>
    <w:p w:rsidR="00B4697D" w:rsidRDefault="00CD2B8C">
      <w:pPr>
        <w:spacing w:before="29" w:line="288" w:lineRule="auto"/>
        <w:ind w:firstLineChars="200" w:firstLine="480"/>
        <w:rPr>
          <w:color w:val="000000"/>
          <w:sz w:val="24"/>
        </w:rPr>
      </w:pPr>
      <w:r>
        <w:rPr>
          <w:color w:val="000000"/>
          <w:sz w:val="24"/>
        </w:rPr>
        <w:t>报告期内，组合的债券资产维持短久期低仓位配置。权益资产则维持在中性仓位附近，行业配置上以消费、新能源板块等行业为主。</w:t>
      </w:r>
    </w:p>
    <w:p w:rsidR="00B4697D" w:rsidRDefault="00CD2B8C">
      <w:pPr>
        <w:spacing w:before="29" w:line="288" w:lineRule="auto"/>
        <w:ind w:firstLineChars="200" w:firstLine="480"/>
        <w:rPr>
          <w:color w:val="000000"/>
          <w:sz w:val="24"/>
        </w:rPr>
      </w:pPr>
      <w:r>
        <w:rPr>
          <w:color w:val="000000"/>
          <w:sz w:val="24"/>
        </w:rPr>
        <w:t>展望</w:t>
      </w:r>
      <w:r>
        <w:rPr>
          <w:color w:val="000000"/>
          <w:sz w:val="24"/>
        </w:rPr>
        <w:t>2021</w:t>
      </w:r>
      <w:r>
        <w:rPr>
          <w:color w:val="000000"/>
          <w:sz w:val="24"/>
        </w:rPr>
        <w:t>年一季度，经济增长动能将从疫情后以基建、地产等逆周期因素拉动，继续逐步切换到以消费、制造业为支柱的顺周期方向，同时出口受到疫苗接种和海外复苏影响，韧性相对较强，预计</w:t>
      </w:r>
      <w:r>
        <w:rPr>
          <w:color w:val="000000"/>
          <w:sz w:val="24"/>
        </w:rPr>
        <w:t>2021</w:t>
      </w:r>
      <w:r>
        <w:rPr>
          <w:color w:val="000000"/>
          <w:sz w:val="24"/>
        </w:rPr>
        <w:t>年的经济运行将回归正常轨道。节奏上，环比增长预计先稳后弱，下半年增长压力或将大于上半年。宏观政策方面，在稳定宏观杠杆率和政策不急转弯的大环境下，</w:t>
      </w:r>
      <w:r>
        <w:rPr>
          <w:color w:val="000000"/>
          <w:sz w:val="24"/>
        </w:rPr>
        <w:t>2021</w:t>
      </w:r>
      <w:r>
        <w:rPr>
          <w:color w:val="000000"/>
          <w:sz w:val="24"/>
        </w:rPr>
        <w:t>年或呈现信用环境边际收紧、货币条件先紧后松、通胀趋势先上后稳的格局。对于债券市场，我们认为明年整体机会大于风险。节奏上，预计在二季度前后，经济环比增长动力将边际趋弱，届时债券市场的趋势性配置价值或将显现。同时，</w:t>
      </w:r>
      <w:r>
        <w:rPr>
          <w:color w:val="000000"/>
          <w:sz w:val="24"/>
        </w:rPr>
        <w:t>2021</w:t>
      </w:r>
      <w:r>
        <w:rPr>
          <w:color w:val="000000"/>
          <w:sz w:val="24"/>
        </w:rPr>
        <w:t>年信用环境边际收缩、叠加信用债到期压力较大，预计低等级信用债券的信用利差存在持续走扩压力。</w:t>
      </w:r>
    </w:p>
    <w:p w:rsidR="00952A72" w:rsidRPr="007F52FA" w:rsidRDefault="00323F25" w:rsidP="007C14DF">
      <w:pPr>
        <w:spacing w:before="29" w:line="288" w:lineRule="auto"/>
        <w:ind w:firstLineChars="200" w:firstLine="480"/>
        <w:rPr>
          <w:color w:val="000000"/>
          <w:sz w:val="24"/>
        </w:rPr>
      </w:pPr>
      <w:r w:rsidRPr="007F52FA">
        <w:rPr>
          <w:color w:val="000000"/>
          <w:sz w:val="24"/>
        </w:rPr>
        <w:t>组合策略方面，我们将保持债券资产相对偏低的杠杆和久期，适当关注长端利率的波段交易机会。权益资产方面，我们将寻找未来一段时间景气度较高的行业及行业地位明确、增长确定性较高的公司，在控制组合回撤的前提下，积极把握权益类资产可能带来的增厚组合收益的机会。</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lastRenderedPageBreak/>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9,734,291.90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13.38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9,734,291.90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13.38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57,189,259.40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78.62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57,189,259.40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78.62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2,419,893.83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3.33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3,394,352.82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4.67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72,737,797.95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9,734,291.90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15.29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9,734,291.90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15.29</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B4697D">
        <w:trPr>
          <w:jc w:val="center"/>
        </w:trPr>
        <w:tc>
          <w:tcPr>
            <w:tcW w:w="850" w:type="dxa"/>
            <w:vAlign w:val="center"/>
          </w:tcPr>
          <w:p w:rsidR="00B4697D" w:rsidRDefault="00CD2B8C">
            <w:pPr>
              <w:jc w:val="center"/>
            </w:pPr>
            <w:r>
              <w:rPr>
                <w:color w:val="000000"/>
                <w:sz w:val="24"/>
              </w:rPr>
              <w:t>1</w:t>
            </w:r>
          </w:p>
        </w:tc>
        <w:tc>
          <w:tcPr>
            <w:tcW w:w="1327" w:type="dxa"/>
            <w:vAlign w:val="center"/>
          </w:tcPr>
          <w:p w:rsidR="00B4697D" w:rsidRDefault="00CD2B8C">
            <w:pPr>
              <w:jc w:val="center"/>
            </w:pPr>
            <w:r>
              <w:rPr>
                <w:color w:val="000000"/>
                <w:sz w:val="24"/>
              </w:rPr>
              <w:t>002594</w:t>
            </w:r>
          </w:p>
        </w:tc>
        <w:tc>
          <w:tcPr>
            <w:tcW w:w="1769" w:type="dxa"/>
            <w:vAlign w:val="center"/>
          </w:tcPr>
          <w:p w:rsidR="00B4697D" w:rsidRDefault="00CD2B8C">
            <w:pPr>
              <w:jc w:val="center"/>
            </w:pPr>
            <w:r>
              <w:rPr>
                <w:color w:val="000000"/>
                <w:sz w:val="24"/>
              </w:rPr>
              <w:t>比亚迪</w:t>
            </w:r>
          </w:p>
        </w:tc>
        <w:tc>
          <w:tcPr>
            <w:tcW w:w="1327" w:type="dxa"/>
            <w:vAlign w:val="center"/>
          </w:tcPr>
          <w:p w:rsidR="00B4697D" w:rsidRDefault="00CD2B8C">
            <w:pPr>
              <w:jc w:val="right"/>
            </w:pPr>
            <w:r>
              <w:rPr>
                <w:color w:val="000000"/>
                <w:sz w:val="24"/>
              </w:rPr>
              <w:t>6,800</w:t>
            </w:r>
          </w:p>
        </w:tc>
        <w:tc>
          <w:tcPr>
            <w:tcW w:w="1915" w:type="dxa"/>
            <w:vAlign w:val="center"/>
          </w:tcPr>
          <w:p w:rsidR="00B4697D" w:rsidRDefault="00CD2B8C">
            <w:pPr>
              <w:jc w:val="right"/>
            </w:pPr>
            <w:r>
              <w:rPr>
                <w:color w:val="000000"/>
                <w:sz w:val="24"/>
              </w:rPr>
              <w:t>1,321,240.00</w:t>
            </w:r>
          </w:p>
        </w:tc>
        <w:tc>
          <w:tcPr>
            <w:tcW w:w="1680" w:type="dxa"/>
            <w:vAlign w:val="center"/>
          </w:tcPr>
          <w:p w:rsidR="00B4697D" w:rsidRDefault="00CD2B8C">
            <w:pPr>
              <w:jc w:val="right"/>
            </w:pPr>
            <w:r>
              <w:rPr>
                <w:color w:val="000000"/>
                <w:sz w:val="24"/>
              </w:rPr>
              <w:t>2.07</w:t>
            </w:r>
          </w:p>
        </w:tc>
      </w:tr>
      <w:tr w:rsidR="00B4697D">
        <w:trPr>
          <w:jc w:val="center"/>
        </w:trPr>
        <w:tc>
          <w:tcPr>
            <w:tcW w:w="850" w:type="dxa"/>
            <w:vAlign w:val="center"/>
          </w:tcPr>
          <w:p w:rsidR="00B4697D" w:rsidRDefault="00CD2B8C">
            <w:pPr>
              <w:jc w:val="center"/>
            </w:pPr>
            <w:r>
              <w:rPr>
                <w:color w:val="000000"/>
                <w:sz w:val="24"/>
              </w:rPr>
              <w:t>2</w:t>
            </w:r>
          </w:p>
        </w:tc>
        <w:tc>
          <w:tcPr>
            <w:tcW w:w="1327" w:type="dxa"/>
            <w:vAlign w:val="center"/>
          </w:tcPr>
          <w:p w:rsidR="00B4697D" w:rsidRDefault="00CD2B8C">
            <w:pPr>
              <w:jc w:val="center"/>
            </w:pPr>
            <w:r>
              <w:rPr>
                <w:color w:val="000000"/>
                <w:sz w:val="24"/>
              </w:rPr>
              <w:t>600519</w:t>
            </w:r>
          </w:p>
        </w:tc>
        <w:tc>
          <w:tcPr>
            <w:tcW w:w="1769" w:type="dxa"/>
            <w:vAlign w:val="center"/>
          </w:tcPr>
          <w:p w:rsidR="00B4697D" w:rsidRDefault="00CD2B8C">
            <w:pPr>
              <w:jc w:val="center"/>
            </w:pPr>
            <w:r>
              <w:rPr>
                <w:color w:val="000000"/>
                <w:sz w:val="24"/>
              </w:rPr>
              <w:t>贵州茅台</w:t>
            </w:r>
          </w:p>
        </w:tc>
        <w:tc>
          <w:tcPr>
            <w:tcW w:w="1327" w:type="dxa"/>
            <w:vAlign w:val="center"/>
          </w:tcPr>
          <w:p w:rsidR="00B4697D" w:rsidRDefault="00CD2B8C">
            <w:pPr>
              <w:jc w:val="right"/>
            </w:pPr>
            <w:r>
              <w:rPr>
                <w:color w:val="000000"/>
                <w:sz w:val="24"/>
              </w:rPr>
              <w:t>600</w:t>
            </w:r>
          </w:p>
        </w:tc>
        <w:tc>
          <w:tcPr>
            <w:tcW w:w="1915" w:type="dxa"/>
            <w:vAlign w:val="center"/>
          </w:tcPr>
          <w:p w:rsidR="00B4697D" w:rsidRDefault="00CD2B8C">
            <w:pPr>
              <w:jc w:val="right"/>
            </w:pPr>
            <w:r>
              <w:rPr>
                <w:color w:val="000000"/>
                <w:sz w:val="24"/>
              </w:rPr>
              <w:t>1,198,800.00</w:t>
            </w:r>
          </w:p>
        </w:tc>
        <w:tc>
          <w:tcPr>
            <w:tcW w:w="1680" w:type="dxa"/>
            <w:vAlign w:val="center"/>
          </w:tcPr>
          <w:p w:rsidR="00B4697D" w:rsidRDefault="00CD2B8C">
            <w:pPr>
              <w:jc w:val="right"/>
            </w:pPr>
            <w:r>
              <w:rPr>
                <w:color w:val="000000"/>
                <w:sz w:val="24"/>
              </w:rPr>
              <w:t>1.88</w:t>
            </w:r>
          </w:p>
        </w:tc>
      </w:tr>
      <w:tr w:rsidR="00B4697D">
        <w:trPr>
          <w:jc w:val="center"/>
        </w:trPr>
        <w:tc>
          <w:tcPr>
            <w:tcW w:w="850" w:type="dxa"/>
            <w:vAlign w:val="center"/>
          </w:tcPr>
          <w:p w:rsidR="00B4697D" w:rsidRDefault="00CD2B8C">
            <w:pPr>
              <w:jc w:val="center"/>
            </w:pPr>
            <w:r>
              <w:rPr>
                <w:color w:val="000000"/>
                <w:sz w:val="24"/>
              </w:rPr>
              <w:t>3</w:t>
            </w:r>
          </w:p>
        </w:tc>
        <w:tc>
          <w:tcPr>
            <w:tcW w:w="1327" w:type="dxa"/>
            <w:vAlign w:val="center"/>
          </w:tcPr>
          <w:p w:rsidR="00B4697D" w:rsidRDefault="00CD2B8C">
            <w:pPr>
              <w:jc w:val="center"/>
            </w:pPr>
            <w:r>
              <w:rPr>
                <w:color w:val="000000"/>
                <w:sz w:val="24"/>
              </w:rPr>
              <w:t>688002</w:t>
            </w:r>
          </w:p>
        </w:tc>
        <w:tc>
          <w:tcPr>
            <w:tcW w:w="1769" w:type="dxa"/>
            <w:vAlign w:val="center"/>
          </w:tcPr>
          <w:p w:rsidR="00B4697D" w:rsidRDefault="00CD2B8C">
            <w:pPr>
              <w:jc w:val="center"/>
            </w:pPr>
            <w:r>
              <w:rPr>
                <w:color w:val="000000"/>
                <w:sz w:val="24"/>
              </w:rPr>
              <w:t>睿创微纳</w:t>
            </w:r>
          </w:p>
        </w:tc>
        <w:tc>
          <w:tcPr>
            <w:tcW w:w="1327" w:type="dxa"/>
            <w:vAlign w:val="center"/>
          </w:tcPr>
          <w:p w:rsidR="00B4697D" w:rsidRDefault="00CD2B8C">
            <w:pPr>
              <w:jc w:val="right"/>
            </w:pPr>
            <w:r>
              <w:rPr>
                <w:color w:val="000000"/>
                <w:sz w:val="24"/>
              </w:rPr>
              <w:t>9,405</w:t>
            </w:r>
          </w:p>
        </w:tc>
        <w:tc>
          <w:tcPr>
            <w:tcW w:w="1915" w:type="dxa"/>
            <w:vAlign w:val="center"/>
          </w:tcPr>
          <w:p w:rsidR="00B4697D" w:rsidRDefault="00CD2B8C">
            <w:pPr>
              <w:jc w:val="right"/>
            </w:pPr>
            <w:r>
              <w:rPr>
                <w:color w:val="000000"/>
                <w:sz w:val="24"/>
              </w:rPr>
              <w:t>1,043,955.00</w:t>
            </w:r>
          </w:p>
        </w:tc>
        <w:tc>
          <w:tcPr>
            <w:tcW w:w="1680" w:type="dxa"/>
            <w:vAlign w:val="center"/>
          </w:tcPr>
          <w:p w:rsidR="00B4697D" w:rsidRDefault="00CD2B8C">
            <w:pPr>
              <w:jc w:val="right"/>
            </w:pPr>
            <w:r>
              <w:rPr>
                <w:color w:val="000000"/>
                <w:sz w:val="24"/>
              </w:rPr>
              <w:t>1.64</w:t>
            </w:r>
          </w:p>
        </w:tc>
      </w:tr>
      <w:tr w:rsidR="00B4697D">
        <w:trPr>
          <w:jc w:val="center"/>
        </w:trPr>
        <w:tc>
          <w:tcPr>
            <w:tcW w:w="850" w:type="dxa"/>
            <w:vAlign w:val="center"/>
          </w:tcPr>
          <w:p w:rsidR="00B4697D" w:rsidRDefault="00CD2B8C">
            <w:pPr>
              <w:jc w:val="center"/>
            </w:pPr>
            <w:r>
              <w:rPr>
                <w:color w:val="000000"/>
                <w:sz w:val="24"/>
              </w:rPr>
              <w:t>4</w:t>
            </w:r>
          </w:p>
        </w:tc>
        <w:tc>
          <w:tcPr>
            <w:tcW w:w="1327" w:type="dxa"/>
            <w:vAlign w:val="center"/>
          </w:tcPr>
          <w:p w:rsidR="00B4697D" w:rsidRDefault="00CD2B8C">
            <w:pPr>
              <w:jc w:val="center"/>
            </w:pPr>
            <w:r>
              <w:rPr>
                <w:color w:val="000000"/>
                <w:sz w:val="24"/>
              </w:rPr>
              <w:t>002304</w:t>
            </w:r>
          </w:p>
        </w:tc>
        <w:tc>
          <w:tcPr>
            <w:tcW w:w="1769" w:type="dxa"/>
            <w:vAlign w:val="center"/>
          </w:tcPr>
          <w:p w:rsidR="00B4697D" w:rsidRDefault="00CD2B8C">
            <w:pPr>
              <w:jc w:val="center"/>
            </w:pPr>
            <w:r>
              <w:rPr>
                <w:color w:val="000000"/>
                <w:sz w:val="24"/>
              </w:rPr>
              <w:t>洋河股份</w:t>
            </w:r>
          </w:p>
        </w:tc>
        <w:tc>
          <w:tcPr>
            <w:tcW w:w="1327" w:type="dxa"/>
            <w:vAlign w:val="center"/>
          </w:tcPr>
          <w:p w:rsidR="00B4697D" w:rsidRDefault="00CD2B8C">
            <w:pPr>
              <w:jc w:val="right"/>
            </w:pPr>
            <w:r>
              <w:rPr>
                <w:color w:val="000000"/>
                <w:sz w:val="24"/>
              </w:rPr>
              <w:t>4,100</w:t>
            </w:r>
          </w:p>
        </w:tc>
        <w:tc>
          <w:tcPr>
            <w:tcW w:w="1915" w:type="dxa"/>
            <w:vAlign w:val="center"/>
          </w:tcPr>
          <w:p w:rsidR="00B4697D" w:rsidRDefault="00CD2B8C">
            <w:pPr>
              <w:jc w:val="right"/>
            </w:pPr>
            <w:r>
              <w:rPr>
                <w:color w:val="000000"/>
                <w:sz w:val="24"/>
              </w:rPr>
              <w:t>967,559.00</w:t>
            </w:r>
          </w:p>
        </w:tc>
        <w:tc>
          <w:tcPr>
            <w:tcW w:w="1680" w:type="dxa"/>
            <w:vAlign w:val="center"/>
          </w:tcPr>
          <w:p w:rsidR="00B4697D" w:rsidRDefault="00CD2B8C">
            <w:pPr>
              <w:jc w:val="right"/>
            </w:pPr>
            <w:r>
              <w:rPr>
                <w:color w:val="000000"/>
                <w:sz w:val="24"/>
              </w:rPr>
              <w:t>1.52</w:t>
            </w:r>
          </w:p>
        </w:tc>
      </w:tr>
      <w:tr w:rsidR="00B4697D">
        <w:trPr>
          <w:jc w:val="center"/>
        </w:trPr>
        <w:tc>
          <w:tcPr>
            <w:tcW w:w="850" w:type="dxa"/>
            <w:vAlign w:val="center"/>
          </w:tcPr>
          <w:p w:rsidR="00B4697D" w:rsidRDefault="00CD2B8C">
            <w:pPr>
              <w:jc w:val="center"/>
            </w:pPr>
            <w:r>
              <w:rPr>
                <w:color w:val="000000"/>
                <w:sz w:val="24"/>
              </w:rPr>
              <w:t>5</w:t>
            </w:r>
          </w:p>
        </w:tc>
        <w:tc>
          <w:tcPr>
            <w:tcW w:w="1327" w:type="dxa"/>
            <w:vAlign w:val="center"/>
          </w:tcPr>
          <w:p w:rsidR="00B4697D" w:rsidRDefault="00CD2B8C">
            <w:pPr>
              <w:jc w:val="center"/>
            </w:pPr>
            <w:r>
              <w:rPr>
                <w:color w:val="000000"/>
                <w:sz w:val="24"/>
              </w:rPr>
              <w:t>300124</w:t>
            </w:r>
          </w:p>
        </w:tc>
        <w:tc>
          <w:tcPr>
            <w:tcW w:w="1769" w:type="dxa"/>
            <w:vAlign w:val="center"/>
          </w:tcPr>
          <w:p w:rsidR="00B4697D" w:rsidRDefault="00CD2B8C">
            <w:pPr>
              <w:jc w:val="center"/>
            </w:pPr>
            <w:r>
              <w:rPr>
                <w:color w:val="000000"/>
                <w:sz w:val="24"/>
              </w:rPr>
              <w:t>汇川技术</w:t>
            </w:r>
          </w:p>
        </w:tc>
        <w:tc>
          <w:tcPr>
            <w:tcW w:w="1327" w:type="dxa"/>
            <w:vAlign w:val="center"/>
          </w:tcPr>
          <w:p w:rsidR="00B4697D" w:rsidRDefault="00CD2B8C">
            <w:pPr>
              <w:jc w:val="right"/>
            </w:pPr>
            <w:r>
              <w:rPr>
                <w:color w:val="000000"/>
                <w:sz w:val="24"/>
              </w:rPr>
              <w:t>10,073</w:t>
            </w:r>
          </w:p>
        </w:tc>
        <w:tc>
          <w:tcPr>
            <w:tcW w:w="1915" w:type="dxa"/>
            <w:vAlign w:val="center"/>
          </w:tcPr>
          <w:p w:rsidR="00B4697D" w:rsidRDefault="00CD2B8C">
            <w:pPr>
              <w:jc w:val="right"/>
            </w:pPr>
            <w:r>
              <w:rPr>
                <w:color w:val="000000"/>
                <w:sz w:val="24"/>
              </w:rPr>
              <w:t>939,810.90</w:t>
            </w:r>
          </w:p>
        </w:tc>
        <w:tc>
          <w:tcPr>
            <w:tcW w:w="1680" w:type="dxa"/>
            <w:vAlign w:val="center"/>
          </w:tcPr>
          <w:p w:rsidR="00B4697D" w:rsidRDefault="00CD2B8C">
            <w:pPr>
              <w:jc w:val="right"/>
            </w:pPr>
            <w:r>
              <w:rPr>
                <w:color w:val="000000"/>
                <w:sz w:val="24"/>
              </w:rPr>
              <w:t>1.48</w:t>
            </w:r>
          </w:p>
        </w:tc>
      </w:tr>
      <w:tr w:rsidR="00B4697D">
        <w:trPr>
          <w:jc w:val="center"/>
        </w:trPr>
        <w:tc>
          <w:tcPr>
            <w:tcW w:w="850" w:type="dxa"/>
            <w:vAlign w:val="center"/>
          </w:tcPr>
          <w:p w:rsidR="00B4697D" w:rsidRDefault="00CD2B8C">
            <w:pPr>
              <w:jc w:val="center"/>
            </w:pPr>
            <w:r>
              <w:rPr>
                <w:color w:val="000000"/>
                <w:sz w:val="24"/>
              </w:rPr>
              <w:t>6</w:t>
            </w:r>
          </w:p>
        </w:tc>
        <w:tc>
          <w:tcPr>
            <w:tcW w:w="1327" w:type="dxa"/>
            <w:vAlign w:val="center"/>
          </w:tcPr>
          <w:p w:rsidR="00B4697D" w:rsidRDefault="00CD2B8C">
            <w:pPr>
              <w:jc w:val="center"/>
            </w:pPr>
            <w:r>
              <w:rPr>
                <w:color w:val="000000"/>
                <w:sz w:val="24"/>
              </w:rPr>
              <w:t>300122</w:t>
            </w:r>
          </w:p>
        </w:tc>
        <w:tc>
          <w:tcPr>
            <w:tcW w:w="1769" w:type="dxa"/>
            <w:vAlign w:val="center"/>
          </w:tcPr>
          <w:p w:rsidR="00B4697D" w:rsidRDefault="00CD2B8C">
            <w:pPr>
              <w:jc w:val="center"/>
            </w:pPr>
            <w:r>
              <w:rPr>
                <w:color w:val="000000"/>
                <w:sz w:val="24"/>
              </w:rPr>
              <w:t>智飞生物</w:t>
            </w:r>
          </w:p>
        </w:tc>
        <w:tc>
          <w:tcPr>
            <w:tcW w:w="1327" w:type="dxa"/>
            <w:vAlign w:val="center"/>
          </w:tcPr>
          <w:p w:rsidR="00B4697D" w:rsidRDefault="00CD2B8C">
            <w:pPr>
              <w:jc w:val="right"/>
            </w:pPr>
            <w:r>
              <w:rPr>
                <w:color w:val="000000"/>
                <w:sz w:val="24"/>
              </w:rPr>
              <w:t>6,200</w:t>
            </w:r>
          </w:p>
        </w:tc>
        <w:tc>
          <w:tcPr>
            <w:tcW w:w="1915" w:type="dxa"/>
            <w:vAlign w:val="center"/>
          </w:tcPr>
          <w:p w:rsidR="00B4697D" w:rsidRDefault="00CD2B8C">
            <w:pPr>
              <w:jc w:val="right"/>
            </w:pPr>
            <w:r>
              <w:rPr>
                <w:color w:val="000000"/>
                <w:sz w:val="24"/>
              </w:rPr>
              <w:t>917,042.00</w:t>
            </w:r>
          </w:p>
        </w:tc>
        <w:tc>
          <w:tcPr>
            <w:tcW w:w="1680" w:type="dxa"/>
            <w:vAlign w:val="center"/>
          </w:tcPr>
          <w:p w:rsidR="00B4697D" w:rsidRDefault="00CD2B8C">
            <w:pPr>
              <w:jc w:val="right"/>
            </w:pPr>
            <w:r>
              <w:rPr>
                <w:color w:val="000000"/>
                <w:sz w:val="24"/>
              </w:rPr>
              <w:t>1.44</w:t>
            </w:r>
          </w:p>
        </w:tc>
      </w:tr>
      <w:tr w:rsidR="00B4697D">
        <w:trPr>
          <w:jc w:val="center"/>
        </w:trPr>
        <w:tc>
          <w:tcPr>
            <w:tcW w:w="850" w:type="dxa"/>
            <w:vAlign w:val="center"/>
          </w:tcPr>
          <w:p w:rsidR="00B4697D" w:rsidRDefault="00CD2B8C">
            <w:pPr>
              <w:jc w:val="center"/>
            </w:pPr>
            <w:r>
              <w:rPr>
                <w:color w:val="000000"/>
                <w:sz w:val="24"/>
              </w:rPr>
              <w:t>7</w:t>
            </w:r>
          </w:p>
        </w:tc>
        <w:tc>
          <w:tcPr>
            <w:tcW w:w="1327" w:type="dxa"/>
            <w:vAlign w:val="center"/>
          </w:tcPr>
          <w:p w:rsidR="00B4697D" w:rsidRDefault="00CD2B8C">
            <w:pPr>
              <w:jc w:val="center"/>
            </w:pPr>
            <w:r>
              <w:rPr>
                <w:color w:val="000000"/>
                <w:sz w:val="24"/>
              </w:rPr>
              <w:t>600563</w:t>
            </w:r>
          </w:p>
        </w:tc>
        <w:tc>
          <w:tcPr>
            <w:tcW w:w="1769" w:type="dxa"/>
            <w:vAlign w:val="center"/>
          </w:tcPr>
          <w:p w:rsidR="00B4697D" w:rsidRDefault="00CD2B8C">
            <w:pPr>
              <w:jc w:val="center"/>
            </w:pPr>
            <w:r>
              <w:rPr>
                <w:color w:val="000000"/>
                <w:sz w:val="24"/>
              </w:rPr>
              <w:t>法拉电子</w:t>
            </w:r>
          </w:p>
        </w:tc>
        <w:tc>
          <w:tcPr>
            <w:tcW w:w="1327" w:type="dxa"/>
            <w:vAlign w:val="center"/>
          </w:tcPr>
          <w:p w:rsidR="00B4697D" w:rsidRDefault="00CD2B8C">
            <w:pPr>
              <w:jc w:val="right"/>
            </w:pPr>
            <w:r>
              <w:rPr>
                <w:color w:val="000000"/>
                <w:sz w:val="24"/>
              </w:rPr>
              <w:t>8,500</w:t>
            </w:r>
          </w:p>
        </w:tc>
        <w:tc>
          <w:tcPr>
            <w:tcW w:w="1915" w:type="dxa"/>
            <w:vAlign w:val="center"/>
          </w:tcPr>
          <w:p w:rsidR="00B4697D" w:rsidRDefault="00CD2B8C">
            <w:pPr>
              <w:jc w:val="right"/>
            </w:pPr>
            <w:r>
              <w:rPr>
                <w:color w:val="000000"/>
                <w:sz w:val="24"/>
              </w:rPr>
              <w:t>914,175.00</w:t>
            </w:r>
          </w:p>
        </w:tc>
        <w:tc>
          <w:tcPr>
            <w:tcW w:w="1680" w:type="dxa"/>
            <w:vAlign w:val="center"/>
          </w:tcPr>
          <w:p w:rsidR="00B4697D" w:rsidRDefault="00CD2B8C">
            <w:pPr>
              <w:jc w:val="right"/>
            </w:pPr>
            <w:r>
              <w:rPr>
                <w:color w:val="000000"/>
                <w:sz w:val="24"/>
              </w:rPr>
              <w:t>1.44</w:t>
            </w:r>
          </w:p>
        </w:tc>
      </w:tr>
      <w:tr w:rsidR="00B4697D">
        <w:trPr>
          <w:jc w:val="center"/>
        </w:trPr>
        <w:tc>
          <w:tcPr>
            <w:tcW w:w="850" w:type="dxa"/>
            <w:vAlign w:val="center"/>
          </w:tcPr>
          <w:p w:rsidR="00B4697D" w:rsidRDefault="00CD2B8C">
            <w:pPr>
              <w:jc w:val="center"/>
            </w:pPr>
            <w:r>
              <w:rPr>
                <w:color w:val="000000"/>
                <w:sz w:val="24"/>
              </w:rPr>
              <w:t>8</w:t>
            </w:r>
          </w:p>
        </w:tc>
        <w:tc>
          <w:tcPr>
            <w:tcW w:w="1327" w:type="dxa"/>
            <w:vAlign w:val="center"/>
          </w:tcPr>
          <w:p w:rsidR="00B4697D" w:rsidRDefault="00CD2B8C">
            <w:pPr>
              <w:jc w:val="center"/>
            </w:pPr>
            <w:r>
              <w:rPr>
                <w:color w:val="000000"/>
                <w:sz w:val="24"/>
              </w:rPr>
              <w:t>002179</w:t>
            </w:r>
          </w:p>
        </w:tc>
        <w:tc>
          <w:tcPr>
            <w:tcW w:w="1769" w:type="dxa"/>
            <w:vAlign w:val="center"/>
          </w:tcPr>
          <w:p w:rsidR="00B4697D" w:rsidRDefault="00CD2B8C">
            <w:pPr>
              <w:jc w:val="center"/>
            </w:pPr>
            <w:r>
              <w:rPr>
                <w:color w:val="000000"/>
                <w:sz w:val="24"/>
              </w:rPr>
              <w:t>中航光电</w:t>
            </w:r>
          </w:p>
        </w:tc>
        <w:tc>
          <w:tcPr>
            <w:tcW w:w="1327" w:type="dxa"/>
            <w:vAlign w:val="center"/>
          </w:tcPr>
          <w:p w:rsidR="00B4697D" w:rsidRDefault="00CD2B8C">
            <w:pPr>
              <w:jc w:val="right"/>
            </w:pPr>
            <w:r>
              <w:rPr>
                <w:color w:val="000000"/>
                <w:sz w:val="24"/>
              </w:rPr>
              <w:t>7,400</w:t>
            </w:r>
          </w:p>
        </w:tc>
        <w:tc>
          <w:tcPr>
            <w:tcW w:w="1915" w:type="dxa"/>
            <w:vAlign w:val="center"/>
          </w:tcPr>
          <w:p w:rsidR="00B4697D" w:rsidRDefault="00CD2B8C">
            <w:pPr>
              <w:jc w:val="right"/>
            </w:pPr>
            <w:r>
              <w:rPr>
                <w:color w:val="000000"/>
                <w:sz w:val="24"/>
              </w:rPr>
              <w:t>579,346.00</w:t>
            </w:r>
          </w:p>
        </w:tc>
        <w:tc>
          <w:tcPr>
            <w:tcW w:w="1680" w:type="dxa"/>
            <w:vAlign w:val="center"/>
          </w:tcPr>
          <w:p w:rsidR="00B4697D" w:rsidRDefault="00CD2B8C">
            <w:pPr>
              <w:jc w:val="right"/>
            </w:pPr>
            <w:r>
              <w:rPr>
                <w:color w:val="000000"/>
                <w:sz w:val="24"/>
              </w:rPr>
              <w:t>0.91</w:t>
            </w:r>
          </w:p>
        </w:tc>
      </w:tr>
      <w:tr w:rsidR="00B4697D">
        <w:trPr>
          <w:jc w:val="center"/>
        </w:trPr>
        <w:tc>
          <w:tcPr>
            <w:tcW w:w="850" w:type="dxa"/>
            <w:vAlign w:val="center"/>
          </w:tcPr>
          <w:p w:rsidR="00B4697D" w:rsidRDefault="00CD2B8C">
            <w:pPr>
              <w:jc w:val="center"/>
            </w:pPr>
            <w:r>
              <w:rPr>
                <w:color w:val="000000"/>
                <w:sz w:val="24"/>
              </w:rPr>
              <w:t>9</w:t>
            </w:r>
          </w:p>
        </w:tc>
        <w:tc>
          <w:tcPr>
            <w:tcW w:w="1327" w:type="dxa"/>
            <w:vAlign w:val="center"/>
          </w:tcPr>
          <w:p w:rsidR="00B4697D" w:rsidRDefault="00CD2B8C">
            <w:pPr>
              <w:jc w:val="center"/>
            </w:pPr>
            <w:r>
              <w:rPr>
                <w:color w:val="000000"/>
                <w:sz w:val="24"/>
              </w:rPr>
              <w:t>603317</w:t>
            </w:r>
          </w:p>
        </w:tc>
        <w:tc>
          <w:tcPr>
            <w:tcW w:w="1769" w:type="dxa"/>
            <w:vAlign w:val="center"/>
          </w:tcPr>
          <w:p w:rsidR="00B4697D" w:rsidRDefault="00CD2B8C">
            <w:pPr>
              <w:jc w:val="center"/>
            </w:pPr>
            <w:r>
              <w:rPr>
                <w:color w:val="000000"/>
                <w:sz w:val="24"/>
              </w:rPr>
              <w:t>天味食品</w:t>
            </w:r>
          </w:p>
        </w:tc>
        <w:tc>
          <w:tcPr>
            <w:tcW w:w="1327" w:type="dxa"/>
            <w:vAlign w:val="center"/>
          </w:tcPr>
          <w:p w:rsidR="00B4697D" w:rsidRDefault="00CD2B8C">
            <w:pPr>
              <w:jc w:val="right"/>
            </w:pPr>
            <w:r>
              <w:rPr>
                <w:color w:val="000000"/>
                <w:sz w:val="24"/>
              </w:rPr>
              <w:t>6,400</w:t>
            </w:r>
          </w:p>
        </w:tc>
        <w:tc>
          <w:tcPr>
            <w:tcW w:w="1915" w:type="dxa"/>
            <w:vAlign w:val="center"/>
          </w:tcPr>
          <w:p w:rsidR="00B4697D" w:rsidRDefault="00CD2B8C">
            <w:pPr>
              <w:jc w:val="right"/>
            </w:pPr>
            <w:r>
              <w:rPr>
                <w:color w:val="000000"/>
                <w:sz w:val="24"/>
              </w:rPr>
              <w:t>526,336.00</w:t>
            </w:r>
          </w:p>
        </w:tc>
        <w:tc>
          <w:tcPr>
            <w:tcW w:w="1680" w:type="dxa"/>
            <w:vAlign w:val="center"/>
          </w:tcPr>
          <w:p w:rsidR="00B4697D" w:rsidRDefault="00CD2B8C">
            <w:pPr>
              <w:jc w:val="right"/>
            </w:pPr>
            <w:r>
              <w:rPr>
                <w:color w:val="000000"/>
                <w:sz w:val="24"/>
              </w:rPr>
              <w:t>0.83</w:t>
            </w:r>
          </w:p>
        </w:tc>
      </w:tr>
      <w:tr w:rsidR="00B4697D">
        <w:trPr>
          <w:jc w:val="center"/>
        </w:trPr>
        <w:tc>
          <w:tcPr>
            <w:tcW w:w="850" w:type="dxa"/>
            <w:vAlign w:val="center"/>
          </w:tcPr>
          <w:p w:rsidR="00B4697D" w:rsidRDefault="00CD2B8C">
            <w:pPr>
              <w:jc w:val="center"/>
            </w:pPr>
            <w:r>
              <w:rPr>
                <w:color w:val="000000"/>
                <w:sz w:val="24"/>
              </w:rPr>
              <w:t>10</w:t>
            </w:r>
          </w:p>
        </w:tc>
        <w:tc>
          <w:tcPr>
            <w:tcW w:w="1327" w:type="dxa"/>
            <w:vAlign w:val="center"/>
          </w:tcPr>
          <w:p w:rsidR="00B4697D" w:rsidRDefault="00CD2B8C">
            <w:pPr>
              <w:jc w:val="center"/>
            </w:pPr>
            <w:r>
              <w:rPr>
                <w:color w:val="000000"/>
                <w:sz w:val="24"/>
              </w:rPr>
              <w:t>002709</w:t>
            </w:r>
          </w:p>
        </w:tc>
        <w:tc>
          <w:tcPr>
            <w:tcW w:w="1769" w:type="dxa"/>
            <w:vAlign w:val="center"/>
          </w:tcPr>
          <w:p w:rsidR="00B4697D" w:rsidRDefault="00CD2B8C">
            <w:pPr>
              <w:jc w:val="center"/>
            </w:pPr>
            <w:r>
              <w:rPr>
                <w:color w:val="000000"/>
                <w:sz w:val="24"/>
              </w:rPr>
              <w:t>天赐材料</w:t>
            </w:r>
          </w:p>
        </w:tc>
        <w:tc>
          <w:tcPr>
            <w:tcW w:w="1327" w:type="dxa"/>
            <w:vAlign w:val="center"/>
          </w:tcPr>
          <w:p w:rsidR="00B4697D" w:rsidRDefault="00CD2B8C">
            <w:pPr>
              <w:jc w:val="right"/>
            </w:pPr>
            <w:r>
              <w:rPr>
                <w:color w:val="000000"/>
                <w:sz w:val="24"/>
              </w:rPr>
              <w:t>4,800</w:t>
            </w:r>
          </w:p>
        </w:tc>
        <w:tc>
          <w:tcPr>
            <w:tcW w:w="1915" w:type="dxa"/>
            <w:vAlign w:val="center"/>
          </w:tcPr>
          <w:p w:rsidR="00B4697D" w:rsidRDefault="00CD2B8C">
            <w:pPr>
              <w:jc w:val="right"/>
            </w:pPr>
            <w:r>
              <w:rPr>
                <w:color w:val="000000"/>
                <w:sz w:val="24"/>
              </w:rPr>
              <w:t>498,240.00</w:t>
            </w:r>
          </w:p>
        </w:tc>
        <w:tc>
          <w:tcPr>
            <w:tcW w:w="1680" w:type="dxa"/>
            <w:vAlign w:val="center"/>
          </w:tcPr>
          <w:p w:rsidR="00B4697D" w:rsidRDefault="00CD2B8C">
            <w:pPr>
              <w:jc w:val="right"/>
            </w:pPr>
            <w:r>
              <w:rPr>
                <w:color w:val="000000"/>
                <w:sz w:val="24"/>
              </w:rPr>
              <w:t>0.78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39,153,930.90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61.49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9,748,000.00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15.31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8,287,328.50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13.02</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57,189,259.40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89.82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4697D">
        <w:trPr>
          <w:jc w:val="center"/>
        </w:trPr>
        <w:tc>
          <w:tcPr>
            <w:tcW w:w="1075" w:type="dxa"/>
            <w:vAlign w:val="center"/>
          </w:tcPr>
          <w:p w:rsidR="00B4697D" w:rsidRDefault="00CD2B8C">
            <w:pPr>
              <w:jc w:val="center"/>
            </w:pPr>
            <w:r>
              <w:rPr>
                <w:color w:val="000000"/>
                <w:sz w:val="24"/>
              </w:rPr>
              <w:t>1</w:t>
            </w:r>
          </w:p>
        </w:tc>
        <w:tc>
          <w:tcPr>
            <w:tcW w:w="1533" w:type="dxa"/>
            <w:vAlign w:val="center"/>
          </w:tcPr>
          <w:p w:rsidR="00B4697D" w:rsidRDefault="00CD2B8C">
            <w:pPr>
              <w:jc w:val="center"/>
            </w:pPr>
            <w:r>
              <w:rPr>
                <w:color w:val="000000"/>
                <w:sz w:val="24"/>
              </w:rPr>
              <w:t>019640</w:t>
            </w:r>
          </w:p>
        </w:tc>
        <w:tc>
          <w:tcPr>
            <w:tcW w:w="1533" w:type="dxa"/>
            <w:vAlign w:val="center"/>
          </w:tcPr>
          <w:p w:rsidR="00B4697D" w:rsidRDefault="00CD2B8C">
            <w:pPr>
              <w:jc w:val="center"/>
            </w:pPr>
            <w:r>
              <w:rPr>
                <w:color w:val="000000"/>
                <w:sz w:val="24"/>
              </w:rPr>
              <w:t>20</w:t>
            </w:r>
            <w:r>
              <w:rPr>
                <w:color w:val="000000"/>
                <w:sz w:val="24"/>
              </w:rPr>
              <w:t>国债</w:t>
            </w:r>
            <w:r>
              <w:rPr>
                <w:color w:val="000000"/>
                <w:sz w:val="24"/>
              </w:rPr>
              <w:t>10</w:t>
            </w:r>
          </w:p>
        </w:tc>
        <w:tc>
          <w:tcPr>
            <w:tcW w:w="1394" w:type="dxa"/>
            <w:vAlign w:val="center"/>
          </w:tcPr>
          <w:p w:rsidR="00B4697D" w:rsidRDefault="00CD2B8C">
            <w:pPr>
              <w:jc w:val="right"/>
            </w:pPr>
            <w:r>
              <w:rPr>
                <w:color w:val="000000"/>
                <w:sz w:val="24"/>
              </w:rPr>
              <w:t>267,940</w:t>
            </w:r>
          </w:p>
        </w:tc>
        <w:tc>
          <w:tcPr>
            <w:tcW w:w="1944" w:type="dxa"/>
            <w:vAlign w:val="center"/>
          </w:tcPr>
          <w:p w:rsidR="00B4697D" w:rsidRDefault="00CD2B8C">
            <w:pPr>
              <w:jc w:val="right"/>
            </w:pPr>
            <w:r>
              <w:rPr>
                <w:color w:val="000000"/>
                <w:sz w:val="24"/>
              </w:rPr>
              <w:t>26,759,167.80</w:t>
            </w:r>
          </w:p>
        </w:tc>
        <w:tc>
          <w:tcPr>
            <w:tcW w:w="1389" w:type="dxa"/>
            <w:vAlign w:val="center"/>
          </w:tcPr>
          <w:p w:rsidR="00B4697D" w:rsidRDefault="00CD2B8C">
            <w:pPr>
              <w:jc w:val="right"/>
            </w:pPr>
            <w:r>
              <w:rPr>
                <w:color w:val="000000"/>
                <w:sz w:val="24"/>
              </w:rPr>
              <w:t>42.03</w:t>
            </w:r>
          </w:p>
        </w:tc>
      </w:tr>
      <w:tr w:rsidR="00B4697D">
        <w:trPr>
          <w:jc w:val="center"/>
        </w:trPr>
        <w:tc>
          <w:tcPr>
            <w:tcW w:w="1075" w:type="dxa"/>
            <w:vAlign w:val="center"/>
          </w:tcPr>
          <w:p w:rsidR="00B4697D" w:rsidRDefault="00CD2B8C">
            <w:pPr>
              <w:jc w:val="center"/>
            </w:pPr>
            <w:r>
              <w:rPr>
                <w:color w:val="000000"/>
                <w:sz w:val="24"/>
              </w:rPr>
              <w:t>2</w:t>
            </w:r>
          </w:p>
        </w:tc>
        <w:tc>
          <w:tcPr>
            <w:tcW w:w="1533" w:type="dxa"/>
            <w:vAlign w:val="center"/>
          </w:tcPr>
          <w:p w:rsidR="00B4697D" w:rsidRDefault="00CD2B8C">
            <w:pPr>
              <w:jc w:val="center"/>
            </w:pPr>
            <w:r>
              <w:rPr>
                <w:color w:val="000000"/>
                <w:sz w:val="24"/>
              </w:rPr>
              <w:t>010107</w:t>
            </w:r>
          </w:p>
        </w:tc>
        <w:tc>
          <w:tcPr>
            <w:tcW w:w="1533" w:type="dxa"/>
            <w:vAlign w:val="center"/>
          </w:tcPr>
          <w:p w:rsidR="00B4697D" w:rsidRDefault="00CD2B8C">
            <w:pPr>
              <w:jc w:val="center"/>
            </w:pPr>
            <w:r>
              <w:rPr>
                <w:color w:val="000000"/>
                <w:sz w:val="24"/>
              </w:rPr>
              <w:t>21</w:t>
            </w:r>
            <w:r>
              <w:rPr>
                <w:color w:val="000000"/>
                <w:sz w:val="24"/>
              </w:rPr>
              <w:t>国债</w:t>
            </w:r>
            <w:r>
              <w:rPr>
                <w:color w:val="000000"/>
                <w:sz w:val="24"/>
              </w:rPr>
              <w:t>⑺</w:t>
            </w:r>
          </w:p>
        </w:tc>
        <w:tc>
          <w:tcPr>
            <w:tcW w:w="1394" w:type="dxa"/>
            <w:vAlign w:val="center"/>
          </w:tcPr>
          <w:p w:rsidR="00B4697D" w:rsidRDefault="00CD2B8C">
            <w:pPr>
              <w:jc w:val="right"/>
            </w:pPr>
            <w:r>
              <w:rPr>
                <w:color w:val="000000"/>
                <w:sz w:val="24"/>
              </w:rPr>
              <w:t>122,490</w:t>
            </w:r>
          </w:p>
        </w:tc>
        <w:tc>
          <w:tcPr>
            <w:tcW w:w="1944" w:type="dxa"/>
            <w:vAlign w:val="center"/>
          </w:tcPr>
          <w:p w:rsidR="00B4697D" w:rsidRDefault="00CD2B8C">
            <w:pPr>
              <w:jc w:val="right"/>
            </w:pPr>
            <w:r>
              <w:rPr>
                <w:color w:val="000000"/>
                <w:sz w:val="24"/>
              </w:rPr>
              <w:t>12,394,763.10</w:t>
            </w:r>
          </w:p>
        </w:tc>
        <w:tc>
          <w:tcPr>
            <w:tcW w:w="1389" w:type="dxa"/>
            <w:vAlign w:val="center"/>
          </w:tcPr>
          <w:p w:rsidR="00B4697D" w:rsidRDefault="00CD2B8C">
            <w:pPr>
              <w:jc w:val="right"/>
            </w:pPr>
            <w:r>
              <w:rPr>
                <w:color w:val="000000"/>
                <w:sz w:val="24"/>
              </w:rPr>
              <w:t>19.47</w:t>
            </w:r>
          </w:p>
        </w:tc>
      </w:tr>
      <w:tr w:rsidR="00B4697D">
        <w:trPr>
          <w:jc w:val="center"/>
        </w:trPr>
        <w:tc>
          <w:tcPr>
            <w:tcW w:w="1075" w:type="dxa"/>
            <w:vAlign w:val="center"/>
          </w:tcPr>
          <w:p w:rsidR="00B4697D" w:rsidRDefault="00CD2B8C">
            <w:pPr>
              <w:jc w:val="center"/>
            </w:pPr>
            <w:r>
              <w:rPr>
                <w:color w:val="000000"/>
                <w:sz w:val="24"/>
              </w:rPr>
              <w:t>3</w:t>
            </w:r>
          </w:p>
        </w:tc>
        <w:tc>
          <w:tcPr>
            <w:tcW w:w="1533" w:type="dxa"/>
            <w:vAlign w:val="center"/>
          </w:tcPr>
          <w:p w:rsidR="00B4697D" w:rsidRDefault="00CD2B8C">
            <w:pPr>
              <w:jc w:val="center"/>
            </w:pPr>
            <w:r>
              <w:rPr>
                <w:color w:val="000000"/>
                <w:sz w:val="24"/>
              </w:rPr>
              <w:t>102000599</w:t>
            </w:r>
          </w:p>
        </w:tc>
        <w:tc>
          <w:tcPr>
            <w:tcW w:w="1533" w:type="dxa"/>
            <w:vAlign w:val="center"/>
          </w:tcPr>
          <w:p w:rsidR="00B4697D" w:rsidRDefault="00CD2B8C">
            <w:pPr>
              <w:jc w:val="center"/>
            </w:pPr>
            <w:r>
              <w:rPr>
                <w:color w:val="000000"/>
                <w:sz w:val="24"/>
              </w:rPr>
              <w:t>20</w:t>
            </w:r>
            <w:r>
              <w:rPr>
                <w:color w:val="000000"/>
                <w:sz w:val="24"/>
              </w:rPr>
              <w:t>鄂联投</w:t>
            </w:r>
            <w:r>
              <w:rPr>
                <w:color w:val="000000"/>
                <w:sz w:val="24"/>
              </w:rPr>
              <w:t>MTN003</w:t>
            </w:r>
          </w:p>
        </w:tc>
        <w:tc>
          <w:tcPr>
            <w:tcW w:w="1394" w:type="dxa"/>
            <w:vAlign w:val="center"/>
          </w:tcPr>
          <w:p w:rsidR="00B4697D" w:rsidRDefault="00CD2B8C">
            <w:pPr>
              <w:jc w:val="right"/>
            </w:pPr>
            <w:r>
              <w:rPr>
                <w:color w:val="000000"/>
                <w:sz w:val="24"/>
              </w:rPr>
              <w:t>100,000</w:t>
            </w:r>
          </w:p>
        </w:tc>
        <w:tc>
          <w:tcPr>
            <w:tcW w:w="1944" w:type="dxa"/>
            <w:vAlign w:val="center"/>
          </w:tcPr>
          <w:p w:rsidR="00B4697D" w:rsidRDefault="00CD2B8C">
            <w:pPr>
              <w:jc w:val="right"/>
            </w:pPr>
            <w:r>
              <w:rPr>
                <w:color w:val="000000"/>
                <w:sz w:val="24"/>
              </w:rPr>
              <w:t>9,748,000.00</w:t>
            </w:r>
          </w:p>
        </w:tc>
        <w:tc>
          <w:tcPr>
            <w:tcW w:w="1389" w:type="dxa"/>
            <w:vAlign w:val="center"/>
          </w:tcPr>
          <w:p w:rsidR="00B4697D" w:rsidRDefault="00CD2B8C">
            <w:pPr>
              <w:jc w:val="right"/>
            </w:pPr>
            <w:r>
              <w:rPr>
                <w:color w:val="000000"/>
                <w:sz w:val="24"/>
              </w:rPr>
              <w:t>15.31</w:t>
            </w:r>
          </w:p>
        </w:tc>
      </w:tr>
      <w:tr w:rsidR="00B4697D">
        <w:trPr>
          <w:jc w:val="center"/>
        </w:trPr>
        <w:tc>
          <w:tcPr>
            <w:tcW w:w="1075" w:type="dxa"/>
            <w:vAlign w:val="center"/>
          </w:tcPr>
          <w:p w:rsidR="00B4697D" w:rsidRDefault="00CD2B8C">
            <w:pPr>
              <w:jc w:val="center"/>
            </w:pPr>
            <w:r>
              <w:rPr>
                <w:color w:val="000000"/>
                <w:sz w:val="24"/>
              </w:rPr>
              <w:t>4</w:t>
            </w:r>
          </w:p>
        </w:tc>
        <w:tc>
          <w:tcPr>
            <w:tcW w:w="1533" w:type="dxa"/>
            <w:vAlign w:val="center"/>
          </w:tcPr>
          <w:p w:rsidR="00B4697D" w:rsidRDefault="00CD2B8C">
            <w:pPr>
              <w:jc w:val="center"/>
            </w:pPr>
            <w:r>
              <w:rPr>
                <w:color w:val="000000"/>
                <w:sz w:val="24"/>
              </w:rPr>
              <w:t>113516</w:t>
            </w:r>
          </w:p>
        </w:tc>
        <w:tc>
          <w:tcPr>
            <w:tcW w:w="1533" w:type="dxa"/>
            <w:vAlign w:val="center"/>
          </w:tcPr>
          <w:p w:rsidR="00B4697D" w:rsidRDefault="00CD2B8C">
            <w:pPr>
              <w:jc w:val="center"/>
            </w:pPr>
            <w:r>
              <w:rPr>
                <w:color w:val="000000"/>
                <w:sz w:val="24"/>
              </w:rPr>
              <w:t>苏农转债</w:t>
            </w:r>
          </w:p>
        </w:tc>
        <w:tc>
          <w:tcPr>
            <w:tcW w:w="1394" w:type="dxa"/>
            <w:vAlign w:val="center"/>
          </w:tcPr>
          <w:p w:rsidR="00B4697D" w:rsidRDefault="00CD2B8C">
            <w:pPr>
              <w:jc w:val="right"/>
            </w:pPr>
            <w:r>
              <w:rPr>
                <w:color w:val="000000"/>
                <w:sz w:val="24"/>
              </w:rPr>
              <w:t>24,230</w:t>
            </w:r>
          </w:p>
        </w:tc>
        <w:tc>
          <w:tcPr>
            <w:tcW w:w="1944" w:type="dxa"/>
            <w:vAlign w:val="center"/>
          </w:tcPr>
          <w:p w:rsidR="00B4697D" w:rsidRDefault="00CD2B8C">
            <w:pPr>
              <w:jc w:val="right"/>
            </w:pPr>
            <w:r>
              <w:rPr>
                <w:color w:val="000000"/>
                <w:sz w:val="24"/>
              </w:rPr>
              <w:t>2,612,720.90</w:t>
            </w:r>
          </w:p>
        </w:tc>
        <w:tc>
          <w:tcPr>
            <w:tcW w:w="1389" w:type="dxa"/>
            <w:vAlign w:val="center"/>
          </w:tcPr>
          <w:p w:rsidR="00B4697D" w:rsidRDefault="00CD2B8C">
            <w:pPr>
              <w:jc w:val="right"/>
            </w:pPr>
            <w:r>
              <w:rPr>
                <w:color w:val="000000"/>
                <w:sz w:val="24"/>
              </w:rPr>
              <w:t>4.10</w:t>
            </w:r>
          </w:p>
        </w:tc>
      </w:tr>
      <w:tr w:rsidR="00B4697D">
        <w:trPr>
          <w:jc w:val="center"/>
        </w:trPr>
        <w:tc>
          <w:tcPr>
            <w:tcW w:w="1075" w:type="dxa"/>
            <w:vAlign w:val="center"/>
          </w:tcPr>
          <w:p w:rsidR="00B4697D" w:rsidRDefault="00CD2B8C">
            <w:pPr>
              <w:jc w:val="center"/>
            </w:pPr>
            <w:r>
              <w:rPr>
                <w:color w:val="000000"/>
                <w:sz w:val="24"/>
              </w:rPr>
              <w:t>5</w:t>
            </w:r>
          </w:p>
        </w:tc>
        <w:tc>
          <w:tcPr>
            <w:tcW w:w="1533" w:type="dxa"/>
            <w:vAlign w:val="center"/>
          </w:tcPr>
          <w:p w:rsidR="00B4697D" w:rsidRDefault="00CD2B8C">
            <w:pPr>
              <w:jc w:val="center"/>
            </w:pPr>
            <w:r>
              <w:rPr>
                <w:color w:val="000000"/>
                <w:sz w:val="24"/>
              </w:rPr>
              <w:t>110059</w:t>
            </w:r>
          </w:p>
        </w:tc>
        <w:tc>
          <w:tcPr>
            <w:tcW w:w="1533" w:type="dxa"/>
            <w:vAlign w:val="center"/>
          </w:tcPr>
          <w:p w:rsidR="00B4697D" w:rsidRDefault="00CD2B8C">
            <w:pPr>
              <w:jc w:val="center"/>
            </w:pPr>
            <w:r>
              <w:rPr>
                <w:color w:val="000000"/>
                <w:sz w:val="24"/>
              </w:rPr>
              <w:t>浦发转债</w:t>
            </w:r>
          </w:p>
        </w:tc>
        <w:tc>
          <w:tcPr>
            <w:tcW w:w="1394" w:type="dxa"/>
            <w:vAlign w:val="center"/>
          </w:tcPr>
          <w:p w:rsidR="00B4697D" w:rsidRDefault="00CD2B8C">
            <w:pPr>
              <w:jc w:val="right"/>
            </w:pPr>
            <w:r>
              <w:rPr>
                <w:color w:val="000000"/>
                <w:sz w:val="24"/>
              </w:rPr>
              <w:t>24,000</w:t>
            </w:r>
          </w:p>
        </w:tc>
        <w:tc>
          <w:tcPr>
            <w:tcW w:w="1944" w:type="dxa"/>
            <w:vAlign w:val="center"/>
          </w:tcPr>
          <w:p w:rsidR="00B4697D" w:rsidRDefault="00CD2B8C">
            <w:pPr>
              <w:jc w:val="right"/>
            </w:pPr>
            <w:r>
              <w:rPr>
                <w:color w:val="000000"/>
                <w:sz w:val="24"/>
              </w:rPr>
              <w:t>2,443,200.00</w:t>
            </w:r>
          </w:p>
        </w:tc>
        <w:tc>
          <w:tcPr>
            <w:tcW w:w="1389" w:type="dxa"/>
            <w:vAlign w:val="center"/>
          </w:tcPr>
          <w:p w:rsidR="00B4697D" w:rsidRDefault="00CD2B8C">
            <w:pPr>
              <w:jc w:val="right"/>
            </w:pPr>
            <w:r>
              <w:rPr>
                <w:color w:val="000000"/>
                <w:sz w:val="24"/>
              </w:rPr>
              <w:t>3.84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D00E04">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D00E04">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D00E04">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139,003.70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2,528,911.77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722,670.54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3,766.81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3,394,352.82</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9765C1" w:rsidRPr="007F52FA" w:rsidRDefault="009765C1" w:rsidP="009765C1">
      <w:pPr>
        <w:autoSpaceDE w:val="0"/>
        <w:autoSpaceDN w:val="0"/>
        <w:adjustRightInd w:val="0"/>
        <w:spacing w:before="29" w:line="288" w:lineRule="auto"/>
        <w:jc w:val="right"/>
        <w:rPr>
          <w:kern w:val="0"/>
          <w:sz w:val="24"/>
        </w:rPr>
      </w:pPr>
      <w:r w:rsidRPr="009765C1">
        <w:rPr>
          <w:rFonts w:hint="eastAsia"/>
          <w:kern w:val="0"/>
          <w:sz w:val="24"/>
        </w:rPr>
        <w:t>金额单位：人民币元</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B4697D">
        <w:trPr>
          <w:jc w:val="center"/>
        </w:trPr>
        <w:tc>
          <w:tcPr>
            <w:tcW w:w="0" w:type="auto"/>
            <w:vAlign w:val="center"/>
          </w:tcPr>
          <w:p w:rsidR="00B4697D" w:rsidRDefault="00CD2B8C">
            <w:pPr>
              <w:jc w:val="center"/>
            </w:pPr>
            <w:r>
              <w:rPr>
                <w:rFonts w:eastAsiaTheme="minorEastAsia"/>
                <w:color w:val="000000"/>
                <w:sz w:val="24"/>
              </w:rPr>
              <w:lastRenderedPageBreak/>
              <w:t>1</w:t>
            </w:r>
          </w:p>
        </w:tc>
        <w:tc>
          <w:tcPr>
            <w:tcW w:w="0" w:type="auto"/>
            <w:vAlign w:val="center"/>
          </w:tcPr>
          <w:p w:rsidR="00B4697D" w:rsidRDefault="00CD2B8C">
            <w:pPr>
              <w:jc w:val="center"/>
            </w:pPr>
            <w:r>
              <w:rPr>
                <w:rFonts w:eastAsiaTheme="minorEastAsia"/>
                <w:color w:val="000000"/>
                <w:sz w:val="24"/>
              </w:rPr>
              <w:t>113516</w:t>
            </w:r>
          </w:p>
        </w:tc>
        <w:tc>
          <w:tcPr>
            <w:tcW w:w="0" w:type="auto"/>
            <w:vAlign w:val="center"/>
          </w:tcPr>
          <w:p w:rsidR="00B4697D" w:rsidRDefault="00CD2B8C">
            <w:pPr>
              <w:jc w:val="center"/>
            </w:pPr>
            <w:r>
              <w:rPr>
                <w:rFonts w:eastAsiaTheme="minorEastAsia"/>
                <w:color w:val="000000"/>
                <w:sz w:val="24"/>
              </w:rPr>
              <w:t>苏农转债</w:t>
            </w:r>
          </w:p>
        </w:tc>
        <w:tc>
          <w:tcPr>
            <w:tcW w:w="0" w:type="auto"/>
            <w:vAlign w:val="center"/>
          </w:tcPr>
          <w:p w:rsidR="00B4697D" w:rsidRDefault="00CD2B8C">
            <w:pPr>
              <w:jc w:val="right"/>
            </w:pPr>
            <w:r>
              <w:rPr>
                <w:rFonts w:eastAsiaTheme="minorEastAsia"/>
                <w:color w:val="000000"/>
                <w:sz w:val="24"/>
              </w:rPr>
              <w:t>2,612,720.90</w:t>
            </w:r>
          </w:p>
        </w:tc>
        <w:tc>
          <w:tcPr>
            <w:tcW w:w="0" w:type="auto"/>
            <w:vAlign w:val="center"/>
          </w:tcPr>
          <w:p w:rsidR="00B4697D" w:rsidRDefault="00CD2B8C">
            <w:pPr>
              <w:jc w:val="right"/>
            </w:pPr>
            <w:r>
              <w:rPr>
                <w:rFonts w:eastAsiaTheme="minorEastAsia"/>
                <w:color w:val="000000"/>
                <w:sz w:val="24"/>
              </w:rPr>
              <w:t>4.10</w:t>
            </w:r>
          </w:p>
        </w:tc>
      </w:tr>
      <w:tr w:rsidR="00B4697D">
        <w:trPr>
          <w:jc w:val="center"/>
        </w:trPr>
        <w:tc>
          <w:tcPr>
            <w:tcW w:w="0" w:type="auto"/>
            <w:vAlign w:val="center"/>
          </w:tcPr>
          <w:p w:rsidR="00B4697D" w:rsidRDefault="00CD2B8C">
            <w:pPr>
              <w:jc w:val="center"/>
            </w:pPr>
            <w:r>
              <w:rPr>
                <w:rFonts w:eastAsiaTheme="minorEastAsia"/>
                <w:color w:val="000000"/>
                <w:sz w:val="24"/>
              </w:rPr>
              <w:t>2</w:t>
            </w:r>
          </w:p>
        </w:tc>
        <w:tc>
          <w:tcPr>
            <w:tcW w:w="0" w:type="auto"/>
            <w:vAlign w:val="center"/>
          </w:tcPr>
          <w:p w:rsidR="00B4697D" w:rsidRDefault="00CD2B8C">
            <w:pPr>
              <w:jc w:val="center"/>
            </w:pPr>
            <w:r>
              <w:rPr>
                <w:rFonts w:eastAsiaTheme="minorEastAsia"/>
                <w:color w:val="000000"/>
                <w:sz w:val="24"/>
              </w:rPr>
              <w:t>110059</w:t>
            </w:r>
          </w:p>
        </w:tc>
        <w:tc>
          <w:tcPr>
            <w:tcW w:w="0" w:type="auto"/>
            <w:vAlign w:val="center"/>
          </w:tcPr>
          <w:p w:rsidR="00B4697D" w:rsidRDefault="00CD2B8C">
            <w:pPr>
              <w:jc w:val="center"/>
            </w:pPr>
            <w:r>
              <w:rPr>
                <w:rFonts w:eastAsiaTheme="minorEastAsia"/>
                <w:color w:val="000000"/>
                <w:sz w:val="24"/>
              </w:rPr>
              <w:t>浦发转债</w:t>
            </w:r>
          </w:p>
        </w:tc>
        <w:tc>
          <w:tcPr>
            <w:tcW w:w="0" w:type="auto"/>
            <w:vAlign w:val="center"/>
          </w:tcPr>
          <w:p w:rsidR="00B4697D" w:rsidRDefault="00CD2B8C">
            <w:pPr>
              <w:jc w:val="right"/>
            </w:pPr>
            <w:r>
              <w:rPr>
                <w:rFonts w:eastAsiaTheme="minorEastAsia"/>
                <w:color w:val="000000"/>
                <w:sz w:val="24"/>
              </w:rPr>
              <w:t>2,443,200.00</w:t>
            </w:r>
          </w:p>
        </w:tc>
        <w:tc>
          <w:tcPr>
            <w:tcW w:w="0" w:type="auto"/>
            <w:vAlign w:val="center"/>
          </w:tcPr>
          <w:p w:rsidR="00B4697D" w:rsidRDefault="00CD2B8C">
            <w:pPr>
              <w:jc w:val="right"/>
            </w:pPr>
            <w:r>
              <w:rPr>
                <w:rFonts w:eastAsiaTheme="minorEastAsia"/>
                <w:color w:val="000000"/>
                <w:sz w:val="24"/>
              </w:rPr>
              <w:t>3.84</w:t>
            </w:r>
          </w:p>
        </w:tc>
      </w:tr>
      <w:tr w:rsidR="00B4697D">
        <w:trPr>
          <w:jc w:val="center"/>
        </w:trPr>
        <w:tc>
          <w:tcPr>
            <w:tcW w:w="0" w:type="auto"/>
            <w:vAlign w:val="center"/>
          </w:tcPr>
          <w:p w:rsidR="00B4697D" w:rsidRDefault="00CD2B8C">
            <w:pPr>
              <w:jc w:val="center"/>
            </w:pPr>
            <w:r>
              <w:rPr>
                <w:rFonts w:eastAsiaTheme="minorEastAsia"/>
                <w:color w:val="000000"/>
                <w:sz w:val="24"/>
              </w:rPr>
              <w:t>3</w:t>
            </w:r>
          </w:p>
        </w:tc>
        <w:tc>
          <w:tcPr>
            <w:tcW w:w="0" w:type="auto"/>
            <w:vAlign w:val="center"/>
          </w:tcPr>
          <w:p w:rsidR="00B4697D" w:rsidRDefault="00CD2B8C">
            <w:pPr>
              <w:jc w:val="center"/>
            </w:pPr>
            <w:r>
              <w:rPr>
                <w:rFonts w:eastAsiaTheme="minorEastAsia"/>
                <w:color w:val="000000"/>
                <w:sz w:val="24"/>
              </w:rPr>
              <w:t>110053</w:t>
            </w:r>
          </w:p>
        </w:tc>
        <w:tc>
          <w:tcPr>
            <w:tcW w:w="0" w:type="auto"/>
            <w:vAlign w:val="center"/>
          </w:tcPr>
          <w:p w:rsidR="00B4697D" w:rsidRDefault="00CD2B8C">
            <w:pPr>
              <w:jc w:val="center"/>
            </w:pPr>
            <w:r>
              <w:rPr>
                <w:rFonts w:eastAsiaTheme="minorEastAsia"/>
                <w:color w:val="000000"/>
                <w:sz w:val="24"/>
              </w:rPr>
              <w:t>苏银转债</w:t>
            </w:r>
          </w:p>
        </w:tc>
        <w:tc>
          <w:tcPr>
            <w:tcW w:w="0" w:type="auto"/>
            <w:vAlign w:val="center"/>
          </w:tcPr>
          <w:p w:rsidR="00B4697D" w:rsidRDefault="00CD2B8C">
            <w:pPr>
              <w:jc w:val="right"/>
            </w:pPr>
            <w:r>
              <w:rPr>
                <w:rFonts w:eastAsiaTheme="minorEastAsia"/>
                <w:color w:val="000000"/>
                <w:sz w:val="24"/>
              </w:rPr>
              <w:t>1,623,900.00</w:t>
            </w:r>
          </w:p>
        </w:tc>
        <w:tc>
          <w:tcPr>
            <w:tcW w:w="0" w:type="auto"/>
            <w:vAlign w:val="center"/>
          </w:tcPr>
          <w:p w:rsidR="00B4697D" w:rsidRDefault="00CD2B8C">
            <w:pPr>
              <w:jc w:val="right"/>
            </w:pPr>
            <w:r>
              <w:rPr>
                <w:rFonts w:eastAsiaTheme="minorEastAsia"/>
                <w:color w:val="000000"/>
                <w:sz w:val="24"/>
              </w:rPr>
              <w:t>2.55</w:t>
            </w:r>
          </w:p>
        </w:tc>
      </w:tr>
      <w:tr w:rsidR="00B4697D">
        <w:trPr>
          <w:jc w:val="center"/>
        </w:trPr>
        <w:tc>
          <w:tcPr>
            <w:tcW w:w="0" w:type="auto"/>
            <w:vAlign w:val="center"/>
          </w:tcPr>
          <w:p w:rsidR="00B4697D" w:rsidRDefault="00CD2B8C">
            <w:pPr>
              <w:jc w:val="center"/>
            </w:pPr>
            <w:r>
              <w:rPr>
                <w:rFonts w:eastAsiaTheme="minorEastAsia"/>
                <w:color w:val="000000"/>
                <w:sz w:val="24"/>
              </w:rPr>
              <w:t>4</w:t>
            </w:r>
          </w:p>
        </w:tc>
        <w:tc>
          <w:tcPr>
            <w:tcW w:w="0" w:type="auto"/>
            <w:vAlign w:val="center"/>
          </w:tcPr>
          <w:p w:rsidR="00B4697D" w:rsidRDefault="00CD2B8C">
            <w:pPr>
              <w:jc w:val="center"/>
            </w:pPr>
            <w:r>
              <w:rPr>
                <w:rFonts w:eastAsiaTheme="minorEastAsia"/>
                <w:color w:val="000000"/>
                <w:sz w:val="24"/>
              </w:rPr>
              <w:t>113021</w:t>
            </w:r>
          </w:p>
        </w:tc>
        <w:tc>
          <w:tcPr>
            <w:tcW w:w="0" w:type="auto"/>
            <w:vAlign w:val="center"/>
          </w:tcPr>
          <w:p w:rsidR="00B4697D" w:rsidRDefault="00CD2B8C">
            <w:pPr>
              <w:jc w:val="center"/>
            </w:pPr>
            <w:r>
              <w:rPr>
                <w:rFonts w:eastAsiaTheme="minorEastAsia"/>
                <w:color w:val="000000"/>
                <w:sz w:val="24"/>
              </w:rPr>
              <w:t>中信转债</w:t>
            </w:r>
          </w:p>
        </w:tc>
        <w:tc>
          <w:tcPr>
            <w:tcW w:w="0" w:type="auto"/>
            <w:vAlign w:val="center"/>
          </w:tcPr>
          <w:p w:rsidR="00B4697D" w:rsidRDefault="00CD2B8C">
            <w:pPr>
              <w:jc w:val="right"/>
            </w:pPr>
            <w:r>
              <w:rPr>
                <w:rFonts w:eastAsiaTheme="minorEastAsia"/>
                <w:color w:val="000000"/>
                <w:sz w:val="24"/>
              </w:rPr>
              <w:t>1,472,940.00</w:t>
            </w:r>
          </w:p>
        </w:tc>
        <w:tc>
          <w:tcPr>
            <w:tcW w:w="0" w:type="auto"/>
            <w:vAlign w:val="center"/>
          </w:tcPr>
          <w:p w:rsidR="00B4697D" w:rsidRDefault="00CD2B8C">
            <w:pPr>
              <w:jc w:val="right"/>
            </w:pPr>
            <w:r>
              <w:rPr>
                <w:rFonts w:eastAsiaTheme="minorEastAsia"/>
                <w:color w:val="000000"/>
                <w:sz w:val="24"/>
              </w:rPr>
              <w:t>2.31</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144,622,619.05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10,871,449.55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358,314.60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442,031.89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103,095,104.19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2,739,201.70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41,885,829.46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8,574,279.74</w:t>
            </w:r>
          </w:p>
        </w:tc>
      </w:tr>
    </w:tbl>
    <w:p w:rsidR="00B4697D" w:rsidRDefault="00CD2B8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lastRenderedPageBreak/>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4697D">
        <w:tc>
          <w:tcPr>
            <w:tcW w:w="992" w:type="dxa"/>
            <w:vMerge w:val="restart"/>
          </w:tcPr>
          <w:p w:rsidR="00B4697D" w:rsidRDefault="00B4697D"/>
          <w:p w:rsidR="00B4697D" w:rsidRDefault="00CD2B8C">
            <w:r>
              <w:rPr>
                <w:rFonts w:ascii="宋体" w:hAnsi="宋体" w:hint="eastAsia"/>
                <w:bCs/>
                <w:color w:val="000000"/>
                <w:kern w:val="0"/>
                <w:szCs w:val="21"/>
              </w:rPr>
              <w:t>机构</w:t>
            </w:r>
          </w:p>
        </w:tc>
        <w:tc>
          <w:tcPr>
            <w:tcW w:w="991" w:type="dxa"/>
            <w:vAlign w:val="center"/>
          </w:tcPr>
          <w:p w:rsidR="00B4697D" w:rsidRDefault="00CD2B8C">
            <w:pPr>
              <w:jc w:val="center"/>
            </w:pPr>
            <w:r>
              <w:rPr>
                <w:rFonts w:ascii="宋体" w:hAnsi="宋体" w:hint="eastAsia"/>
                <w:color w:val="000000"/>
                <w:kern w:val="0"/>
                <w:szCs w:val="21"/>
              </w:rPr>
              <w:t>1</w:t>
            </w:r>
          </w:p>
        </w:tc>
        <w:tc>
          <w:tcPr>
            <w:tcW w:w="1843" w:type="dxa"/>
            <w:vAlign w:val="center"/>
          </w:tcPr>
          <w:p w:rsidR="00B4697D" w:rsidRDefault="00CD2B8C">
            <w:pPr>
              <w:jc w:val="center"/>
            </w:pPr>
            <w:r>
              <w:rPr>
                <w:rFonts w:ascii="宋体" w:hAnsi="宋体" w:hint="eastAsia"/>
                <w:color w:val="000000"/>
                <w:kern w:val="0"/>
                <w:szCs w:val="21"/>
              </w:rPr>
              <w:t>2020/10/1-2020/12/31</w:t>
            </w:r>
          </w:p>
        </w:tc>
        <w:tc>
          <w:tcPr>
            <w:tcW w:w="851" w:type="dxa"/>
            <w:vAlign w:val="center"/>
          </w:tcPr>
          <w:p w:rsidR="00B4697D" w:rsidRDefault="00CD2B8C">
            <w:pPr>
              <w:jc w:val="center"/>
            </w:pPr>
            <w:r>
              <w:rPr>
                <w:rFonts w:ascii="宋体" w:hAnsi="宋体" w:hint="eastAsia"/>
                <w:color w:val="000000"/>
                <w:kern w:val="0"/>
                <w:szCs w:val="21"/>
              </w:rPr>
              <w:t>38,782,997.00</w:t>
            </w:r>
          </w:p>
        </w:tc>
        <w:tc>
          <w:tcPr>
            <w:tcW w:w="850" w:type="dxa"/>
            <w:vAlign w:val="center"/>
          </w:tcPr>
          <w:p w:rsidR="00B4697D" w:rsidRDefault="00CD2B8C">
            <w:pPr>
              <w:jc w:val="center"/>
            </w:pPr>
            <w:r>
              <w:rPr>
                <w:rFonts w:ascii="宋体" w:hAnsi="宋体" w:hint="eastAsia"/>
                <w:color w:val="000000"/>
                <w:kern w:val="0"/>
                <w:szCs w:val="21"/>
              </w:rPr>
              <w:t>-</w:t>
            </w:r>
          </w:p>
        </w:tc>
        <w:tc>
          <w:tcPr>
            <w:tcW w:w="1134" w:type="dxa"/>
            <w:vAlign w:val="center"/>
          </w:tcPr>
          <w:p w:rsidR="00B4697D" w:rsidRDefault="00CD2B8C">
            <w:pPr>
              <w:jc w:val="center"/>
            </w:pPr>
            <w:r>
              <w:rPr>
                <w:rFonts w:ascii="宋体" w:hAnsi="宋体" w:hint="eastAsia"/>
                <w:color w:val="000000"/>
                <w:kern w:val="0"/>
                <w:szCs w:val="21"/>
              </w:rPr>
              <w:t>38,782,997.00</w:t>
            </w:r>
          </w:p>
        </w:tc>
        <w:tc>
          <w:tcPr>
            <w:tcW w:w="1419" w:type="dxa"/>
            <w:vAlign w:val="center"/>
          </w:tcPr>
          <w:p w:rsidR="00B4697D" w:rsidRDefault="00CD2B8C">
            <w:pPr>
              <w:jc w:val="center"/>
            </w:pPr>
            <w:r>
              <w:rPr>
                <w:rFonts w:ascii="宋体" w:hAnsi="宋体" w:hint="eastAsia"/>
                <w:color w:val="000000"/>
                <w:kern w:val="0"/>
                <w:szCs w:val="21"/>
              </w:rPr>
              <w:t>-</w:t>
            </w:r>
          </w:p>
        </w:tc>
        <w:tc>
          <w:tcPr>
            <w:tcW w:w="1130" w:type="dxa"/>
            <w:vAlign w:val="center"/>
          </w:tcPr>
          <w:p w:rsidR="00B4697D" w:rsidRDefault="00CD2B8C">
            <w:pPr>
              <w:jc w:val="center"/>
            </w:pPr>
            <w:r>
              <w:rPr>
                <w:rFonts w:ascii="宋体" w:hAnsi="宋体" w:hint="eastAsia"/>
                <w:color w:val="000000"/>
                <w:kern w:val="0"/>
                <w:szCs w:val="21"/>
              </w:rPr>
              <w:t>-</w:t>
            </w:r>
          </w:p>
        </w:tc>
      </w:tr>
      <w:tr w:rsidR="00B4697D">
        <w:tc>
          <w:tcPr>
            <w:tcW w:w="992" w:type="dxa"/>
            <w:vMerge/>
          </w:tcPr>
          <w:p w:rsidR="00B4697D" w:rsidRDefault="00B4697D"/>
        </w:tc>
        <w:tc>
          <w:tcPr>
            <w:tcW w:w="991" w:type="dxa"/>
            <w:vAlign w:val="center"/>
          </w:tcPr>
          <w:p w:rsidR="00B4697D" w:rsidRDefault="00CD2B8C">
            <w:pPr>
              <w:jc w:val="center"/>
            </w:pPr>
            <w:r>
              <w:rPr>
                <w:rFonts w:ascii="宋体" w:hAnsi="宋体" w:hint="eastAsia"/>
                <w:color w:val="000000"/>
                <w:kern w:val="0"/>
                <w:szCs w:val="21"/>
              </w:rPr>
              <w:t>2</w:t>
            </w:r>
          </w:p>
        </w:tc>
        <w:tc>
          <w:tcPr>
            <w:tcW w:w="1843" w:type="dxa"/>
            <w:vAlign w:val="center"/>
          </w:tcPr>
          <w:p w:rsidR="00B4697D" w:rsidRDefault="00CD2B8C">
            <w:pPr>
              <w:jc w:val="center"/>
            </w:pPr>
            <w:r>
              <w:rPr>
                <w:rFonts w:ascii="宋体" w:hAnsi="宋体" w:hint="eastAsia"/>
                <w:color w:val="000000"/>
                <w:kern w:val="0"/>
                <w:szCs w:val="21"/>
              </w:rPr>
              <w:t>2020/10/1-2020/12/31</w:t>
            </w:r>
          </w:p>
        </w:tc>
        <w:tc>
          <w:tcPr>
            <w:tcW w:w="851" w:type="dxa"/>
            <w:vAlign w:val="center"/>
          </w:tcPr>
          <w:p w:rsidR="00B4697D" w:rsidRDefault="00CD2B8C">
            <w:pPr>
              <w:jc w:val="center"/>
            </w:pPr>
            <w:r>
              <w:rPr>
                <w:rFonts w:ascii="宋体" w:hAnsi="宋体" w:hint="eastAsia"/>
                <w:color w:val="000000"/>
                <w:kern w:val="0"/>
                <w:szCs w:val="21"/>
              </w:rPr>
              <w:t>38,665,361.36</w:t>
            </w:r>
          </w:p>
        </w:tc>
        <w:tc>
          <w:tcPr>
            <w:tcW w:w="850" w:type="dxa"/>
            <w:vAlign w:val="center"/>
          </w:tcPr>
          <w:p w:rsidR="00B4697D" w:rsidRDefault="00CD2B8C">
            <w:pPr>
              <w:jc w:val="center"/>
            </w:pPr>
            <w:r>
              <w:rPr>
                <w:rFonts w:ascii="宋体" w:hAnsi="宋体" w:hint="eastAsia"/>
                <w:color w:val="000000"/>
                <w:kern w:val="0"/>
                <w:szCs w:val="21"/>
              </w:rPr>
              <w:t>-</w:t>
            </w:r>
          </w:p>
        </w:tc>
        <w:tc>
          <w:tcPr>
            <w:tcW w:w="1134" w:type="dxa"/>
            <w:vAlign w:val="center"/>
          </w:tcPr>
          <w:p w:rsidR="00B4697D" w:rsidRDefault="00CD2B8C">
            <w:pPr>
              <w:jc w:val="center"/>
            </w:pPr>
            <w:r>
              <w:rPr>
                <w:rFonts w:ascii="宋体" w:hAnsi="宋体" w:hint="eastAsia"/>
                <w:color w:val="000000"/>
                <w:kern w:val="0"/>
                <w:szCs w:val="21"/>
              </w:rPr>
              <w:t>38,665,361.36</w:t>
            </w:r>
          </w:p>
        </w:tc>
        <w:tc>
          <w:tcPr>
            <w:tcW w:w="1419" w:type="dxa"/>
            <w:vAlign w:val="center"/>
          </w:tcPr>
          <w:p w:rsidR="00B4697D" w:rsidRDefault="00CD2B8C">
            <w:pPr>
              <w:jc w:val="center"/>
            </w:pPr>
            <w:r>
              <w:rPr>
                <w:rFonts w:ascii="宋体" w:hAnsi="宋体" w:hint="eastAsia"/>
                <w:color w:val="000000"/>
                <w:kern w:val="0"/>
                <w:szCs w:val="21"/>
              </w:rPr>
              <w:t>-</w:t>
            </w:r>
          </w:p>
        </w:tc>
        <w:tc>
          <w:tcPr>
            <w:tcW w:w="1130" w:type="dxa"/>
            <w:vAlign w:val="center"/>
          </w:tcPr>
          <w:p w:rsidR="00B4697D" w:rsidRDefault="00CD2B8C">
            <w:pPr>
              <w:jc w:val="center"/>
            </w:pPr>
            <w:r>
              <w:rPr>
                <w:rFonts w:ascii="宋体" w:hAnsi="宋体" w:hint="eastAsia"/>
                <w:color w:val="000000"/>
                <w:kern w:val="0"/>
                <w:szCs w:val="21"/>
              </w:rPr>
              <w:t>-</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B4697D" w:rsidRDefault="00CD2B8C">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、中国证监会批准交银施罗德双利债券证券投资基金募集的文件；</w:t>
      </w:r>
      <w:r>
        <w:rPr>
          <w:rFonts w:eastAsiaTheme="minorEastAsia"/>
          <w:color w:val="000000"/>
          <w:sz w:val="24"/>
        </w:rPr>
        <w:t xml:space="preserve"> </w:t>
      </w:r>
    </w:p>
    <w:p w:rsidR="00B4697D" w:rsidRDefault="00CD2B8C">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、《交银施罗德双利债券证券投资基金基金合同》；</w:t>
      </w:r>
      <w:r>
        <w:rPr>
          <w:rFonts w:eastAsiaTheme="minorEastAsia"/>
          <w:color w:val="000000"/>
          <w:sz w:val="24"/>
        </w:rPr>
        <w:t xml:space="preserve"> </w:t>
      </w:r>
    </w:p>
    <w:p w:rsidR="00B4697D" w:rsidRDefault="00CD2B8C">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、《交银施罗德双利债券证券投资基金招募说明书》；</w:t>
      </w:r>
      <w:r>
        <w:rPr>
          <w:rFonts w:eastAsiaTheme="minorEastAsia"/>
          <w:color w:val="000000"/>
          <w:sz w:val="24"/>
        </w:rPr>
        <w:t xml:space="preserve"> </w:t>
      </w:r>
    </w:p>
    <w:p w:rsidR="00B4697D" w:rsidRDefault="00CD2B8C">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、《交银施罗德双利债券证券投资基金托管协议》；</w:t>
      </w:r>
      <w:r>
        <w:rPr>
          <w:rFonts w:eastAsiaTheme="minorEastAsia"/>
          <w:color w:val="000000"/>
          <w:sz w:val="24"/>
        </w:rPr>
        <w:t xml:space="preserve"> </w:t>
      </w:r>
    </w:p>
    <w:p w:rsidR="00B4697D" w:rsidRDefault="00CD2B8C">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、关于募集交银施罗德双利债券证券投资基金之法律意见书；</w:t>
      </w:r>
      <w:r>
        <w:rPr>
          <w:rFonts w:eastAsiaTheme="minorEastAsia"/>
          <w:color w:val="000000"/>
          <w:sz w:val="24"/>
        </w:rPr>
        <w:t xml:space="preserve"> </w:t>
      </w:r>
    </w:p>
    <w:p w:rsidR="00B4697D" w:rsidRDefault="00CD2B8C">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B4697D" w:rsidRDefault="00CD2B8C">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B4697D" w:rsidRDefault="00CD2B8C">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w:t>
      </w:r>
      <w:r w:rsidRPr="007F52FA">
        <w:rPr>
          <w:rFonts w:eastAsiaTheme="minorEastAsia"/>
          <w:color w:val="000000"/>
          <w:sz w:val="24"/>
        </w:rPr>
        <w:lastRenderedPageBreak/>
        <w:t>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B1A" w:rsidRDefault="00B86B1A">
      <w:r>
        <w:separator/>
      </w:r>
    </w:p>
  </w:endnote>
  <w:endnote w:type="continuationSeparator" w:id="0">
    <w:p w:rsidR="00B86B1A" w:rsidRDefault="00B8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CE4BE3">
      <w:rPr>
        <w:noProof/>
        <w:kern w:val="0"/>
        <w:szCs w:val="21"/>
      </w:rPr>
      <w:t>4</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CE4BE3">
      <w:rPr>
        <w:noProof/>
        <w:kern w:val="0"/>
        <w:szCs w:val="21"/>
      </w:rPr>
      <w:t>15</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B1A" w:rsidRDefault="00B86B1A">
      <w:r>
        <w:separator/>
      </w:r>
    </w:p>
  </w:footnote>
  <w:footnote w:type="continuationSeparator" w:id="0">
    <w:p w:rsidR="00B86B1A" w:rsidRDefault="00B86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交银施罗德双利债券证券投资基金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697D"/>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86B1A"/>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2B8C"/>
    <w:rsid w:val="00CD4A0C"/>
    <w:rsid w:val="00CD5CEF"/>
    <w:rsid w:val="00CE06EC"/>
    <w:rsid w:val="00CE3F08"/>
    <w:rsid w:val="00CE41F1"/>
    <w:rsid w:val="00CE4BE3"/>
    <w:rsid w:val="00CE54FE"/>
    <w:rsid w:val="00CE592E"/>
    <w:rsid w:val="00CE5BC5"/>
    <w:rsid w:val="00CF16A4"/>
    <w:rsid w:val="00CF299F"/>
    <w:rsid w:val="00CF3357"/>
    <w:rsid w:val="00CF4695"/>
    <w:rsid w:val="00CF58DF"/>
    <w:rsid w:val="00D00BC3"/>
    <w:rsid w:val="00D00E04"/>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541021761">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56385167">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33D9F-311D-4F55-8F5D-486FD30A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243</TotalTime>
  <Pages>15</Pages>
  <Words>1315</Words>
  <Characters>7497</Characters>
  <Application>Microsoft Office Word</Application>
  <DocSecurity>0</DocSecurity>
  <Lines>62</Lines>
  <Paragraphs>17</Paragraphs>
  <ScaleCrop>false</ScaleCrop>
  <Company>TRT. Ltd. Co.</Company>
  <LinksUpToDate>false</LinksUpToDate>
  <CharactersWithSpaces>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406</cp:revision>
  <cp:lastPrinted>2007-07-19T00:46:00Z</cp:lastPrinted>
  <dcterms:created xsi:type="dcterms:W3CDTF">2014-01-17T06:19:00Z</dcterms:created>
  <dcterms:modified xsi:type="dcterms:W3CDTF">2021-01-19T06:28:00Z</dcterms:modified>
</cp:coreProperties>
</file>