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交银施罗德成长30混合型证券投资基金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交银成长30混合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2013年6月5日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863,041,715.70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本基金属于成长型混合型基金，主要通过投资于不超过30只精选的成长型上市公司股票，在适度控制风险并保持基金资产良好流动性的前提下，为基金份额持有人谋求长期、稳定的资本增值。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75%×富时中国A600成长指数收益率+25%×中证综合债券指数收益率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xml:space="preserve">本基金是一只混合型基金，以成长型股票为主要投资对象，其风险和预期收益高于债券型基金和货币市场基金，低于股票型基金。属于承担较高风险、预期收益较高的证券投资基金品种。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112,744,548.74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425,490,917.27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0.4428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2,239,520,270.95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21.26%</w:t>
            </w:r>
          </w:p>
        </w:tc>
        <w:tc>
          <w:tcPr>
            <w:vAlign w:val="center"/>
          </w:tcPr>
          <w:p>
            <w:pPr>
              <w:jc w:val="center"/>
            </w:pPr>
            <w:r>
              <w:rPr>
                <w:color w:val="000000"/>
                <w:sz w:val="24"/>
                <w:szCs w:val="24"/>
              </w:rPr>
              <w:t>1.35%</w:t>
            </w:r>
          </w:p>
        </w:tc>
        <w:tc>
          <w:tcPr>
            <w:vAlign w:val="center"/>
          </w:tcPr>
          <w:p>
            <w:pPr>
              <w:jc w:val="center"/>
            </w:pPr>
            <w:r>
              <w:rPr>
                <w:color w:val="000000"/>
                <w:sz w:val="24"/>
                <w:szCs w:val="24"/>
              </w:rPr>
              <w:t>12.12%</w:t>
            </w:r>
          </w:p>
        </w:tc>
        <w:tc>
          <w:tcPr>
            <w:vAlign w:val="center"/>
          </w:tcPr>
          <w:p>
            <w:pPr>
              <w:jc w:val="center"/>
            </w:pPr>
            <w:r>
              <w:rPr>
                <w:color w:val="000000"/>
                <w:sz w:val="24"/>
                <w:szCs w:val="24"/>
              </w:rPr>
              <w:t>0.85%</w:t>
            </w:r>
          </w:p>
        </w:tc>
        <w:tc>
          <w:tcPr>
            <w:vAlign w:val="center"/>
          </w:tcPr>
          <w:p>
            <w:pPr>
              <w:jc w:val="center"/>
            </w:pPr>
            <w:r>
              <w:rPr>
                <w:color w:val="000000"/>
                <w:sz w:val="24"/>
                <w:szCs w:val="24"/>
              </w:rPr>
              <w:t>9.14%</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36.01%</w:t>
            </w:r>
          </w:p>
        </w:tc>
        <w:tc>
          <w:tcPr>
            <w:vAlign w:val="center"/>
          </w:tcPr>
          <w:p>
            <w:pPr>
              <w:jc w:val="center"/>
            </w:pPr>
            <w:r>
              <w:rPr>
                <w:color w:val="000000"/>
                <w:sz w:val="24"/>
                <w:szCs w:val="24"/>
              </w:rPr>
              <w:t>1.70%</w:t>
            </w:r>
          </w:p>
        </w:tc>
        <w:tc>
          <w:tcPr>
            <w:vAlign w:val="center"/>
          </w:tcPr>
          <w:p>
            <w:pPr>
              <w:jc w:val="center"/>
            </w:pPr>
            <w:r>
              <w:rPr>
                <w:color w:val="000000"/>
                <w:sz w:val="24"/>
                <w:szCs w:val="24"/>
              </w:rPr>
              <w:t>20.54%</w:t>
            </w:r>
          </w:p>
        </w:tc>
        <w:tc>
          <w:tcPr>
            <w:vAlign w:val="center"/>
          </w:tcPr>
          <w:p>
            <w:pPr>
              <w:jc w:val="center"/>
            </w:pPr>
            <w:r>
              <w:rPr>
                <w:color w:val="000000"/>
                <w:sz w:val="24"/>
                <w:szCs w:val="24"/>
              </w:rPr>
              <w:t>1.09%</w:t>
            </w:r>
          </w:p>
        </w:tc>
        <w:tc>
          <w:tcPr>
            <w:vAlign w:val="center"/>
          </w:tcPr>
          <w:p>
            <w:pPr>
              <w:jc w:val="center"/>
            </w:pPr>
            <w:r>
              <w:rPr>
                <w:color w:val="000000"/>
                <w:sz w:val="24"/>
                <w:szCs w:val="24"/>
              </w:rPr>
              <w:t>15.47%</w:t>
            </w:r>
          </w:p>
        </w:tc>
        <w:tc>
          <w:tcPr>
            <w:vAlign w:val="center"/>
          </w:tcPr>
          <w:p>
            <w:pPr>
              <w:jc w:val="center"/>
            </w:pPr>
            <w:r>
              <w:rPr>
                <w:color w:val="000000"/>
                <w:sz w:val="24"/>
                <w:szCs w:val="24"/>
              </w:rPr>
              <w:t>0.61%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61.28%</w:t>
            </w:r>
          </w:p>
        </w:tc>
        <w:tc>
          <w:tcPr>
            <w:vAlign w:val="center"/>
          </w:tcPr>
          <w:p>
            <w:pPr>
              <w:jc w:val="center"/>
            </w:pPr>
            <w:r>
              <w:rPr>
                <w:color w:val="000000"/>
                <w:sz w:val="24"/>
                <w:szCs w:val="24"/>
              </w:rPr>
              <w:t>1.80%</w:t>
            </w:r>
          </w:p>
        </w:tc>
        <w:tc>
          <w:tcPr>
            <w:vAlign w:val="center"/>
          </w:tcPr>
          <w:p>
            <w:pPr>
              <w:jc w:val="center"/>
            </w:pPr>
            <w:r>
              <w:rPr>
                <w:color w:val="000000"/>
                <w:sz w:val="24"/>
                <w:szCs w:val="24"/>
              </w:rPr>
              <w:t>33.43%</w:t>
            </w:r>
          </w:p>
        </w:tc>
        <w:tc>
          <w:tcPr>
            <w:vAlign w:val="center"/>
          </w:tcPr>
          <w:p>
            <w:pPr>
              <w:jc w:val="center"/>
            </w:pPr>
            <w:r>
              <w:rPr>
                <w:color w:val="000000"/>
                <w:sz w:val="24"/>
                <w:szCs w:val="24"/>
              </w:rPr>
              <w:t>1.15%</w:t>
            </w:r>
          </w:p>
        </w:tc>
        <w:tc>
          <w:tcPr>
            <w:vAlign w:val="center"/>
          </w:tcPr>
          <w:p>
            <w:pPr>
              <w:jc w:val="center"/>
            </w:pPr>
            <w:r>
              <w:rPr>
                <w:color w:val="000000"/>
                <w:sz w:val="24"/>
                <w:szCs w:val="24"/>
              </w:rPr>
              <w:t>27.85%</w:t>
            </w:r>
          </w:p>
        </w:tc>
        <w:tc>
          <w:tcPr>
            <w:vAlign w:val="center"/>
          </w:tcPr>
          <w:p>
            <w:pPr>
              <w:jc w:val="center"/>
            </w:pPr>
            <w:r>
              <w:rPr>
                <w:color w:val="000000"/>
                <w:sz w:val="24"/>
                <w:szCs w:val="24"/>
              </w:rPr>
              <w:t>0.65%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143.89%</w:t>
            </w:r>
          </w:p>
        </w:tc>
        <w:tc>
          <w:tcPr>
            <w:vAlign w:val="center"/>
          </w:tcPr>
          <w:p>
            <w:pPr>
              <w:jc w:val="center"/>
            </w:pPr>
            <w:r>
              <w:rPr>
                <w:color w:val="000000"/>
                <w:sz w:val="24"/>
                <w:szCs w:val="24"/>
              </w:rPr>
              <w:t>1.66%</w:t>
            </w:r>
          </w:p>
        </w:tc>
        <w:tc>
          <w:tcPr>
            <w:vAlign w:val="center"/>
          </w:tcPr>
          <w:p>
            <w:pPr>
              <w:jc w:val="center"/>
            </w:pPr>
            <w:r>
              <w:rPr>
                <w:color w:val="000000"/>
                <w:sz w:val="24"/>
                <w:szCs w:val="24"/>
              </w:rPr>
              <w:t>39.09%</w:t>
            </w:r>
          </w:p>
        </w:tc>
        <w:tc>
          <w:tcPr>
            <w:vAlign w:val="center"/>
          </w:tcPr>
          <w:p>
            <w:pPr>
              <w:jc w:val="center"/>
            </w:pPr>
            <w:r>
              <w:rPr>
                <w:color w:val="000000"/>
                <w:sz w:val="24"/>
                <w:szCs w:val="24"/>
              </w:rPr>
              <w:t>1.10%</w:t>
            </w:r>
          </w:p>
        </w:tc>
        <w:tc>
          <w:tcPr>
            <w:vAlign w:val="center"/>
          </w:tcPr>
          <w:p>
            <w:pPr>
              <w:jc w:val="center"/>
            </w:pPr>
            <w:r>
              <w:rPr>
                <w:color w:val="000000"/>
                <w:sz w:val="24"/>
                <w:szCs w:val="24"/>
              </w:rPr>
              <w:t>104.80%</w:t>
            </w:r>
          </w:p>
        </w:tc>
        <w:tc>
          <w:tcPr>
            <w:vAlign w:val="center"/>
          </w:tcPr>
          <w:p>
            <w:pPr>
              <w:jc w:val="center"/>
            </w:pPr>
            <w:r>
              <w:rPr>
                <w:color w:val="000000"/>
                <w:sz w:val="24"/>
                <w:szCs w:val="24"/>
              </w:rPr>
              <w:t>0.56%</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121.22%</w:t>
            </w:r>
          </w:p>
        </w:tc>
        <w:tc>
          <w:tcPr>
            <w:vAlign w:val="center"/>
          </w:tcPr>
          <w:p>
            <w:pPr>
              <w:jc w:val="center"/>
            </w:pPr>
            <w:r>
              <w:rPr>
                <w:color w:val="000000"/>
                <w:sz w:val="24"/>
                <w:szCs w:val="24"/>
              </w:rPr>
              <w:t>1.57%</w:t>
            </w:r>
          </w:p>
        </w:tc>
        <w:tc>
          <w:tcPr>
            <w:vAlign w:val="center"/>
          </w:tcPr>
          <w:p>
            <w:pPr>
              <w:jc w:val="center"/>
            </w:pPr>
            <w:r>
              <w:rPr>
                <w:color w:val="000000"/>
                <w:sz w:val="24"/>
                <w:szCs w:val="24"/>
              </w:rPr>
              <w:t>30.51%</w:t>
            </w:r>
          </w:p>
        </w:tc>
        <w:tc>
          <w:tcPr>
            <w:vAlign w:val="center"/>
          </w:tcPr>
          <w:p>
            <w:pPr>
              <w:jc w:val="center"/>
            </w:pPr>
            <w:r>
              <w:rPr>
                <w:color w:val="000000"/>
                <w:sz w:val="24"/>
                <w:szCs w:val="24"/>
              </w:rPr>
              <w:t>1.05%</w:t>
            </w:r>
          </w:p>
        </w:tc>
        <w:tc>
          <w:tcPr>
            <w:vAlign w:val="center"/>
          </w:tcPr>
          <w:p>
            <w:pPr>
              <w:jc w:val="center"/>
            </w:pPr>
            <w:r>
              <w:rPr>
                <w:color w:val="000000"/>
                <w:sz w:val="24"/>
                <w:szCs w:val="24"/>
              </w:rPr>
              <w:t>90.71%</w:t>
            </w:r>
          </w:p>
        </w:tc>
        <w:tc>
          <w:tcPr>
            <w:vAlign w:val="center"/>
          </w:tcPr>
          <w:p>
            <w:pPr>
              <w:jc w:val="center"/>
            </w:pPr>
            <w:r>
              <w:rPr>
                <w:color w:val="000000"/>
                <w:sz w:val="24"/>
                <w:szCs w:val="24"/>
              </w:rPr>
              <w:t>0.52%</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270.54%</w:t>
            </w:r>
          </w:p>
        </w:tc>
        <w:tc>
          <w:tcPr>
            <w:vAlign w:val="center"/>
          </w:tcPr>
          <w:p>
            <w:pPr>
              <w:jc w:val="center"/>
            </w:pPr>
            <w:r>
              <w:rPr>
                <w:color w:val="000000"/>
                <w:sz w:val="24"/>
                <w:szCs w:val="24"/>
              </w:rPr>
              <w:t>1.67%</w:t>
            </w:r>
          </w:p>
        </w:tc>
        <w:tc>
          <w:tcPr>
            <w:vAlign w:val="center"/>
          </w:tcPr>
          <w:p>
            <w:pPr>
              <w:jc w:val="center"/>
            </w:pPr>
            <w:r>
              <w:rPr>
                <w:color w:val="000000"/>
                <w:sz w:val="24"/>
                <w:szCs w:val="24"/>
              </w:rPr>
              <w:t>75.06%</w:t>
            </w:r>
          </w:p>
        </w:tc>
        <w:tc>
          <w:tcPr>
            <w:vAlign w:val="center"/>
          </w:tcPr>
          <w:p>
            <w:pPr>
              <w:jc w:val="center"/>
            </w:pPr>
            <w:r>
              <w:rPr>
                <w:color w:val="000000"/>
                <w:sz w:val="24"/>
                <w:szCs w:val="24"/>
              </w:rPr>
              <w:t>1.19%</w:t>
            </w:r>
          </w:p>
        </w:tc>
        <w:tc>
          <w:tcPr>
            <w:vAlign w:val="center"/>
          </w:tcPr>
          <w:p>
            <w:pPr>
              <w:jc w:val="center"/>
            </w:pPr>
            <w:r>
              <w:rPr>
                <w:color w:val="000000"/>
                <w:sz w:val="24"/>
                <w:szCs w:val="24"/>
              </w:rPr>
              <w:t>195.48%</w:t>
            </w:r>
          </w:p>
        </w:tc>
        <w:tc>
          <w:tcPr>
            <w:vAlign w:val="center"/>
          </w:tcPr>
          <w:p>
            <w:pPr>
              <w:jc w:val="center"/>
            </w:pPr>
            <w:r>
              <w:rPr>
                <w:color w:val="000000"/>
                <w:sz w:val="24"/>
                <w:szCs w:val="24"/>
              </w:rPr>
              <w:t>0.48%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富时中国A600成长指数收益率+25%×中信标普全债指数收益率”变更为“75%×富时中国A600成长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交银施罗德成长30混合型证券投资基金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2013年6月5日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交银成长30混合、交银经济新动力混合、交银创新领航混合的基金经理</w:t>
            </w:r>
          </w:p>
        </w:tc>
        <w:tc>
          <w:tcPr>
            <w:vAlign w:val="center"/>
          </w:tcPr>
          <w:p>
            <w:pPr>
              <w:jc w:val="center"/>
            </w:pPr>
            <w:r>
              <w:rPr>
                <w:color w:val="000000"/>
                <w:sz w:val="24"/>
                <w:szCs w:val="24"/>
              </w:rPr>
              <w:t>2017-09-26</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2020年四季度，市场继续演绎极致分化，“不能被时代所改变”以及“改变时代”的两类资产成为A股市场表现最好的两个板块。</w:t>
      </w:r>
    </w:p>
    <w:p>
      <w:pPr>
        <w:spacing w:before="29" w:line="288" w:lineRule="auto"/>
        <w:ind w:firstLine="480" w:firstLineChars="200"/>
        <w:rPr>
          <w:color w:val="000000"/>
          <w:sz w:val="24"/>
          <w:szCs w:val="24"/>
        </w:rPr>
      </w:pPr>
      <w:r>
        <w:rPr>
          <w:color w:val="000000"/>
          <w:sz w:val="24"/>
          <w:szCs w:val="24"/>
        </w:rPr>
        <w:t>报告期内，本基金重点配置了新能源汽车、军工元器件、创新硬件、消费建材以及外需复苏等领域的个股。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随着货币政策的进一步常态化回归以及新股供给的不断增加，我们对流动性推升的估值扩张型个股更加谨慎。我们更为审慎地考量组合持仓背后估值与当期业绩以及远期空间之间的匹配度。在4G/5G代际之交、新能源革命已然启动、数据经济/企业数字化转型加速到来的当下，我们认为科技成长仍将是未来相当长一段时间内市场的主线。同时，跳出科技成长的狭隘边界，以更包容的视野，我们可以看到，在国民经济的各个产业，强者恒强的产业集中度提升、追求效率的工业化规模化转型、庞大内需支撑下的国产配套崛起共同催生了更多传统领域成长股的投资机遇。我们有幸已经挖掘出并持有一批估值具备吸引力的优质成长股，它们或顺应产业爆发的趋势，或有望成长为细分行业的隐形冠军。本基金将持续挖掘行业成长空间广阔、具备核心竞争力的公司，力求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2,119,894,239.75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2,119,894,239.75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93.47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131,837,318.61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16,342,468.77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2,268,074,027.13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1,954,573,355.92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35,730,410.70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129,590,473.13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2,119,894,239.75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94.66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2,676,439</w:t>
            </w:r>
          </w:p>
        </w:tc>
        <w:tc>
          <w:tcPr>
            <w:vAlign w:val="center"/>
          </w:tcPr>
          <w:p>
            <w:pPr>
              <w:jc w:val="right"/>
            </w:pPr>
            <w:r>
              <w:rPr>
                <w:color w:val="000000"/>
                <w:sz w:val="24"/>
                <w:szCs w:val="24"/>
              </w:rPr>
              <w:t>218,129,778.50</w:t>
            </w:r>
          </w:p>
        </w:tc>
        <w:tc>
          <w:tcPr>
            <w:vAlign w:val="center"/>
          </w:tcPr>
          <w:p>
            <w:pPr>
              <w:jc w:val="right"/>
            </w:pPr>
            <w:r>
              <w:rPr>
                <w:color w:val="000000"/>
                <w:sz w:val="24"/>
                <w:szCs w:val="24"/>
              </w:rPr>
              <w:t>9.74</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1,541,140</w:t>
            </w:r>
          </w:p>
        </w:tc>
        <w:tc>
          <w:tcPr>
            <w:vAlign w:val="center"/>
          </w:tcPr>
          <w:p>
            <w:pPr>
              <w:jc w:val="right"/>
            </w:pPr>
            <w:r>
              <w:rPr>
                <w:color w:val="000000"/>
                <w:sz w:val="24"/>
                <w:szCs w:val="24"/>
              </w:rPr>
              <w:t>206,219,943.40</w:t>
            </w:r>
          </w:p>
        </w:tc>
        <w:tc>
          <w:tcPr>
            <w:vAlign w:val="center"/>
          </w:tcPr>
          <w:p>
            <w:pPr>
              <w:jc w:val="right"/>
            </w:pPr>
            <w:r>
              <w:rPr>
                <w:color w:val="000000"/>
                <w:sz w:val="24"/>
                <w:szCs w:val="24"/>
              </w:rPr>
              <w:t>9.21</w:t>
            </w:r>
          </w:p>
        </w:tc>
      </w:tr>
      <w:tr>
        <w:tc>
          <w:tcPr>
            <w:vAlign w:val="center"/>
          </w:tcPr>
          <w:p>
            <w:pPr>
              <w:jc w:val="center"/>
            </w:pPr>
            <w:r>
              <w:rPr>
                <w:color w:val="000000"/>
                <w:sz w:val="24"/>
                <w:szCs w:val="24"/>
              </w:rPr>
              <w:t>3</w:t>
            </w:r>
          </w:p>
        </w:tc>
        <w:tc>
          <w:tcPr>
            <w:vAlign w:val="center"/>
          </w:tcPr>
          <w:p>
            <w:pPr>
              <w:jc w:val="center"/>
            </w:pPr>
            <w:r>
              <w:rPr>
                <w:color w:val="000000"/>
                <w:sz w:val="24"/>
                <w:szCs w:val="24"/>
              </w:rPr>
              <w:t>300408</w:t>
            </w:r>
          </w:p>
        </w:tc>
        <w:tc>
          <w:tcPr>
            <w:vAlign w:val="center"/>
          </w:tcPr>
          <w:p>
            <w:pPr>
              <w:jc w:val="center"/>
            </w:pPr>
            <w:r>
              <w:rPr>
                <w:color w:val="000000"/>
                <w:sz w:val="24"/>
                <w:szCs w:val="24"/>
              </w:rPr>
              <w:t>三环集团</w:t>
            </w:r>
          </w:p>
        </w:tc>
        <w:tc>
          <w:tcPr>
            <w:vAlign w:val="center"/>
          </w:tcPr>
          <w:p>
            <w:pPr>
              <w:jc w:val="right"/>
            </w:pPr>
            <w:r>
              <w:rPr>
                <w:color w:val="000000"/>
                <w:sz w:val="24"/>
                <w:szCs w:val="24"/>
              </w:rPr>
              <w:t>5,249,104</w:t>
            </w:r>
          </w:p>
        </w:tc>
        <w:tc>
          <w:tcPr>
            <w:vAlign w:val="center"/>
          </w:tcPr>
          <w:p>
            <w:pPr>
              <w:jc w:val="right"/>
            </w:pPr>
            <w:r>
              <w:rPr>
                <w:color w:val="000000"/>
                <w:sz w:val="24"/>
                <w:szCs w:val="24"/>
              </w:rPr>
              <w:t>195,529,124.00</w:t>
            </w:r>
          </w:p>
        </w:tc>
        <w:tc>
          <w:tcPr>
            <w:vAlign w:val="center"/>
          </w:tcPr>
          <w:p>
            <w:pPr>
              <w:jc w:val="right"/>
            </w:pPr>
            <w:r>
              <w:rPr>
                <w:color w:val="000000"/>
                <w:sz w:val="24"/>
                <w:szCs w:val="24"/>
              </w:rPr>
              <w:t>8.73</w:t>
            </w:r>
          </w:p>
        </w:tc>
      </w:tr>
      <w:tr>
        <w:tc>
          <w:tcPr>
            <w:vAlign w:val="center"/>
          </w:tcPr>
          <w:p>
            <w:pPr>
              <w:jc w:val="center"/>
            </w:pPr>
            <w:r>
              <w:rPr>
                <w:color w:val="000000"/>
                <w:sz w:val="24"/>
                <w:szCs w:val="24"/>
              </w:rPr>
              <w:t>4</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3,220,883</w:t>
            </w:r>
          </w:p>
        </w:tc>
        <w:tc>
          <w:tcPr>
            <w:vAlign w:val="center"/>
          </w:tcPr>
          <w:p>
            <w:pPr>
              <w:jc w:val="right"/>
            </w:pPr>
            <w:r>
              <w:rPr>
                <w:color w:val="000000"/>
                <w:sz w:val="24"/>
                <w:szCs w:val="24"/>
              </w:rPr>
              <w:t>180,755,953.96</w:t>
            </w:r>
          </w:p>
        </w:tc>
        <w:tc>
          <w:tcPr>
            <w:vAlign w:val="center"/>
          </w:tcPr>
          <w:p>
            <w:pPr>
              <w:jc w:val="right"/>
            </w:pPr>
            <w:r>
              <w:rPr>
                <w:color w:val="000000"/>
                <w:sz w:val="24"/>
                <w:szCs w:val="24"/>
              </w:rPr>
              <w:t>8.07</w:t>
            </w:r>
          </w:p>
        </w:tc>
      </w:tr>
      <w:tr>
        <w:tc>
          <w:tcPr>
            <w:vAlign w:val="center"/>
          </w:tcPr>
          <w:p>
            <w:pPr>
              <w:jc w:val="center"/>
            </w:pPr>
            <w:r>
              <w:rPr>
                <w:color w:val="000000"/>
                <w:sz w:val="24"/>
                <w:szCs w:val="24"/>
              </w:rPr>
              <w:t>5</w:t>
            </w:r>
          </w:p>
        </w:tc>
        <w:tc>
          <w:tcPr>
            <w:vAlign w:val="center"/>
          </w:tcPr>
          <w:p>
            <w:pPr>
              <w:jc w:val="center"/>
            </w:pPr>
            <w:r>
              <w:rPr>
                <w:color w:val="000000"/>
                <w:sz w:val="24"/>
                <w:szCs w:val="24"/>
              </w:rPr>
              <w:t>002179</w:t>
            </w:r>
          </w:p>
        </w:tc>
        <w:tc>
          <w:tcPr>
            <w:vAlign w:val="center"/>
          </w:tcPr>
          <w:p>
            <w:pPr>
              <w:jc w:val="center"/>
            </w:pPr>
            <w:r>
              <w:rPr>
                <w:color w:val="000000"/>
                <w:sz w:val="24"/>
                <w:szCs w:val="24"/>
              </w:rPr>
              <w:t>中航光电</w:t>
            </w:r>
          </w:p>
        </w:tc>
        <w:tc>
          <w:tcPr>
            <w:vAlign w:val="center"/>
          </w:tcPr>
          <w:p>
            <w:pPr>
              <w:jc w:val="right"/>
            </w:pPr>
            <w:r>
              <w:rPr>
                <w:color w:val="000000"/>
                <w:sz w:val="24"/>
                <w:szCs w:val="24"/>
              </w:rPr>
              <w:t>2,072,900</w:t>
            </w:r>
          </w:p>
        </w:tc>
        <w:tc>
          <w:tcPr>
            <w:vAlign w:val="center"/>
          </w:tcPr>
          <w:p>
            <w:pPr>
              <w:jc w:val="right"/>
            </w:pPr>
            <w:r>
              <w:rPr>
                <w:color w:val="000000"/>
                <w:sz w:val="24"/>
                <w:szCs w:val="24"/>
              </w:rPr>
              <w:t>162,287,341.00</w:t>
            </w:r>
          </w:p>
        </w:tc>
        <w:tc>
          <w:tcPr>
            <w:vAlign w:val="center"/>
          </w:tcPr>
          <w:p>
            <w:pPr>
              <w:jc w:val="right"/>
            </w:pPr>
            <w:r>
              <w:rPr>
                <w:color w:val="000000"/>
                <w:sz w:val="24"/>
                <w:szCs w:val="24"/>
              </w:rPr>
              <w:t>7.25</w:t>
            </w:r>
          </w:p>
        </w:tc>
      </w:tr>
      <w:tr>
        <w:tc>
          <w:tcPr>
            <w:vAlign w:val="center"/>
          </w:tcPr>
          <w:p>
            <w:pPr>
              <w:jc w:val="center"/>
            </w:pPr>
            <w:r>
              <w:rPr>
                <w:color w:val="000000"/>
                <w:sz w:val="24"/>
                <w:szCs w:val="24"/>
              </w:rPr>
              <w:t>6</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4,150,125</w:t>
            </w:r>
          </w:p>
        </w:tc>
        <w:tc>
          <w:tcPr>
            <w:vAlign w:val="center"/>
          </w:tcPr>
          <w:p>
            <w:pPr>
              <w:jc w:val="right"/>
            </w:pPr>
            <w:r>
              <w:rPr>
                <w:color w:val="000000"/>
                <w:sz w:val="24"/>
                <w:szCs w:val="24"/>
              </w:rPr>
              <w:t>161,024,850.00</w:t>
            </w:r>
          </w:p>
        </w:tc>
        <w:tc>
          <w:tcPr>
            <w:vAlign w:val="center"/>
          </w:tcPr>
          <w:p>
            <w:pPr>
              <w:jc w:val="right"/>
            </w:pPr>
            <w:r>
              <w:rPr>
                <w:color w:val="000000"/>
                <w:sz w:val="24"/>
                <w:szCs w:val="24"/>
              </w:rPr>
              <w:t>7.19</w:t>
            </w:r>
          </w:p>
        </w:tc>
      </w:tr>
      <w:tr>
        <w:tc>
          <w:tcPr>
            <w:vAlign w:val="center"/>
          </w:tcPr>
          <w:p>
            <w:pPr>
              <w:jc w:val="center"/>
            </w:pPr>
            <w:r>
              <w:rPr>
                <w:color w:val="000000"/>
                <w:sz w:val="24"/>
                <w:szCs w:val="24"/>
              </w:rPr>
              <w:t>7</w:t>
            </w:r>
          </w:p>
        </w:tc>
        <w:tc>
          <w:tcPr>
            <w:vAlign w:val="center"/>
          </w:tcPr>
          <w:p>
            <w:pPr>
              <w:jc w:val="center"/>
            </w:pPr>
            <w:r>
              <w:rPr>
                <w:color w:val="000000"/>
                <w:sz w:val="24"/>
                <w:szCs w:val="24"/>
              </w:rPr>
              <w:t>002444</w:t>
            </w:r>
          </w:p>
        </w:tc>
        <w:tc>
          <w:tcPr>
            <w:vAlign w:val="center"/>
          </w:tcPr>
          <w:p>
            <w:pPr>
              <w:jc w:val="center"/>
            </w:pPr>
            <w:r>
              <w:rPr>
                <w:color w:val="000000"/>
                <w:sz w:val="24"/>
                <w:szCs w:val="24"/>
              </w:rPr>
              <w:t>巨星科技</w:t>
            </w:r>
          </w:p>
        </w:tc>
        <w:tc>
          <w:tcPr>
            <w:vAlign w:val="center"/>
          </w:tcPr>
          <w:p>
            <w:pPr>
              <w:jc w:val="right"/>
            </w:pPr>
            <w:r>
              <w:rPr>
                <w:color w:val="000000"/>
                <w:sz w:val="24"/>
                <w:szCs w:val="24"/>
              </w:rPr>
              <w:t>3,862,201</w:t>
            </w:r>
          </w:p>
        </w:tc>
        <w:tc>
          <w:tcPr>
            <w:vAlign w:val="center"/>
          </w:tcPr>
          <w:p>
            <w:pPr>
              <w:jc w:val="right"/>
            </w:pPr>
            <w:r>
              <w:rPr>
                <w:color w:val="000000"/>
                <w:sz w:val="24"/>
                <w:szCs w:val="24"/>
              </w:rPr>
              <w:t>120,153,073.11</w:t>
            </w:r>
          </w:p>
        </w:tc>
        <w:tc>
          <w:tcPr>
            <w:vAlign w:val="center"/>
          </w:tcPr>
          <w:p>
            <w:pPr>
              <w:jc w:val="right"/>
            </w:pPr>
            <w:r>
              <w:rPr>
                <w:color w:val="000000"/>
                <w:sz w:val="24"/>
                <w:szCs w:val="24"/>
              </w:rPr>
              <w:t>5.37</w:t>
            </w:r>
          </w:p>
        </w:tc>
      </w:tr>
      <w:tr>
        <w:tc>
          <w:tcPr>
            <w:vAlign w:val="center"/>
          </w:tcPr>
          <w:p>
            <w:pPr>
              <w:jc w:val="center"/>
            </w:pPr>
            <w:r>
              <w:rPr>
                <w:color w:val="000000"/>
                <w:sz w:val="24"/>
                <w:szCs w:val="24"/>
              </w:rPr>
              <w:t>8</w:t>
            </w:r>
          </w:p>
        </w:tc>
        <w:tc>
          <w:tcPr>
            <w:vAlign w:val="center"/>
          </w:tcPr>
          <w:p>
            <w:pPr>
              <w:jc w:val="center"/>
            </w:pPr>
            <w:r>
              <w:rPr>
                <w:color w:val="000000"/>
                <w:sz w:val="24"/>
                <w:szCs w:val="24"/>
              </w:rPr>
              <w:t>603799</w:t>
            </w:r>
          </w:p>
        </w:tc>
        <w:tc>
          <w:tcPr>
            <w:vAlign w:val="center"/>
          </w:tcPr>
          <w:p>
            <w:pPr>
              <w:jc w:val="center"/>
            </w:pPr>
            <w:r>
              <w:rPr>
                <w:color w:val="000000"/>
                <w:sz w:val="24"/>
                <w:szCs w:val="24"/>
              </w:rPr>
              <w:t>华友钴业</w:t>
            </w:r>
          </w:p>
        </w:tc>
        <w:tc>
          <w:tcPr>
            <w:vAlign w:val="center"/>
          </w:tcPr>
          <w:p>
            <w:pPr>
              <w:jc w:val="right"/>
            </w:pPr>
            <w:r>
              <w:rPr>
                <w:color w:val="000000"/>
                <w:sz w:val="24"/>
                <w:szCs w:val="24"/>
              </w:rPr>
              <w:t>1,469,520</w:t>
            </w:r>
          </w:p>
        </w:tc>
        <w:tc>
          <w:tcPr>
            <w:vAlign w:val="center"/>
          </w:tcPr>
          <w:p>
            <w:pPr>
              <w:jc w:val="right"/>
            </w:pPr>
            <w:r>
              <w:rPr>
                <w:color w:val="000000"/>
                <w:sz w:val="24"/>
                <w:szCs w:val="24"/>
              </w:rPr>
              <w:t>116,532,936.00</w:t>
            </w:r>
          </w:p>
        </w:tc>
        <w:tc>
          <w:tcPr>
            <w:vAlign w:val="center"/>
          </w:tcPr>
          <w:p>
            <w:pPr>
              <w:jc w:val="right"/>
            </w:pPr>
            <w:r>
              <w:rPr>
                <w:color w:val="000000"/>
                <w:sz w:val="24"/>
                <w:szCs w:val="24"/>
              </w:rPr>
              <w:t>5.20</w:t>
            </w:r>
          </w:p>
        </w:tc>
      </w:tr>
      <w:tr>
        <w:tc>
          <w:tcPr>
            <w:vAlign w:val="center"/>
          </w:tcPr>
          <w:p>
            <w:pPr>
              <w:jc w:val="center"/>
            </w:pPr>
            <w:r>
              <w:rPr>
                <w:color w:val="000000"/>
                <w:sz w:val="24"/>
                <w:szCs w:val="24"/>
              </w:rPr>
              <w:t>9</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4,037,115</w:t>
            </w:r>
          </w:p>
        </w:tc>
        <w:tc>
          <w:tcPr>
            <w:vAlign w:val="center"/>
          </w:tcPr>
          <w:p>
            <w:pPr>
              <w:jc w:val="right"/>
            </w:pPr>
            <w:r>
              <w:rPr>
                <w:color w:val="000000"/>
                <w:sz w:val="24"/>
                <w:szCs w:val="24"/>
              </w:rPr>
              <w:t>99,514,884.75</w:t>
            </w:r>
          </w:p>
        </w:tc>
        <w:tc>
          <w:tcPr>
            <w:vAlign w:val="center"/>
          </w:tcPr>
          <w:p>
            <w:pPr>
              <w:jc w:val="right"/>
            </w:pPr>
            <w:r>
              <w:rPr>
                <w:color w:val="000000"/>
                <w:sz w:val="24"/>
                <w:szCs w:val="24"/>
              </w:rPr>
              <w:t>4.44</w:t>
            </w:r>
          </w:p>
        </w:tc>
      </w:tr>
      <w:tr>
        <w:tc>
          <w:tcPr>
            <w:vAlign w:val="center"/>
          </w:tcPr>
          <w:p>
            <w:pPr>
              <w:jc w:val="center"/>
            </w:pPr>
            <w:r>
              <w:rPr>
                <w:color w:val="000000"/>
                <w:sz w:val="24"/>
                <w:szCs w:val="24"/>
              </w:rPr>
              <w:t>10</w:t>
            </w:r>
          </w:p>
        </w:tc>
        <w:tc>
          <w:tcPr>
            <w:vAlign w:val="center"/>
          </w:tcPr>
          <w:p>
            <w:pPr>
              <w:jc w:val="center"/>
            </w:pPr>
            <w:r>
              <w:rPr>
                <w:color w:val="000000"/>
                <w:sz w:val="24"/>
                <w:szCs w:val="24"/>
              </w:rPr>
              <w:t>000733</w:t>
            </w:r>
          </w:p>
        </w:tc>
        <w:tc>
          <w:tcPr>
            <w:vAlign w:val="center"/>
          </w:tcPr>
          <w:p>
            <w:pPr>
              <w:jc w:val="center"/>
            </w:pPr>
            <w:r>
              <w:rPr>
                <w:color w:val="000000"/>
                <w:sz w:val="24"/>
                <w:szCs w:val="24"/>
              </w:rPr>
              <w:t>振华科技</w:t>
            </w:r>
          </w:p>
        </w:tc>
        <w:tc>
          <w:tcPr>
            <w:vAlign w:val="center"/>
          </w:tcPr>
          <w:p>
            <w:pPr>
              <w:jc w:val="right"/>
            </w:pPr>
            <w:r>
              <w:rPr>
                <w:color w:val="000000"/>
                <w:sz w:val="24"/>
                <w:szCs w:val="24"/>
              </w:rPr>
              <w:t>1,435,570</w:t>
            </w:r>
          </w:p>
        </w:tc>
        <w:tc>
          <w:tcPr>
            <w:vAlign w:val="center"/>
          </w:tcPr>
          <w:p>
            <w:pPr>
              <w:jc w:val="right"/>
            </w:pPr>
            <w:r>
              <w:rPr>
                <w:color w:val="000000"/>
                <w:sz w:val="24"/>
                <w:szCs w:val="24"/>
              </w:rPr>
              <w:t>84,483,294.50</w:t>
            </w:r>
          </w:p>
        </w:tc>
        <w:tc>
          <w:tcPr>
            <w:vAlign w:val="center"/>
          </w:tcPr>
          <w:p>
            <w:pPr>
              <w:jc w:val="right"/>
            </w:pPr>
            <w:r>
              <w:rPr>
                <w:color w:val="000000"/>
                <w:sz w:val="24"/>
                <w:szCs w:val="24"/>
              </w:rPr>
              <w:t>3.77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542,879.23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12,165,396.19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15,928.90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3,618,264.45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16,342,468.77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1,029,624,503.74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101,466,403.88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268,049,191.92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863,041,715.70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1、中国证监会批准交银施罗德成长30股票型证券投资基金募集的文件；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2、《交银施罗德成长30混合型证券投资基金基金合同》；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3、《交银施罗德成长30混合型证券投资基金招募说明书》；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4、《交银施罗德成长30混合型证券投资基金托管协议》；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5、关于募集交银施罗德成长30股票型证券投资基金之法律意见书；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8、报告期内交银施罗德成长30混合型证券投资基金在指定报刊上各项公告的原稿。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交银施罗德成长30混合型证券投资基金2020年第4季度报告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