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2019年1月24日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3,679,374,401.43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中债综合财富（1年以下）指数收益率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006793</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006794</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3,665,876,080.63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13,498,320.80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交银稳鑫短债债券A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交银稳鑫短债债券C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22,027,635.75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72,857.85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23,042,537.34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78,288.14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0.0068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0.0057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3,847,315,859.53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14,056,931.00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1.0414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交银稳鑫短债债券A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0.65%</w:t>
            </w:r>
          </w:p>
        </w:tc>
        <w:tc>
          <w:tcPr>
            <w:vAlign w:val="center"/>
          </w:tcPr>
          <w:p>
            <w:pPr>
              <w:jc w:val="center"/>
            </w:pPr>
            <w:r>
              <w:rPr>
                <w:color w:val="000000"/>
                <w:sz w:val="24"/>
              </w:rPr>
              <w:t>0.02%</w:t>
            </w:r>
          </w:p>
        </w:tc>
        <w:tc>
          <w:tcPr>
            <w:vAlign w:val="center"/>
          </w:tcPr>
          <w:p>
            <w:pPr>
              <w:jc w:val="center"/>
            </w:pPr>
            <w:r>
              <w:rPr>
                <w:color w:val="000000"/>
                <w:sz w:val="24"/>
              </w:rPr>
              <w:t>0.74%</w:t>
            </w:r>
          </w:p>
        </w:tc>
        <w:tc>
          <w:tcPr>
            <w:vAlign w:val="center"/>
          </w:tcPr>
          <w:p>
            <w:pPr>
              <w:jc w:val="center"/>
            </w:pPr>
            <w:r>
              <w:rPr>
                <w:color w:val="000000"/>
                <w:sz w:val="24"/>
              </w:rPr>
              <w:t>0.02%</w:t>
            </w:r>
          </w:p>
        </w:tc>
        <w:tc>
          <w:tcPr>
            <w:vAlign w:val="center"/>
          </w:tcPr>
          <w:p>
            <w:pPr>
              <w:jc w:val="center"/>
            </w:pPr>
            <w:r>
              <w:rPr>
                <w:color w:val="000000"/>
                <w:sz w:val="24"/>
              </w:rPr>
              <w:t>-0.09%</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1.10%</w:t>
            </w:r>
          </w:p>
        </w:tc>
        <w:tc>
          <w:tcPr>
            <w:vAlign w:val="center"/>
          </w:tcPr>
          <w:p>
            <w:pPr>
              <w:jc w:val="center"/>
            </w:pPr>
            <w:r>
              <w:rPr>
                <w:color w:val="000000"/>
                <w:sz w:val="24"/>
              </w:rPr>
              <w:t>0.02%</w:t>
            </w:r>
          </w:p>
        </w:tc>
        <w:tc>
          <w:tcPr>
            <w:vAlign w:val="center"/>
          </w:tcPr>
          <w:p>
            <w:pPr>
              <w:jc w:val="center"/>
            </w:pPr>
            <w:r>
              <w:rPr>
                <w:color w:val="000000"/>
                <w:sz w:val="24"/>
              </w:rPr>
              <w:t>1.23%</w:t>
            </w:r>
          </w:p>
        </w:tc>
        <w:tc>
          <w:tcPr>
            <w:vAlign w:val="center"/>
          </w:tcPr>
          <w:p>
            <w:pPr>
              <w:jc w:val="center"/>
            </w:pPr>
            <w:r>
              <w:rPr>
                <w:color w:val="000000"/>
                <w:sz w:val="24"/>
              </w:rPr>
              <w:t>0.01%</w:t>
            </w:r>
          </w:p>
        </w:tc>
        <w:tc>
          <w:tcPr>
            <w:vAlign w:val="center"/>
          </w:tcPr>
          <w:p>
            <w:pPr>
              <w:jc w:val="center"/>
            </w:pPr>
            <w:r>
              <w:rPr>
                <w:color w:val="000000"/>
                <w:sz w:val="24"/>
              </w:rPr>
              <w:t>-0.13%</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2.68%</w:t>
            </w:r>
          </w:p>
        </w:tc>
        <w:tc>
          <w:tcPr>
            <w:vAlign w:val="center"/>
          </w:tcPr>
          <w:p>
            <w:pPr>
              <w:jc w:val="center"/>
            </w:pPr>
            <w:r>
              <w:rPr>
                <w:color w:val="000000"/>
                <w:sz w:val="24"/>
              </w:rPr>
              <w:t>0.03%</w:t>
            </w:r>
          </w:p>
        </w:tc>
        <w:tc>
          <w:tcPr>
            <w:vAlign w:val="center"/>
          </w:tcPr>
          <w:p>
            <w:pPr>
              <w:jc w:val="center"/>
            </w:pPr>
            <w:r>
              <w:rPr>
                <w:color w:val="000000"/>
                <w:sz w:val="24"/>
              </w:rPr>
              <w:t>2.48%</w:t>
            </w:r>
          </w:p>
        </w:tc>
        <w:tc>
          <w:tcPr>
            <w:vAlign w:val="center"/>
          </w:tcPr>
          <w:p>
            <w:pPr>
              <w:jc w:val="center"/>
            </w:pPr>
            <w:r>
              <w:rPr>
                <w:color w:val="000000"/>
                <w:sz w:val="24"/>
              </w:rPr>
              <w:t>0.02%</w:t>
            </w:r>
          </w:p>
        </w:tc>
        <w:tc>
          <w:tcPr>
            <w:vAlign w:val="center"/>
          </w:tcPr>
          <w:p>
            <w:pPr>
              <w:jc w:val="center"/>
            </w:pPr>
            <w:r>
              <w:rPr>
                <w:color w:val="000000"/>
                <w:sz w:val="24"/>
              </w:rPr>
              <w:t>0.20%</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5.97%</w:t>
            </w:r>
          </w:p>
        </w:tc>
        <w:tc>
          <w:tcPr>
            <w:vAlign w:val="center"/>
          </w:tcPr>
          <w:p>
            <w:pPr>
              <w:jc w:val="center"/>
            </w:pPr>
            <w:r>
              <w:rPr>
                <w:color w:val="000000"/>
                <w:sz w:val="24"/>
              </w:rPr>
              <w:t>0.02%</w:t>
            </w:r>
          </w:p>
        </w:tc>
        <w:tc>
          <w:tcPr>
            <w:vAlign w:val="center"/>
          </w:tcPr>
          <w:p>
            <w:pPr>
              <w:jc w:val="center"/>
            </w:pPr>
            <w:r>
              <w:rPr>
                <w:color w:val="000000"/>
                <w:sz w:val="24"/>
              </w:rPr>
              <w:t>5.59%</w:t>
            </w:r>
          </w:p>
        </w:tc>
        <w:tc>
          <w:tcPr>
            <w:vAlign w:val="center"/>
          </w:tcPr>
          <w:p>
            <w:pPr>
              <w:jc w:val="center"/>
            </w:pPr>
            <w:r>
              <w:rPr>
                <w:color w:val="000000"/>
                <w:sz w:val="24"/>
              </w:rPr>
              <w:t>0.02%</w:t>
            </w:r>
          </w:p>
        </w:tc>
        <w:tc>
          <w:tcPr>
            <w:vAlign w:val="center"/>
          </w:tcPr>
          <w:p>
            <w:pPr>
              <w:jc w:val="center"/>
            </w:pPr>
            <w:r>
              <w:rPr>
                <w:color w:val="000000"/>
                <w:sz w:val="24"/>
              </w:rPr>
              <w:t>0.38%</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交银稳鑫短债债券C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0.55%</w:t>
            </w:r>
          </w:p>
        </w:tc>
        <w:tc>
          <w:tcPr>
            <w:vAlign w:val="center"/>
          </w:tcPr>
          <w:p>
            <w:pPr>
              <w:jc w:val="center"/>
            </w:pPr>
            <w:r>
              <w:rPr>
                <w:color w:val="000000"/>
                <w:sz w:val="24"/>
              </w:rPr>
              <w:t>0.02%</w:t>
            </w:r>
          </w:p>
        </w:tc>
        <w:tc>
          <w:tcPr>
            <w:vAlign w:val="center"/>
          </w:tcPr>
          <w:p>
            <w:pPr>
              <w:jc w:val="center"/>
            </w:pPr>
            <w:r>
              <w:rPr>
                <w:color w:val="000000"/>
                <w:sz w:val="24"/>
              </w:rPr>
              <w:t>0.74%</w:t>
            </w:r>
          </w:p>
        </w:tc>
        <w:tc>
          <w:tcPr>
            <w:vAlign w:val="center"/>
          </w:tcPr>
          <w:p>
            <w:pPr>
              <w:jc w:val="center"/>
            </w:pPr>
            <w:r>
              <w:rPr>
                <w:color w:val="000000"/>
                <w:sz w:val="24"/>
              </w:rPr>
              <w:t>0.02%</w:t>
            </w:r>
          </w:p>
        </w:tc>
        <w:tc>
          <w:tcPr>
            <w:vAlign w:val="center"/>
          </w:tcPr>
          <w:p>
            <w:pPr>
              <w:jc w:val="center"/>
            </w:pPr>
            <w:r>
              <w:rPr>
                <w:color w:val="000000"/>
                <w:sz w:val="24"/>
              </w:rPr>
              <w:t>-0.19%</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0.90%</w:t>
            </w:r>
          </w:p>
        </w:tc>
        <w:tc>
          <w:tcPr>
            <w:vAlign w:val="center"/>
          </w:tcPr>
          <w:p>
            <w:pPr>
              <w:jc w:val="center"/>
            </w:pPr>
            <w:r>
              <w:rPr>
                <w:color w:val="000000"/>
                <w:sz w:val="24"/>
              </w:rPr>
              <w:t>0.02%</w:t>
            </w:r>
          </w:p>
        </w:tc>
        <w:tc>
          <w:tcPr>
            <w:vAlign w:val="center"/>
          </w:tcPr>
          <w:p>
            <w:pPr>
              <w:jc w:val="center"/>
            </w:pPr>
            <w:r>
              <w:rPr>
                <w:color w:val="000000"/>
                <w:sz w:val="24"/>
              </w:rPr>
              <w:t>1.23%</w:t>
            </w:r>
          </w:p>
        </w:tc>
        <w:tc>
          <w:tcPr>
            <w:vAlign w:val="center"/>
          </w:tcPr>
          <w:p>
            <w:pPr>
              <w:jc w:val="center"/>
            </w:pPr>
            <w:r>
              <w:rPr>
                <w:color w:val="000000"/>
                <w:sz w:val="24"/>
              </w:rPr>
              <w:t>0.01%</w:t>
            </w:r>
          </w:p>
        </w:tc>
        <w:tc>
          <w:tcPr>
            <w:vAlign w:val="center"/>
          </w:tcPr>
          <w:p>
            <w:pPr>
              <w:jc w:val="center"/>
            </w:pPr>
            <w:r>
              <w:rPr>
                <w:color w:val="000000"/>
                <w:sz w:val="24"/>
              </w:rPr>
              <w:t>-0.33%</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2.26%</w:t>
            </w:r>
          </w:p>
        </w:tc>
        <w:tc>
          <w:tcPr>
            <w:vAlign w:val="center"/>
          </w:tcPr>
          <w:p>
            <w:pPr>
              <w:jc w:val="center"/>
            </w:pPr>
            <w:r>
              <w:rPr>
                <w:color w:val="000000"/>
                <w:sz w:val="24"/>
              </w:rPr>
              <w:t>0.03%</w:t>
            </w:r>
          </w:p>
        </w:tc>
        <w:tc>
          <w:tcPr>
            <w:vAlign w:val="center"/>
          </w:tcPr>
          <w:p>
            <w:pPr>
              <w:jc w:val="center"/>
            </w:pPr>
            <w:r>
              <w:rPr>
                <w:color w:val="000000"/>
                <w:sz w:val="24"/>
              </w:rPr>
              <w:t>2.48%</w:t>
            </w:r>
          </w:p>
        </w:tc>
        <w:tc>
          <w:tcPr>
            <w:vAlign w:val="center"/>
          </w:tcPr>
          <w:p>
            <w:pPr>
              <w:jc w:val="center"/>
            </w:pPr>
            <w:r>
              <w:rPr>
                <w:color w:val="000000"/>
                <w:sz w:val="24"/>
              </w:rPr>
              <w:t>0.02%</w:t>
            </w:r>
          </w:p>
        </w:tc>
        <w:tc>
          <w:tcPr>
            <w:vAlign w:val="center"/>
          </w:tcPr>
          <w:p>
            <w:pPr>
              <w:jc w:val="center"/>
            </w:pPr>
            <w:r>
              <w:rPr>
                <w:color w:val="000000"/>
                <w:sz w:val="24"/>
              </w:rPr>
              <w:t>-0.22%</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5.16%</w:t>
            </w:r>
          </w:p>
        </w:tc>
        <w:tc>
          <w:tcPr>
            <w:vAlign w:val="center"/>
          </w:tcPr>
          <w:p>
            <w:pPr>
              <w:jc w:val="center"/>
            </w:pPr>
            <w:r>
              <w:rPr>
                <w:color w:val="000000"/>
                <w:sz w:val="24"/>
              </w:rPr>
              <w:t>0.02%</w:t>
            </w:r>
          </w:p>
        </w:tc>
        <w:tc>
          <w:tcPr>
            <w:vAlign w:val="center"/>
          </w:tcPr>
          <w:p>
            <w:pPr>
              <w:jc w:val="center"/>
            </w:pPr>
            <w:r>
              <w:rPr>
                <w:color w:val="000000"/>
                <w:sz w:val="24"/>
              </w:rPr>
              <w:t>5.59%</w:t>
            </w:r>
          </w:p>
        </w:tc>
        <w:tc>
          <w:tcPr>
            <w:vAlign w:val="center"/>
          </w:tcPr>
          <w:p>
            <w:pPr>
              <w:jc w:val="center"/>
            </w:pPr>
            <w:r>
              <w:rPr>
                <w:color w:val="000000"/>
                <w:sz w:val="24"/>
              </w:rPr>
              <w:t>0.02%</w:t>
            </w:r>
          </w:p>
        </w:tc>
        <w:tc>
          <w:tcPr>
            <w:vAlign w:val="center"/>
          </w:tcPr>
          <w:p>
            <w:pPr>
              <w:jc w:val="center"/>
            </w:pPr>
            <w:r>
              <w:rPr>
                <w:color w:val="000000"/>
                <w:sz w:val="24"/>
              </w:rPr>
              <w:t>-0.43%</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交银施罗德稳鑫短债债券型证券投资基金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2019年1月24日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交银稳鑫短债债券C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2019-01-24</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在经济数据透露出“结构隐忧”和四季度供需结构优化的双重作用下，小幅下行。之后央行重提总闸门引发货币政策进一步收紧的预期，叠加部分信用债违约风险事件，信用债和短久期利率债经历了大幅下跌。11月下旬随着央行超预期投放流动性，经济工作会议精神明确不会“急转弯”，债券市场在配置力量带动下，收益率转而下行。</w:t>
      </w:r>
    </w:p>
    <w:p>
      <w:pPr>
        <w:spacing w:before="29" w:line="288" w:lineRule="auto"/>
        <w:ind w:firstLine="480" w:firstLineChars="200"/>
        <w:rPr>
          <w:color w:val="000000"/>
          <w:sz w:val="24"/>
        </w:rPr>
      </w:pPr>
      <w:r>
        <w:rPr>
          <w:color w:val="000000"/>
          <w:sz w:val="24"/>
        </w:rPr>
        <w:t>由于央行MLF的超额投放和年底大量的跨年公开市场操作，资金面年底前呈现宽松态势，股份制存款存单收益率也在11月底最高达到3.2%附近见顶后，出现明显的下行，年底下至2.6%附近。</w:t>
      </w:r>
    </w:p>
    <w:p>
      <w:pPr>
        <w:spacing w:before="29" w:line="288" w:lineRule="auto"/>
        <w:ind w:firstLine="480" w:firstLineChars="200"/>
        <w:rPr>
          <w:color w:val="000000"/>
          <w:sz w:val="24"/>
        </w:rPr>
      </w:pPr>
      <w:r>
        <w:rPr>
          <w:color w:val="000000"/>
          <w:sz w:val="24"/>
        </w:rPr>
        <w:t>基金操作方面，本基金以信用债票息策略为主。具体配置方面仍以397天内的短久期中高等级信用债和同业存单为主，适当增配部分1-2年的信用债增厚组合收益。同时适度运用杠杆操作增厚组合收益。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难现趋势性行情，但以社融见顶的逻辑推演来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主要以1年左右AA+以上中高等级信用品种和优质存单为主，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4,571,415,882.80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96.08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4,413,047,882.80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158,368,000.00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102,812,298.66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83,522,162.24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4,757,750,343.70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411,425,000.00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10.65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260,325,000.00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272,028,582.80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1,555,869,000.00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40.29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1,818,688,300.00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47.10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355,037,000.00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9.19</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4,413,047,882.80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114.29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112076278</w:t>
            </w:r>
          </w:p>
        </w:tc>
        <w:tc>
          <w:tcPr>
            <w:vAlign w:val="center"/>
          </w:tcPr>
          <w:p>
            <w:pPr>
              <w:jc w:val="center"/>
            </w:pPr>
            <w:r>
              <w:rPr>
                <w:color w:val="000000"/>
                <w:sz w:val="24"/>
              </w:rPr>
              <w:t>20广西北部湾银行CD416</w:t>
            </w:r>
          </w:p>
        </w:tc>
        <w:tc>
          <w:tcPr>
            <w:vAlign w:val="center"/>
          </w:tcPr>
          <w:p>
            <w:pPr>
              <w:jc w:val="right"/>
            </w:pPr>
            <w:r>
              <w:rPr>
                <w:color w:val="000000"/>
                <w:sz w:val="24"/>
              </w:rPr>
              <w:t>1,500,000</w:t>
            </w:r>
          </w:p>
        </w:tc>
        <w:tc>
          <w:tcPr>
            <w:vAlign w:val="center"/>
          </w:tcPr>
          <w:p>
            <w:pPr>
              <w:jc w:val="right"/>
            </w:pPr>
            <w:r>
              <w:rPr>
                <w:color w:val="000000"/>
                <w:sz w:val="24"/>
              </w:rPr>
              <w:t>147,630,000.00</w:t>
            </w:r>
          </w:p>
        </w:tc>
        <w:tc>
          <w:tcPr>
            <w:vAlign w:val="center"/>
          </w:tcPr>
          <w:p>
            <w:pPr>
              <w:jc w:val="right"/>
            </w:pPr>
            <w:r>
              <w:rPr>
                <w:color w:val="000000"/>
                <w:sz w:val="24"/>
              </w:rPr>
              <w:t>3.82</w:t>
            </w:r>
          </w:p>
        </w:tc>
      </w:tr>
      <w:tr>
        <w:tc>
          <w:tcPr>
            <w:vAlign w:val="center"/>
          </w:tcPr>
          <w:p>
            <w:pPr>
              <w:jc w:val="center"/>
            </w:pPr>
            <w:r>
              <w:rPr>
                <w:color w:val="000000"/>
                <w:sz w:val="24"/>
              </w:rPr>
              <w:t>2</w:t>
            </w:r>
          </w:p>
        </w:tc>
        <w:tc>
          <w:tcPr>
            <w:vAlign w:val="center"/>
          </w:tcPr>
          <w:p>
            <w:pPr>
              <w:jc w:val="center"/>
            </w:pPr>
            <w:r>
              <w:rPr>
                <w:color w:val="000000"/>
                <w:sz w:val="24"/>
              </w:rPr>
              <w:t>112076302</w:t>
            </w:r>
          </w:p>
        </w:tc>
        <w:tc>
          <w:tcPr>
            <w:vAlign w:val="center"/>
          </w:tcPr>
          <w:p>
            <w:pPr>
              <w:jc w:val="center"/>
            </w:pPr>
            <w:r>
              <w:rPr>
                <w:color w:val="000000"/>
                <w:sz w:val="24"/>
              </w:rPr>
              <w:t>20桂林银行CD311</w:t>
            </w:r>
          </w:p>
        </w:tc>
        <w:tc>
          <w:tcPr>
            <w:vAlign w:val="center"/>
          </w:tcPr>
          <w:p>
            <w:pPr>
              <w:jc w:val="right"/>
            </w:pPr>
            <w:r>
              <w:rPr>
                <w:color w:val="000000"/>
                <w:sz w:val="24"/>
              </w:rPr>
              <w:t>1,500,000</w:t>
            </w:r>
          </w:p>
        </w:tc>
        <w:tc>
          <w:tcPr>
            <w:vAlign w:val="center"/>
          </w:tcPr>
          <w:p>
            <w:pPr>
              <w:jc w:val="right"/>
            </w:pPr>
            <w:r>
              <w:rPr>
                <w:color w:val="000000"/>
                <w:sz w:val="24"/>
              </w:rPr>
              <w:t>147,555,000.00</w:t>
            </w:r>
          </w:p>
        </w:tc>
        <w:tc>
          <w:tcPr>
            <w:vAlign w:val="center"/>
          </w:tcPr>
          <w:p>
            <w:pPr>
              <w:jc w:val="right"/>
            </w:pPr>
            <w:r>
              <w:rPr>
                <w:color w:val="000000"/>
                <w:sz w:val="24"/>
              </w:rPr>
              <w:t>3.82</w:t>
            </w:r>
          </w:p>
        </w:tc>
      </w:tr>
      <w:tr>
        <w:tc>
          <w:tcPr>
            <w:vAlign w:val="center"/>
          </w:tcPr>
          <w:p>
            <w:pPr>
              <w:jc w:val="center"/>
            </w:pPr>
            <w:r>
              <w:rPr>
                <w:color w:val="000000"/>
                <w:sz w:val="24"/>
              </w:rPr>
              <w:t>3</w:t>
            </w:r>
          </w:p>
        </w:tc>
        <w:tc>
          <w:tcPr>
            <w:vAlign w:val="center"/>
          </w:tcPr>
          <w:p>
            <w:pPr>
              <w:jc w:val="center"/>
            </w:pPr>
            <w:r>
              <w:rPr>
                <w:color w:val="000000"/>
                <w:sz w:val="24"/>
              </w:rPr>
              <w:t>101800301</w:t>
            </w:r>
          </w:p>
        </w:tc>
        <w:tc>
          <w:tcPr>
            <w:vAlign w:val="center"/>
          </w:tcPr>
          <w:p>
            <w:pPr>
              <w:jc w:val="center"/>
            </w:pPr>
            <w:r>
              <w:rPr>
                <w:color w:val="000000"/>
                <w:sz w:val="24"/>
              </w:rPr>
              <w:t>18伊犁财通MTN001</w:t>
            </w:r>
          </w:p>
        </w:tc>
        <w:tc>
          <w:tcPr>
            <w:vAlign w:val="center"/>
          </w:tcPr>
          <w:p>
            <w:pPr>
              <w:jc w:val="right"/>
            </w:pPr>
            <w:r>
              <w:rPr>
                <w:color w:val="000000"/>
                <w:sz w:val="24"/>
              </w:rPr>
              <w:t>1,000,000</w:t>
            </w:r>
          </w:p>
        </w:tc>
        <w:tc>
          <w:tcPr>
            <w:vAlign w:val="center"/>
          </w:tcPr>
          <w:p>
            <w:pPr>
              <w:jc w:val="right"/>
            </w:pPr>
            <w:r>
              <w:rPr>
                <w:color w:val="000000"/>
                <w:sz w:val="24"/>
              </w:rPr>
              <w:t>101,460,000.00</w:t>
            </w:r>
          </w:p>
        </w:tc>
        <w:tc>
          <w:tcPr>
            <w:vAlign w:val="center"/>
          </w:tcPr>
          <w:p>
            <w:pPr>
              <w:jc w:val="right"/>
            </w:pPr>
            <w:r>
              <w:rPr>
                <w:color w:val="000000"/>
                <w:sz w:val="24"/>
              </w:rPr>
              <w:t>2.63</w:t>
            </w:r>
          </w:p>
        </w:tc>
      </w:tr>
      <w:tr>
        <w:tc>
          <w:tcPr>
            <w:vAlign w:val="center"/>
          </w:tcPr>
          <w:p>
            <w:pPr>
              <w:jc w:val="center"/>
            </w:pPr>
            <w:r>
              <w:rPr>
                <w:color w:val="000000"/>
                <w:sz w:val="24"/>
              </w:rPr>
              <w:t>4</w:t>
            </w:r>
          </w:p>
        </w:tc>
        <w:tc>
          <w:tcPr>
            <w:vAlign w:val="center"/>
          </w:tcPr>
          <w:p>
            <w:pPr>
              <w:jc w:val="center"/>
            </w:pPr>
            <w:r>
              <w:rPr>
                <w:color w:val="000000"/>
                <w:sz w:val="24"/>
              </w:rPr>
              <w:t>2022044</w:t>
            </w:r>
          </w:p>
        </w:tc>
        <w:tc>
          <w:tcPr>
            <w:vAlign w:val="center"/>
          </w:tcPr>
          <w:p>
            <w:pPr>
              <w:jc w:val="center"/>
            </w:pPr>
            <w:r>
              <w:rPr>
                <w:color w:val="000000"/>
                <w:sz w:val="24"/>
              </w:rPr>
              <w:t>20江苏租赁债01</w:t>
            </w:r>
          </w:p>
        </w:tc>
        <w:tc>
          <w:tcPr>
            <w:vAlign w:val="center"/>
          </w:tcPr>
          <w:p>
            <w:pPr>
              <w:jc w:val="right"/>
            </w:pPr>
            <w:r>
              <w:rPr>
                <w:color w:val="000000"/>
                <w:sz w:val="24"/>
              </w:rPr>
              <w:t>1,000,000</w:t>
            </w:r>
          </w:p>
        </w:tc>
        <w:tc>
          <w:tcPr>
            <w:vAlign w:val="center"/>
          </w:tcPr>
          <w:p>
            <w:pPr>
              <w:jc w:val="right"/>
            </w:pPr>
            <w:r>
              <w:rPr>
                <w:color w:val="000000"/>
                <w:sz w:val="24"/>
              </w:rPr>
              <w:t>100,880,000.00</w:t>
            </w:r>
          </w:p>
        </w:tc>
        <w:tc>
          <w:tcPr>
            <w:vAlign w:val="center"/>
          </w:tcPr>
          <w:p>
            <w:pPr>
              <w:jc w:val="right"/>
            </w:pPr>
            <w:r>
              <w:rPr>
                <w:color w:val="000000"/>
                <w:sz w:val="24"/>
              </w:rPr>
              <w:t>2.61</w:t>
            </w:r>
          </w:p>
        </w:tc>
      </w:tr>
      <w:tr>
        <w:tc>
          <w:tcPr>
            <w:vAlign w:val="center"/>
          </w:tcPr>
          <w:p>
            <w:pPr>
              <w:jc w:val="center"/>
            </w:pPr>
            <w:r>
              <w:rPr>
                <w:color w:val="000000"/>
                <w:sz w:val="24"/>
              </w:rPr>
              <w:t>5</w:t>
            </w:r>
          </w:p>
        </w:tc>
        <w:tc>
          <w:tcPr>
            <w:vAlign w:val="center"/>
          </w:tcPr>
          <w:p>
            <w:pPr>
              <w:jc w:val="center"/>
            </w:pPr>
            <w:r>
              <w:rPr>
                <w:color w:val="000000"/>
                <w:sz w:val="24"/>
              </w:rPr>
              <w:t>012002472</w:t>
            </w:r>
          </w:p>
        </w:tc>
        <w:tc>
          <w:tcPr>
            <w:vAlign w:val="center"/>
          </w:tcPr>
          <w:p>
            <w:pPr>
              <w:jc w:val="center"/>
            </w:pPr>
            <w:r>
              <w:rPr>
                <w:color w:val="000000"/>
                <w:sz w:val="24"/>
              </w:rPr>
              <w:t>20乌经开SCP001</w:t>
            </w:r>
          </w:p>
        </w:tc>
        <w:tc>
          <w:tcPr>
            <w:vAlign w:val="center"/>
          </w:tcPr>
          <w:p>
            <w:pPr>
              <w:jc w:val="right"/>
            </w:pPr>
            <w:r>
              <w:rPr>
                <w:color w:val="000000"/>
                <w:sz w:val="24"/>
              </w:rPr>
              <w:t>1,000,000</w:t>
            </w:r>
          </w:p>
        </w:tc>
        <w:tc>
          <w:tcPr>
            <w:vAlign w:val="center"/>
          </w:tcPr>
          <w:p>
            <w:pPr>
              <w:jc w:val="right"/>
            </w:pPr>
            <w:r>
              <w:rPr>
                <w:color w:val="000000"/>
                <w:sz w:val="24"/>
              </w:rPr>
              <w:t>100,230,000.00</w:t>
            </w:r>
          </w:p>
        </w:tc>
        <w:tc>
          <w:tcPr>
            <w:vAlign w:val="center"/>
          </w:tcPr>
          <w:p>
            <w:pPr>
              <w:jc w:val="right"/>
            </w:pPr>
            <w:r>
              <w:rPr>
                <w:color w:val="000000"/>
                <w:sz w:val="24"/>
              </w:rPr>
              <w:t>2.60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156500</w:t>
            </w:r>
          </w:p>
        </w:tc>
        <w:tc>
          <w:tcPr>
            <w:vAlign w:val="center"/>
          </w:tcPr>
          <w:p>
            <w:pPr>
              <w:jc w:val="center"/>
            </w:pPr>
            <w:r>
              <w:rPr>
                <w:color w:val="000000"/>
                <w:sz w:val="24"/>
              </w:rPr>
              <w:t>珠华发05</w:t>
            </w:r>
          </w:p>
        </w:tc>
        <w:tc>
          <w:tcPr>
            <w:vAlign w:val="center"/>
          </w:tcPr>
          <w:p>
            <w:pPr>
              <w:jc w:val="right"/>
            </w:pPr>
            <w:r>
              <w:rPr>
                <w:color w:val="000000"/>
                <w:sz w:val="24"/>
              </w:rPr>
              <w:t>700,000</w:t>
            </w:r>
          </w:p>
        </w:tc>
        <w:tc>
          <w:tcPr>
            <w:vAlign w:val="center"/>
          </w:tcPr>
          <w:p>
            <w:pPr>
              <w:jc w:val="right"/>
            </w:pPr>
            <w:r>
              <w:rPr>
                <w:color w:val="000000"/>
                <w:sz w:val="24"/>
              </w:rPr>
              <w:t>69,923,000.00</w:t>
            </w:r>
          </w:p>
        </w:tc>
        <w:tc>
          <w:tcPr>
            <w:vAlign w:val="center"/>
          </w:tcPr>
          <w:p>
            <w:pPr>
              <w:jc w:val="right"/>
            </w:pPr>
            <w:r>
              <w:rPr>
                <w:color w:val="000000"/>
                <w:sz w:val="24"/>
              </w:rPr>
              <w:t>1.81</w:t>
            </w:r>
          </w:p>
        </w:tc>
      </w:tr>
      <w:tr>
        <w:tc>
          <w:tcPr>
            <w:vAlign w:val="center"/>
          </w:tcPr>
          <w:p>
            <w:pPr>
              <w:jc w:val="center"/>
            </w:pPr>
            <w:r>
              <w:rPr>
                <w:color w:val="000000"/>
                <w:sz w:val="24"/>
              </w:rPr>
              <w:t>2</w:t>
            </w:r>
          </w:p>
        </w:tc>
        <w:tc>
          <w:tcPr>
            <w:vAlign w:val="center"/>
          </w:tcPr>
          <w:p>
            <w:pPr>
              <w:jc w:val="center"/>
            </w:pPr>
            <w:r>
              <w:rPr>
                <w:color w:val="000000"/>
                <w:sz w:val="24"/>
              </w:rPr>
              <w:t>169422</w:t>
            </w:r>
          </w:p>
        </w:tc>
        <w:tc>
          <w:tcPr>
            <w:vAlign w:val="center"/>
          </w:tcPr>
          <w:p>
            <w:pPr>
              <w:jc w:val="center"/>
            </w:pPr>
            <w:r>
              <w:rPr>
                <w:color w:val="000000"/>
                <w:sz w:val="24"/>
              </w:rPr>
              <w:t>霄驰01A</w:t>
            </w:r>
          </w:p>
        </w:tc>
        <w:tc>
          <w:tcPr>
            <w:vAlign w:val="center"/>
          </w:tcPr>
          <w:p>
            <w:pPr>
              <w:jc w:val="right"/>
            </w:pPr>
            <w:r>
              <w:rPr>
                <w:color w:val="000000"/>
                <w:sz w:val="24"/>
              </w:rPr>
              <w:t>300,000</w:t>
            </w:r>
          </w:p>
        </w:tc>
        <w:tc>
          <w:tcPr>
            <w:vAlign w:val="center"/>
          </w:tcPr>
          <w:p>
            <w:pPr>
              <w:jc w:val="right"/>
            </w:pPr>
            <w:r>
              <w:rPr>
                <w:color w:val="000000"/>
                <w:sz w:val="24"/>
              </w:rPr>
              <w:t>30,036,000.00</w:t>
            </w:r>
          </w:p>
        </w:tc>
        <w:tc>
          <w:tcPr>
            <w:vAlign w:val="center"/>
          </w:tcPr>
          <w:p>
            <w:pPr>
              <w:jc w:val="right"/>
            </w:pPr>
            <w:r>
              <w:rPr>
                <w:color w:val="000000"/>
                <w:sz w:val="24"/>
              </w:rPr>
              <w:t>0.78</w:t>
            </w:r>
          </w:p>
        </w:tc>
      </w:tr>
      <w:tr>
        <w:tc>
          <w:tcPr>
            <w:vAlign w:val="center"/>
          </w:tcPr>
          <w:p>
            <w:pPr>
              <w:jc w:val="center"/>
            </w:pPr>
            <w:r>
              <w:rPr>
                <w:color w:val="000000"/>
                <w:sz w:val="24"/>
              </w:rPr>
              <w:t>3</w:t>
            </w:r>
          </w:p>
        </w:tc>
        <w:tc>
          <w:tcPr>
            <w:vAlign w:val="center"/>
          </w:tcPr>
          <w:p>
            <w:pPr>
              <w:jc w:val="center"/>
            </w:pPr>
            <w:r>
              <w:rPr>
                <w:color w:val="000000"/>
                <w:sz w:val="24"/>
              </w:rPr>
              <w:t>169206</w:t>
            </w:r>
          </w:p>
        </w:tc>
        <w:tc>
          <w:tcPr>
            <w:vAlign w:val="center"/>
          </w:tcPr>
          <w:p>
            <w:pPr>
              <w:jc w:val="center"/>
            </w:pPr>
            <w:r>
              <w:rPr>
                <w:color w:val="000000"/>
                <w:sz w:val="24"/>
              </w:rPr>
              <w:t>20二航4A</w:t>
            </w:r>
          </w:p>
        </w:tc>
        <w:tc>
          <w:tcPr>
            <w:vAlign w:val="center"/>
          </w:tcPr>
          <w:p>
            <w:pPr>
              <w:jc w:val="right"/>
            </w:pPr>
            <w:r>
              <w:rPr>
                <w:color w:val="000000"/>
                <w:sz w:val="24"/>
              </w:rPr>
              <w:t>200,000</w:t>
            </w:r>
          </w:p>
        </w:tc>
        <w:tc>
          <w:tcPr>
            <w:vAlign w:val="center"/>
          </w:tcPr>
          <w:p>
            <w:pPr>
              <w:jc w:val="right"/>
            </w:pPr>
            <w:r>
              <w:rPr>
                <w:color w:val="000000"/>
                <w:sz w:val="24"/>
              </w:rPr>
              <w:t>20,026,000.00</w:t>
            </w:r>
          </w:p>
        </w:tc>
        <w:tc>
          <w:tcPr>
            <w:vAlign w:val="center"/>
          </w:tcPr>
          <w:p>
            <w:pPr>
              <w:jc w:val="right"/>
            </w:pPr>
            <w:r>
              <w:rPr>
                <w:color w:val="000000"/>
                <w:sz w:val="24"/>
              </w:rPr>
              <w:t>0.52</w:t>
            </w:r>
          </w:p>
        </w:tc>
      </w:tr>
      <w:tr>
        <w:tc>
          <w:tcPr>
            <w:vAlign w:val="center"/>
          </w:tcPr>
          <w:p>
            <w:pPr>
              <w:jc w:val="center"/>
            </w:pPr>
            <w:r>
              <w:rPr>
                <w:color w:val="000000"/>
                <w:sz w:val="24"/>
              </w:rPr>
              <w:t>4</w:t>
            </w:r>
          </w:p>
        </w:tc>
        <w:tc>
          <w:tcPr>
            <w:vAlign w:val="center"/>
          </w:tcPr>
          <w:p>
            <w:pPr>
              <w:jc w:val="center"/>
            </w:pPr>
            <w:r>
              <w:rPr>
                <w:color w:val="000000"/>
                <w:sz w:val="24"/>
              </w:rPr>
              <w:t>169525</w:t>
            </w:r>
          </w:p>
        </w:tc>
        <w:tc>
          <w:tcPr>
            <w:vAlign w:val="center"/>
          </w:tcPr>
          <w:p>
            <w:pPr>
              <w:jc w:val="center"/>
            </w:pPr>
            <w:r>
              <w:rPr>
                <w:color w:val="000000"/>
                <w:sz w:val="24"/>
              </w:rPr>
              <w:t>兴辰03A</w:t>
            </w:r>
          </w:p>
        </w:tc>
        <w:tc>
          <w:tcPr>
            <w:vAlign w:val="center"/>
          </w:tcPr>
          <w:p>
            <w:pPr>
              <w:jc w:val="right"/>
            </w:pPr>
            <w:r>
              <w:rPr>
                <w:color w:val="000000"/>
                <w:sz w:val="24"/>
              </w:rPr>
              <w:t>200,000</w:t>
            </w:r>
          </w:p>
        </w:tc>
        <w:tc>
          <w:tcPr>
            <w:vAlign w:val="center"/>
          </w:tcPr>
          <w:p>
            <w:pPr>
              <w:jc w:val="right"/>
            </w:pPr>
            <w:r>
              <w:rPr>
                <w:color w:val="000000"/>
                <w:sz w:val="24"/>
              </w:rPr>
              <w:t>20,018,000.00</w:t>
            </w:r>
          </w:p>
        </w:tc>
        <w:tc>
          <w:tcPr>
            <w:vAlign w:val="center"/>
          </w:tcPr>
          <w:p>
            <w:pPr>
              <w:jc w:val="right"/>
            </w:pPr>
            <w:r>
              <w:rPr>
                <w:color w:val="000000"/>
                <w:sz w:val="24"/>
              </w:rPr>
              <w:t>0.52</w:t>
            </w:r>
          </w:p>
        </w:tc>
      </w:tr>
      <w:tr>
        <w:tc>
          <w:tcPr>
            <w:vAlign w:val="center"/>
          </w:tcPr>
          <w:p>
            <w:pPr>
              <w:jc w:val="center"/>
            </w:pPr>
            <w:r>
              <w:rPr>
                <w:color w:val="000000"/>
                <w:sz w:val="24"/>
              </w:rPr>
              <w:t>5</w:t>
            </w:r>
          </w:p>
        </w:tc>
        <w:tc>
          <w:tcPr>
            <w:vAlign w:val="center"/>
          </w:tcPr>
          <w:p>
            <w:pPr>
              <w:jc w:val="center"/>
            </w:pPr>
            <w:r>
              <w:rPr>
                <w:color w:val="000000"/>
                <w:sz w:val="24"/>
              </w:rPr>
              <w:t>165209</w:t>
            </w:r>
          </w:p>
        </w:tc>
        <w:tc>
          <w:tcPr>
            <w:vAlign w:val="center"/>
          </w:tcPr>
          <w:p>
            <w:pPr>
              <w:jc w:val="center"/>
            </w:pPr>
            <w:r>
              <w:rPr>
                <w:color w:val="000000"/>
                <w:sz w:val="24"/>
              </w:rPr>
              <w:t>PR安吉3A</w:t>
            </w:r>
          </w:p>
        </w:tc>
        <w:tc>
          <w:tcPr>
            <w:vAlign w:val="center"/>
          </w:tcPr>
          <w:p>
            <w:pPr>
              <w:jc w:val="right"/>
            </w:pPr>
            <w:r>
              <w:rPr>
                <w:color w:val="000000"/>
                <w:sz w:val="24"/>
              </w:rPr>
              <w:t>500,000</w:t>
            </w:r>
          </w:p>
        </w:tc>
        <w:tc>
          <w:tcPr>
            <w:vAlign w:val="center"/>
          </w:tcPr>
          <w:p>
            <w:pPr>
              <w:jc w:val="right"/>
            </w:pPr>
            <w:r>
              <w:rPr>
                <w:color w:val="000000"/>
                <w:sz w:val="24"/>
              </w:rPr>
              <w:t>18,365,000.00</w:t>
            </w:r>
          </w:p>
        </w:tc>
        <w:tc>
          <w:tcPr>
            <w:vAlign w:val="center"/>
          </w:tcPr>
          <w:p>
            <w:pPr>
              <w:jc w:val="right"/>
            </w:pPr>
            <w:r>
              <w:rPr>
                <w:color w:val="000000"/>
                <w:sz w:val="24"/>
              </w:rPr>
              <w:t>0.48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2,153.49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75,705,114.53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7,814,894.22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83,522,162.24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交银稳鑫短债债券A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交银稳鑫短债债券C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3,654,284,286.01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14,501,339.13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1,057,006,554.03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970,161.11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1,045,414,759.41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1,973,179.44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3,665,876,080.63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13,498,320.80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1、中国证监会准予交银施罗德稳鑫短债债券型证券投资基金募集注册的文件；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2、《交银施罗德稳鑫短债债券型证券投资基金基金合同》；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3、《交银施罗德稳鑫短债债券型证券投资基金招募说明书》；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4、《交银施罗德稳鑫短债债券型证券投资基金托管协议》；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5、关于申请募集注册交银施罗德稳鑫短债债券型证券投资基金的法律意见书；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8、报告期内交银施罗德稳鑫短债债券型证券投资基金在指定报刊上各项公告的原稿。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交银施罗德稳鑫短债债券型证券投资基金2020年第4季度报告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