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交银施罗德产业机遇混合型证券投资基金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二〇二一年一月二十一日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36AB4" w:rsidRDefault="00E6561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36AB4" w:rsidRDefault="00E65610">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2021</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36AB4" w:rsidRDefault="00E6561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36AB4" w:rsidRDefault="00E65610">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036AB4" w:rsidRDefault="00E65610">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交银产业机遇混合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010094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010094</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2020</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24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6,478,838,817.10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在合理控制风险并保持基金资产良好流动性的前提下，追求超越业绩比较基准的投资回报，力争实现基金资产的长期稳健增值。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×65%+</w:t>
            </w:r>
            <w:r w:rsidRPr="00414345">
              <w:rPr>
                <w:color w:val="000000"/>
                <w:kern w:val="0"/>
                <w:sz w:val="24"/>
                <w:szCs w:val="24"/>
              </w:rPr>
              <w:t>恒生指数收益率</w:t>
            </w:r>
            <w:r w:rsidRPr="00414345">
              <w:rPr>
                <w:color w:val="000000"/>
                <w:kern w:val="0"/>
                <w:sz w:val="24"/>
                <w:szCs w:val="24"/>
              </w:rPr>
              <w:t>×5%+</w:t>
            </w:r>
            <w:r w:rsidRPr="00414345">
              <w:rPr>
                <w:color w:val="000000"/>
                <w:kern w:val="0"/>
                <w:sz w:val="24"/>
                <w:szCs w:val="24"/>
              </w:rPr>
              <w:t>中证综合债券指数收益率</w:t>
            </w:r>
            <w:r w:rsidRPr="00414345">
              <w:rPr>
                <w:color w:val="000000"/>
                <w:kern w:val="0"/>
                <w:sz w:val="24"/>
                <w:szCs w:val="24"/>
              </w:rPr>
              <w:t>×30%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036AB4" w:rsidRDefault="00E65610">
            <w:pPr>
              <w:adjustRightInd w:val="0"/>
              <w:spacing w:before="29" w:line="288" w:lineRule="auto"/>
              <w:ind w:left="17"/>
              <w:jc w:val="left"/>
              <w:rPr>
                <w:color w:val="000000"/>
                <w:sz w:val="24"/>
                <w:szCs w:val="24"/>
              </w:rPr>
            </w:pPr>
            <w:r>
              <w:rPr>
                <w:color w:val="000000"/>
                <w:kern w:val="0"/>
                <w:sz w:val="24"/>
                <w:szCs w:val="24"/>
              </w:rPr>
              <w:t>本基金是一只混合型基金，其预期风险和预期收益高于债券型基金和货币市场基金，低于股票型基金。</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65610" w:rsidRPr="00414345" w:rsidTr="00E6561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E65610" w:rsidRPr="00414345" w:rsidTr="00E6561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31,096,764.75</w:t>
            </w:r>
          </w:p>
        </w:tc>
      </w:tr>
      <w:tr w:rsidR="00E65610" w:rsidRPr="00414345" w:rsidTr="00E6561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253,487,963.38</w:t>
            </w:r>
          </w:p>
        </w:tc>
      </w:tr>
      <w:tr w:rsidR="00E65610" w:rsidRPr="00414345" w:rsidTr="00E6561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0.0377</w:t>
            </w:r>
          </w:p>
        </w:tc>
      </w:tr>
      <w:tr w:rsidR="00E65610" w:rsidRPr="00414345" w:rsidTr="00E6561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6,733,705,935.80</w:t>
            </w:r>
          </w:p>
        </w:tc>
      </w:tr>
      <w:tr w:rsidR="00E65610" w:rsidRPr="00414345" w:rsidTr="00E6561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1.039</w:t>
            </w:r>
            <w:r w:rsidR="00E01891">
              <w:rPr>
                <w:color w:val="000000"/>
                <w:sz w:val="24"/>
                <w:szCs w:val="24"/>
              </w:rPr>
              <w:t>3</w:t>
            </w:r>
            <w:bookmarkStart w:id="0" w:name="_GoBack"/>
            <w:bookmarkEnd w:id="0"/>
          </w:p>
        </w:tc>
      </w:tr>
    </w:tbl>
    <w:p w:rsidR="00036AB4" w:rsidRDefault="00E6561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36AB4">
        <w:trPr>
          <w:jc w:val="center"/>
        </w:trPr>
        <w:tc>
          <w:tcPr>
            <w:tcW w:w="1701" w:type="dxa"/>
            <w:vAlign w:val="center"/>
          </w:tcPr>
          <w:p w:rsidR="00036AB4" w:rsidRDefault="00E65610">
            <w:pPr>
              <w:jc w:val="left"/>
            </w:pPr>
            <w:r>
              <w:rPr>
                <w:color w:val="000000"/>
                <w:sz w:val="24"/>
                <w:szCs w:val="24"/>
              </w:rPr>
              <w:t>过去三个月</w:t>
            </w:r>
          </w:p>
        </w:tc>
        <w:tc>
          <w:tcPr>
            <w:tcW w:w="1045" w:type="dxa"/>
            <w:vAlign w:val="center"/>
          </w:tcPr>
          <w:p w:rsidR="00036AB4" w:rsidRDefault="00E65610">
            <w:pPr>
              <w:jc w:val="center"/>
            </w:pPr>
            <w:r>
              <w:rPr>
                <w:color w:val="000000"/>
                <w:sz w:val="24"/>
                <w:szCs w:val="24"/>
              </w:rPr>
              <w:t>3.87%</w:t>
            </w:r>
          </w:p>
        </w:tc>
        <w:tc>
          <w:tcPr>
            <w:tcW w:w="1344" w:type="dxa"/>
            <w:vAlign w:val="center"/>
          </w:tcPr>
          <w:p w:rsidR="00036AB4" w:rsidRDefault="00E65610">
            <w:pPr>
              <w:jc w:val="center"/>
            </w:pPr>
            <w:r>
              <w:rPr>
                <w:color w:val="000000"/>
                <w:sz w:val="24"/>
                <w:szCs w:val="24"/>
              </w:rPr>
              <w:t>0.45%</w:t>
            </w:r>
          </w:p>
        </w:tc>
        <w:tc>
          <w:tcPr>
            <w:tcW w:w="1194" w:type="dxa"/>
            <w:vAlign w:val="center"/>
          </w:tcPr>
          <w:p w:rsidR="00036AB4" w:rsidRDefault="00E65610">
            <w:pPr>
              <w:jc w:val="center"/>
            </w:pPr>
            <w:r>
              <w:rPr>
                <w:color w:val="000000"/>
                <w:sz w:val="24"/>
                <w:szCs w:val="24"/>
              </w:rPr>
              <w:t>9.93%</w:t>
            </w:r>
          </w:p>
        </w:tc>
        <w:tc>
          <w:tcPr>
            <w:tcW w:w="1492" w:type="dxa"/>
            <w:vAlign w:val="center"/>
          </w:tcPr>
          <w:p w:rsidR="00036AB4" w:rsidRDefault="00E65610">
            <w:pPr>
              <w:jc w:val="center"/>
            </w:pPr>
            <w:r>
              <w:rPr>
                <w:color w:val="000000"/>
                <w:sz w:val="24"/>
                <w:szCs w:val="24"/>
              </w:rPr>
              <w:t>0.67%</w:t>
            </w:r>
          </w:p>
        </w:tc>
        <w:tc>
          <w:tcPr>
            <w:tcW w:w="1194" w:type="dxa"/>
            <w:vAlign w:val="center"/>
          </w:tcPr>
          <w:p w:rsidR="00036AB4" w:rsidRDefault="00E65610">
            <w:pPr>
              <w:jc w:val="center"/>
            </w:pPr>
            <w:r>
              <w:rPr>
                <w:color w:val="000000"/>
                <w:sz w:val="24"/>
                <w:szCs w:val="24"/>
              </w:rPr>
              <w:t>-6.06%</w:t>
            </w:r>
          </w:p>
        </w:tc>
        <w:tc>
          <w:tcPr>
            <w:tcW w:w="898" w:type="dxa"/>
            <w:vAlign w:val="center"/>
          </w:tcPr>
          <w:p w:rsidR="00036AB4" w:rsidRDefault="00E65610">
            <w:pPr>
              <w:jc w:val="center"/>
            </w:pPr>
            <w:r>
              <w:rPr>
                <w:color w:val="000000"/>
                <w:sz w:val="24"/>
                <w:szCs w:val="24"/>
              </w:rPr>
              <w:t>-0.22%</w:t>
            </w:r>
          </w:p>
        </w:tc>
      </w:tr>
      <w:tr w:rsidR="00036AB4">
        <w:trPr>
          <w:jc w:val="center"/>
        </w:trPr>
        <w:tc>
          <w:tcPr>
            <w:tcW w:w="1701" w:type="dxa"/>
            <w:vAlign w:val="center"/>
          </w:tcPr>
          <w:p w:rsidR="00036AB4" w:rsidRDefault="00E65610">
            <w:pPr>
              <w:jc w:val="left"/>
            </w:pPr>
            <w:r>
              <w:rPr>
                <w:color w:val="000000"/>
                <w:sz w:val="24"/>
                <w:szCs w:val="24"/>
              </w:rPr>
              <w:t>自基金合同生效至今</w:t>
            </w:r>
          </w:p>
        </w:tc>
        <w:tc>
          <w:tcPr>
            <w:tcW w:w="1045" w:type="dxa"/>
            <w:vAlign w:val="center"/>
          </w:tcPr>
          <w:p w:rsidR="00036AB4" w:rsidRDefault="00E65610">
            <w:pPr>
              <w:jc w:val="center"/>
            </w:pPr>
            <w:r>
              <w:rPr>
                <w:color w:val="000000"/>
                <w:sz w:val="24"/>
                <w:szCs w:val="24"/>
              </w:rPr>
              <w:t>3.93%</w:t>
            </w:r>
          </w:p>
        </w:tc>
        <w:tc>
          <w:tcPr>
            <w:tcW w:w="1344" w:type="dxa"/>
            <w:vAlign w:val="center"/>
          </w:tcPr>
          <w:p w:rsidR="00036AB4" w:rsidRDefault="00E65610">
            <w:pPr>
              <w:jc w:val="center"/>
            </w:pPr>
            <w:r>
              <w:rPr>
                <w:color w:val="000000"/>
                <w:sz w:val="24"/>
                <w:szCs w:val="24"/>
              </w:rPr>
              <w:t>0.43%</w:t>
            </w:r>
          </w:p>
        </w:tc>
        <w:tc>
          <w:tcPr>
            <w:tcW w:w="1194" w:type="dxa"/>
            <w:vAlign w:val="center"/>
          </w:tcPr>
          <w:p w:rsidR="00036AB4" w:rsidRDefault="00E65610">
            <w:pPr>
              <w:jc w:val="center"/>
            </w:pPr>
            <w:r>
              <w:rPr>
                <w:color w:val="000000"/>
                <w:sz w:val="24"/>
                <w:szCs w:val="24"/>
              </w:rPr>
              <w:t>8.85%</w:t>
            </w:r>
          </w:p>
        </w:tc>
        <w:tc>
          <w:tcPr>
            <w:tcW w:w="1492" w:type="dxa"/>
            <w:vAlign w:val="center"/>
          </w:tcPr>
          <w:p w:rsidR="00036AB4" w:rsidRDefault="00E65610">
            <w:pPr>
              <w:jc w:val="center"/>
            </w:pPr>
            <w:r>
              <w:rPr>
                <w:color w:val="000000"/>
                <w:sz w:val="24"/>
                <w:szCs w:val="24"/>
              </w:rPr>
              <w:t>0.67%</w:t>
            </w:r>
          </w:p>
        </w:tc>
        <w:tc>
          <w:tcPr>
            <w:tcW w:w="1194" w:type="dxa"/>
            <w:vAlign w:val="center"/>
          </w:tcPr>
          <w:p w:rsidR="00036AB4" w:rsidRDefault="00E65610">
            <w:pPr>
              <w:jc w:val="center"/>
            </w:pPr>
            <w:r>
              <w:rPr>
                <w:color w:val="000000"/>
                <w:sz w:val="24"/>
                <w:szCs w:val="24"/>
              </w:rPr>
              <w:t>-4.92%</w:t>
            </w:r>
          </w:p>
        </w:tc>
        <w:tc>
          <w:tcPr>
            <w:tcW w:w="898" w:type="dxa"/>
            <w:vAlign w:val="center"/>
          </w:tcPr>
          <w:p w:rsidR="00036AB4" w:rsidRDefault="00E65610">
            <w:pPr>
              <w:jc w:val="center"/>
            </w:pPr>
            <w:r>
              <w:rPr>
                <w:color w:val="000000"/>
                <w:sz w:val="24"/>
                <w:szCs w:val="24"/>
              </w:rPr>
              <w:t>-0.24%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交银施罗德产业机遇混合型证券投资基金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2020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2020</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24</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2020</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日，本基金尚处于建仓期。</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36AB4">
        <w:trPr>
          <w:jc w:val="center"/>
        </w:trPr>
        <w:tc>
          <w:tcPr>
            <w:tcW w:w="846" w:type="dxa"/>
            <w:vAlign w:val="center"/>
          </w:tcPr>
          <w:p w:rsidR="00036AB4" w:rsidRDefault="00E65610">
            <w:pPr>
              <w:jc w:val="center"/>
            </w:pPr>
            <w:r>
              <w:rPr>
                <w:color w:val="000000"/>
                <w:sz w:val="24"/>
                <w:szCs w:val="24"/>
              </w:rPr>
              <w:t>田彧龙</w:t>
            </w:r>
          </w:p>
        </w:tc>
        <w:tc>
          <w:tcPr>
            <w:tcW w:w="845" w:type="dxa"/>
            <w:vAlign w:val="center"/>
          </w:tcPr>
          <w:p w:rsidR="00036AB4" w:rsidRDefault="00E65610">
            <w:pPr>
              <w:jc w:val="center"/>
            </w:pPr>
            <w:r>
              <w:rPr>
                <w:color w:val="000000"/>
                <w:sz w:val="24"/>
                <w:szCs w:val="24"/>
              </w:rPr>
              <w:t>交银数据产业灵活配置混合、交银科锐科技创新混合、交银产业机遇混合的基金经理</w:t>
            </w:r>
          </w:p>
        </w:tc>
        <w:tc>
          <w:tcPr>
            <w:tcW w:w="1549" w:type="dxa"/>
            <w:vAlign w:val="center"/>
          </w:tcPr>
          <w:p w:rsidR="00036AB4" w:rsidRDefault="00E65610">
            <w:pPr>
              <w:jc w:val="center"/>
            </w:pPr>
            <w:r>
              <w:rPr>
                <w:color w:val="000000"/>
                <w:sz w:val="24"/>
                <w:szCs w:val="24"/>
              </w:rPr>
              <w:t>2020-09-24</w:t>
            </w:r>
          </w:p>
        </w:tc>
        <w:tc>
          <w:tcPr>
            <w:tcW w:w="1548" w:type="dxa"/>
            <w:vAlign w:val="center"/>
          </w:tcPr>
          <w:p w:rsidR="00036AB4" w:rsidRDefault="00E65610">
            <w:pPr>
              <w:jc w:val="center"/>
            </w:pPr>
            <w:r>
              <w:rPr>
                <w:color w:val="000000"/>
                <w:sz w:val="24"/>
                <w:szCs w:val="24"/>
              </w:rPr>
              <w:t>-</w:t>
            </w:r>
          </w:p>
        </w:tc>
        <w:tc>
          <w:tcPr>
            <w:tcW w:w="1407" w:type="dxa"/>
            <w:vAlign w:val="center"/>
          </w:tcPr>
          <w:p w:rsidR="00036AB4" w:rsidRDefault="00E65610">
            <w:pPr>
              <w:jc w:val="center"/>
            </w:pPr>
            <w:r>
              <w:rPr>
                <w:color w:val="000000"/>
                <w:sz w:val="24"/>
                <w:szCs w:val="24"/>
              </w:rPr>
              <w:t>8</w:t>
            </w:r>
            <w:r>
              <w:rPr>
                <w:color w:val="000000"/>
                <w:sz w:val="24"/>
                <w:szCs w:val="24"/>
              </w:rPr>
              <w:t>年</w:t>
            </w:r>
          </w:p>
        </w:tc>
        <w:tc>
          <w:tcPr>
            <w:tcW w:w="2673" w:type="dxa"/>
            <w:vAlign w:val="center"/>
          </w:tcPr>
          <w:p w:rsidR="00036AB4" w:rsidRDefault="00E65610">
            <w:r>
              <w:rPr>
                <w:color w:val="000000"/>
                <w:sz w:val="24"/>
                <w:szCs w:val="24"/>
              </w:rPr>
              <w:t>田彧龙先生，上海交通大学金融学硕士，浙江大学光电信息工程学学士。</w:t>
            </w:r>
            <w:r>
              <w:rPr>
                <w:color w:val="000000"/>
                <w:sz w:val="24"/>
                <w:szCs w:val="24"/>
              </w:rPr>
              <w:t>2014</w:t>
            </w:r>
            <w:r>
              <w:rPr>
                <w:color w:val="000000"/>
                <w:sz w:val="24"/>
                <w:szCs w:val="24"/>
              </w:rPr>
              <w:t>年</w:t>
            </w:r>
            <w:r>
              <w:rPr>
                <w:color w:val="000000"/>
                <w:sz w:val="24"/>
                <w:szCs w:val="24"/>
              </w:rPr>
              <w:t>7</w:t>
            </w:r>
            <w:r>
              <w:rPr>
                <w:color w:val="000000"/>
                <w:sz w:val="24"/>
                <w:szCs w:val="24"/>
              </w:rPr>
              <w:t>月加入交银施罗德基金管理有限公司，历任行业分析师、基金经理助理。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36AB4" w:rsidRDefault="00E6561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rsidR="00036AB4" w:rsidRDefault="00E65610">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价格优先、时间优先</w:t>
      </w:r>
      <w:r>
        <w:rPr>
          <w:color w:val="000000"/>
          <w:sz w:val="24"/>
          <w:szCs w:val="24"/>
        </w:rPr>
        <w:t>”</w:t>
      </w:r>
      <w:r>
        <w:rPr>
          <w:color w:val="000000"/>
          <w:sz w:val="24"/>
          <w:szCs w:val="24"/>
        </w:rPr>
        <w:t>的原则，全部通过交易系统进行比例分配；对于非集中竞价交易、以公司名义进行的场外交易，遵循公平交易分配原则对交易结果进行分配。</w:t>
      </w:r>
    </w:p>
    <w:p w:rsidR="00036AB4" w:rsidRDefault="00E6561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36AB4" w:rsidRDefault="00E65610">
      <w:pPr>
        <w:spacing w:before="29" w:line="288" w:lineRule="auto"/>
        <w:ind w:firstLineChars="200" w:firstLine="480"/>
        <w:rPr>
          <w:color w:val="000000"/>
          <w:sz w:val="24"/>
          <w:szCs w:val="24"/>
        </w:rPr>
      </w:pPr>
      <w:r>
        <w:rPr>
          <w:color w:val="000000"/>
          <w:sz w:val="24"/>
          <w:szCs w:val="24"/>
        </w:rPr>
        <w:t>2020</w:t>
      </w:r>
      <w:r>
        <w:rPr>
          <w:color w:val="000000"/>
          <w:sz w:val="24"/>
          <w:szCs w:val="24"/>
        </w:rPr>
        <w:t>年四季度，国内整体新冠疫情可控，国外疫情虽然继续恶化，但是在疫苗预期下，整体市场对经济的担忧逐渐减弱。</w:t>
      </w:r>
      <w:r w:rsidR="003454DA">
        <w:rPr>
          <w:rFonts w:hint="eastAsia"/>
          <w:color w:val="000000"/>
          <w:sz w:val="24"/>
          <w:szCs w:val="24"/>
        </w:rPr>
        <w:t>2</w:t>
      </w:r>
      <w:r w:rsidR="003454DA">
        <w:rPr>
          <w:color w:val="000000"/>
          <w:sz w:val="24"/>
          <w:szCs w:val="24"/>
        </w:rPr>
        <w:t>021</w:t>
      </w:r>
      <w:r>
        <w:rPr>
          <w:color w:val="000000"/>
          <w:sz w:val="24"/>
          <w:szCs w:val="24"/>
        </w:rPr>
        <w:t>年我们预计经济复苏不会一帆风顺，与此同时货币政策变化也不会一蹴而就。相比于所谓的逆周期顺周期，我们更关注疫情对于人们生活方式和社会变革的长期影响。</w:t>
      </w:r>
    </w:p>
    <w:p w:rsidR="00036AB4" w:rsidRDefault="00E65610">
      <w:pPr>
        <w:spacing w:before="29" w:line="288" w:lineRule="auto"/>
        <w:ind w:firstLineChars="200" w:firstLine="480"/>
        <w:rPr>
          <w:color w:val="000000"/>
          <w:sz w:val="24"/>
          <w:szCs w:val="24"/>
        </w:rPr>
      </w:pPr>
      <w:r>
        <w:rPr>
          <w:color w:val="000000"/>
          <w:sz w:val="24"/>
          <w:szCs w:val="24"/>
        </w:rPr>
        <w:t>四季度操作层面，本基金处于建仓期，更加侧重绝对收益，整体建仓较为均衡，也会更加关注港股的优质资产。</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2021</w:t>
      </w:r>
      <w:r w:rsidRPr="00414345">
        <w:rPr>
          <w:color w:val="000000"/>
          <w:sz w:val="24"/>
          <w:szCs w:val="24"/>
        </w:rPr>
        <w:t>年一季度，我们认为景气度较高的军工和新能源板块仍然会有表现，但是值得注意是部分公司开始出现透支长期收益率的情况。与此同时我们重点关注以</w:t>
      </w:r>
      <w:r w:rsidRPr="00414345">
        <w:rPr>
          <w:color w:val="000000"/>
          <w:sz w:val="24"/>
          <w:szCs w:val="24"/>
        </w:rPr>
        <w:t>TMT</w:t>
      </w:r>
      <w:r w:rsidRPr="00414345">
        <w:rPr>
          <w:color w:val="000000"/>
          <w:sz w:val="24"/>
          <w:szCs w:val="24"/>
        </w:rPr>
        <w:t>为代表的数据产业领域，尤其是半导体领域，我们认为半导体板块中的材料和设备公司有望在这轮行业变革中受益。长期来看，在新的一轮科技赋能周期下，中国科技公司仍将大有可为。新基建政策的发力，会给</w:t>
      </w:r>
      <w:r w:rsidRPr="00414345">
        <w:rPr>
          <w:color w:val="000000"/>
          <w:sz w:val="24"/>
          <w:szCs w:val="24"/>
        </w:rPr>
        <w:t>5G</w:t>
      </w:r>
      <w:r w:rsidRPr="00414345">
        <w:rPr>
          <w:color w:val="000000"/>
          <w:sz w:val="24"/>
          <w:szCs w:val="24"/>
        </w:rPr>
        <w:t>、</w:t>
      </w:r>
      <w:r w:rsidRPr="00414345">
        <w:rPr>
          <w:color w:val="000000"/>
          <w:sz w:val="24"/>
          <w:szCs w:val="24"/>
        </w:rPr>
        <w:t>IDC</w:t>
      </w:r>
      <w:r w:rsidRPr="00414345">
        <w:rPr>
          <w:color w:val="000000"/>
          <w:sz w:val="24"/>
          <w:szCs w:val="24"/>
        </w:rPr>
        <w:t>等产业注入活力，同样值得重点关注。在注册制的背景下，将有越来越多的优质公司</w:t>
      </w:r>
      <w:r w:rsidR="003454DA" w:rsidRPr="003454DA">
        <w:rPr>
          <w:rFonts w:hint="eastAsia"/>
          <w:color w:val="000000"/>
          <w:sz w:val="24"/>
          <w:szCs w:val="24"/>
        </w:rPr>
        <w:t>登陆资本市场，主动权益投资有望进入“黄金期”</w:t>
      </w:r>
      <w:r w:rsidRPr="00414345">
        <w:rPr>
          <w:color w:val="000000"/>
          <w:sz w:val="24"/>
          <w:szCs w:val="24"/>
        </w:rPr>
        <w:t>。</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3,713,531,162.97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53.99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3,713,531,162.97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53.99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348,000.00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0.01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348,000.00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0.01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763,827,506.74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11.11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2,400,437,288.25</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34.90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6,878,143,957.96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D2718F" w:rsidP="00C15CAC">
      <w:pPr>
        <w:autoSpaceDE w:val="0"/>
        <w:autoSpaceDN w:val="0"/>
        <w:adjustRightInd w:val="0"/>
        <w:spacing w:before="29" w:line="288" w:lineRule="auto"/>
        <w:jc w:val="left"/>
        <w:rPr>
          <w:color w:val="000000"/>
          <w:sz w:val="24"/>
          <w:szCs w:val="24"/>
        </w:rPr>
      </w:pPr>
      <w:r w:rsidRPr="00D2718F">
        <w:rPr>
          <w:rFonts w:hint="eastAsia"/>
          <w:color w:val="000000"/>
          <w:sz w:val="24"/>
          <w:szCs w:val="24"/>
        </w:rPr>
        <w:t>注：本基金本报告期末通过港股通机制投资香港股票的公允价值为</w:t>
      </w:r>
      <w:r w:rsidRPr="00D2718F">
        <w:rPr>
          <w:rFonts w:hint="eastAsia"/>
          <w:color w:val="000000"/>
          <w:sz w:val="24"/>
          <w:szCs w:val="24"/>
        </w:rPr>
        <w:t>632,317,816.83</w:t>
      </w:r>
      <w:r w:rsidRPr="00D2718F">
        <w:rPr>
          <w:rFonts w:hint="eastAsia"/>
          <w:color w:val="000000"/>
          <w:sz w:val="24"/>
          <w:szCs w:val="24"/>
        </w:rPr>
        <w:t>元，占基金资产净值比例为</w:t>
      </w:r>
      <w:r w:rsidRPr="00D2718F">
        <w:rPr>
          <w:rFonts w:hint="eastAsia"/>
          <w:color w:val="000000"/>
          <w:sz w:val="24"/>
          <w:szCs w:val="24"/>
        </w:rPr>
        <w:t>9.39%</w:t>
      </w:r>
      <w:r>
        <w:rPr>
          <w:rFonts w:hint="eastAsia"/>
          <w:color w:val="000000"/>
          <w:sz w:val="24"/>
          <w:szCs w:val="24"/>
        </w:rPr>
        <w:t>。</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2,010,817,783.60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142,851,163.71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194,757,493.06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220,778,376.68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8,975.14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99,577,773.07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42,345.11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115,030,690.77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297,348,745.00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3,081,213,346.14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45.76</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行业类别</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公允价值（人民币）</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rsidR="00036AB4">
        <w:trPr>
          <w:jc w:val="center"/>
        </w:trPr>
        <w:tc>
          <w:tcPr>
            <w:tcW w:w="2397" w:type="dxa"/>
            <w:vAlign w:val="center"/>
          </w:tcPr>
          <w:p w:rsidR="00036AB4" w:rsidRDefault="00E65610">
            <w:pPr>
              <w:jc w:val="center"/>
            </w:pPr>
            <w:r>
              <w:rPr>
                <w:color w:val="000000"/>
                <w:sz w:val="24"/>
              </w:rPr>
              <w:t>非日常生活消费品</w:t>
            </w:r>
          </w:p>
        </w:tc>
        <w:tc>
          <w:tcPr>
            <w:tcW w:w="3119" w:type="dxa"/>
            <w:vAlign w:val="center"/>
          </w:tcPr>
          <w:p w:rsidR="00036AB4" w:rsidRDefault="00E65610">
            <w:pPr>
              <w:jc w:val="center"/>
            </w:pPr>
            <w:r>
              <w:rPr>
                <w:color w:val="000000"/>
                <w:sz w:val="24"/>
              </w:rPr>
              <w:t>274,243,156.13</w:t>
            </w:r>
          </w:p>
        </w:tc>
        <w:tc>
          <w:tcPr>
            <w:tcW w:w="3118" w:type="dxa"/>
            <w:vAlign w:val="center"/>
          </w:tcPr>
          <w:p w:rsidR="00036AB4" w:rsidRDefault="00E65610">
            <w:pPr>
              <w:jc w:val="center"/>
            </w:pPr>
            <w:r>
              <w:rPr>
                <w:color w:val="000000"/>
                <w:sz w:val="24"/>
              </w:rPr>
              <w:t>4.07</w:t>
            </w:r>
          </w:p>
        </w:tc>
      </w:tr>
      <w:tr w:rsidR="00036AB4">
        <w:trPr>
          <w:jc w:val="center"/>
        </w:trPr>
        <w:tc>
          <w:tcPr>
            <w:tcW w:w="2397" w:type="dxa"/>
            <w:vAlign w:val="center"/>
          </w:tcPr>
          <w:p w:rsidR="00036AB4" w:rsidRDefault="00E65610">
            <w:pPr>
              <w:jc w:val="center"/>
            </w:pPr>
            <w:r>
              <w:rPr>
                <w:color w:val="000000"/>
                <w:sz w:val="24"/>
              </w:rPr>
              <w:t>日常消费品</w:t>
            </w:r>
          </w:p>
        </w:tc>
        <w:tc>
          <w:tcPr>
            <w:tcW w:w="3119" w:type="dxa"/>
            <w:vAlign w:val="center"/>
          </w:tcPr>
          <w:p w:rsidR="00036AB4" w:rsidRDefault="00E65610">
            <w:pPr>
              <w:jc w:val="center"/>
            </w:pPr>
            <w:r>
              <w:rPr>
                <w:color w:val="000000"/>
                <w:sz w:val="24"/>
              </w:rPr>
              <w:t>-</w:t>
            </w:r>
          </w:p>
        </w:tc>
        <w:tc>
          <w:tcPr>
            <w:tcW w:w="3118" w:type="dxa"/>
            <w:vAlign w:val="center"/>
          </w:tcPr>
          <w:p w:rsidR="00036AB4" w:rsidRDefault="00E65610">
            <w:pPr>
              <w:jc w:val="center"/>
            </w:pPr>
            <w:r>
              <w:rPr>
                <w:color w:val="000000"/>
                <w:sz w:val="24"/>
              </w:rPr>
              <w:t>-</w:t>
            </w:r>
          </w:p>
        </w:tc>
      </w:tr>
      <w:tr w:rsidR="00036AB4">
        <w:trPr>
          <w:jc w:val="center"/>
        </w:trPr>
        <w:tc>
          <w:tcPr>
            <w:tcW w:w="2397" w:type="dxa"/>
            <w:vAlign w:val="center"/>
          </w:tcPr>
          <w:p w:rsidR="00036AB4" w:rsidRDefault="00E65610">
            <w:pPr>
              <w:jc w:val="center"/>
            </w:pPr>
            <w:r>
              <w:rPr>
                <w:color w:val="000000"/>
                <w:sz w:val="24"/>
              </w:rPr>
              <w:t>能源</w:t>
            </w:r>
          </w:p>
        </w:tc>
        <w:tc>
          <w:tcPr>
            <w:tcW w:w="3119" w:type="dxa"/>
            <w:vAlign w:val="center"/>
          </w:tcPr>
          <w:p w:rsidR="00036AB4" w:rsidRDefault="00E65610">
            <w:pPr>
              <w:jc w:val="center"/>
            </w:pPr>
            <w:r>
              <w:rPr>
                <w:color w:val="000000"/>
                <w:sz w:val="24"/>
              </w:rPr>
              <w:t>-</w:t>
            </w:r>
          </w:p>
        </w:tc>
        <w:tc>
          <w:tcPr>
            <w:tcW w:w="3118" w:type="dxa"/>
            <w:vAlign w:val="center"/>
          </w:tcPr>
          <w:p w:rsidR="00036AB4" w:rsidRDefault="00E65610">
            <w:pPr>
              <w:jc w:val="center"/>
            </w:pPr>
            <w:r>
              <w:rPr>
                <w:color w:val="000000"/>
                <w:sz w:val="24"/>
              </w:rPr>
              <w:t>-</w:t>
            </w:r>
          </w:p>
        </w:tc>
      </w:tr>
      <w:tr w:rsidR="00036AB4">
        <w:trPr>
          <w:jc w:val="center"/>
        </w:trPr>
        <w:tc>
          <w:tcPr>
            <w:tcW w:w="2397" w:type="dxa"/>
            <w:vAlign w:val="center"/>
          </w:tcPr>
          <w:p w:rsidR="00036AB4" w:rsidRDefault="00E65610">
            <w:pPr>
              <w:jc w:val="center"/>
            </w:pPr>
            <w:r>
              <w:rPr>
                <w:color w:val="000000"/>
                <w:sz w:val="24"/>
              </w:rPr>
              <w:t>金融</w:t>
            </w:r>
          </w:p>
        </w:tc>
        <w:tc>
          <w:tcPr>
            <w:tcW w:w="3119" w:type="dxa"/>
            <w:vAlign w:val="center"/>
          </w:tcPr>
          <w:p w:rsidR="00036AB4" w:rsidRDefault="00E65610">
            <w:pPr>
              <w:jc w:val="center"/>
            </w:pPr>
            <w:r>
              <w:rPr>
                <w:color w:val="000000"/>
                <w:sz w:val="24"/>
              </w:rPr>
              <w:t>-</w:t>
            </w:r>
          </w:p>
        </w:tc>
        <w:tc>
          <w:tcPr>
            <w:tcW w:w="3118" w:type="dxa"/>
            <w:vAlign w:val="center"/>
          </w:tcPr>
          <w:p w:rsidR="00036AB4" w:rsidRDefault="00E65610">
            <w:pPr>
              <w:jc w:val="center"/>
            </w:pPr>
            <w:r>
              <w:rPr>
                <w:color w:val="000000"/>
                <w:sz w:val="24"/>
              </w:rPr>
              <w:t>-</w:t>
            </w:r>
          </w:p>
        </w:tc>
      </w:tr>
      <w:tr w:rsidR="00036AB4">
        <w:trPr>
          <w:jc w:val="center"/>
        </w:trPr>
        <w:tc>
          <w:tcPr>
            <w:tcW w:w="2397" w:type="dxa"/>
            <w:vAlign w:val="center"/>
          </w:tcPr>
          <w:p w:rsidR="00036AB4" w:rsidRDefault="00E65610">
            <w:pPr>
              <w:jc w:val="center"/>
            </w:pPr>
            <w:r>
              <w:rPr>
                <w:color w:val="000000"/>
                <w:sz w:val="24"/>
              </w:rPr>
              <w:t>医疗保健</w:t>
            </w:r>
          </w:p>
        </w:tc>
        <w:tc>
          <w:tcPr>
            <w:tcW w:w="3119" w:type="dxa"/>
            <w:vAlign w:val="center"/>
          </w:tcPr>
          <w:p w:rsidR="00036AB4" w:rsidRDefault="00E65610">
            <w:pPr>
              <w:jc w:val="center"/>
            </w:pPr>
            <w:r>
              <w:rPr>
                <w:color w:val="000000"/>
                <w:sz w:val="24"/>
              </w:rPr>
              <w:t>-</w:t>
            </w:r>
          </w:p>
        </w:tc>
        <w:tc>
          <w:tcPr>
            <w:tcW w:w="3118" w:type="dxa"/>
            <w:vAlign w:val="center"/>
          </w:tcPr>
          <w:p w:rsidR="00036AB4" w:rsidRDefault="00E65610">
            <w:pPr>
              <w:jc w:val="center"/>
            </w:pPr>
            <w:r>
              <w:rPr>
                <w:color w:val="000000"/>
                <w:sz w:val="24"/>
              </w:rPr>
              <w:t>-</w:t>
            </w:r>
          </w:p>
        </w:tc>
      </w:tr>
      <w:tr w:rsidR="00036AB4">
        <w:trPr>
          <w:jc w:val="center"/>
        </w:trPr>
        <w:tc>
          <w:tcPr>
            <w:tcW w:w="2397" w:type="dxa"/>
            <w:vAlign w:val="center"/>
          </w:tcPr>
          <w:p w:rsidR="00036AB4" w:rsidRDefault="00E65610">
            <w:pPr>
              <w:jc w:val="center"/>
            </w:pPr>
            <w:r>
              <w:rPr>
                <w:color w:val="000000"/>
                <w:sz w:val="24"/>
              </w:rPr>
              <w:t>工业</w:t>
            </w:r>
          </w:p>
        </w:tc>
        <w:tc>
          <w:tcPr>
            <w:tcW w:w="3119" w:type="dxa"/>
            <w:vAlign w:val="center"/>
          </w:tcPr>
          <w:p w:rsidR="00036AB4" w:rsidRDefault="00E65610">
            <w:pPr>
              <w:jc w:val="center"/>
            </w:pPr>
            <w:r>
              <w:rPr>
                <w:color w:val="000000"/>
                <w:sz w:val="24"/>
              </w:rPr>
              <w:t>-</w:t>
            </w:r>
          </w:p>
        </w:tc>
        <w:tc>
          <w:tcPr>
            <w:tcW w:w="3118" w:type="dxa"/>
            <w:vAlign w:val="center"/>
          </w:tcPr>
          <w:p w:rsidR="00036AB4" w:rsidRDefault="00E65610">
            <w:pPr>
              <w:jc w:val="center"/>
            </w:pPr>
            <w:r>
              <w:rPr>
                <w:color w:val="000000"/>
                <w:sz w:val="24"/>
              </w:rPr>
              <w:t>-</w:t>
            </w:r>
          </w:p>
        </w:tc>
      </w:tr>
      <w:tr w:rsidR="00036AB4">
        <w:trPr>
          <w:jc w:val="center"/>
        </w:trPr>
        <w:tc>
          <w:tcPr>
            <w:tcW w:w="2397" w:type="dxa"/>
            <w:vAlign w:val="center"/>
          </w:tcPr>
          <w:p w:rsidR="00036AB4" w:rsidRDefault="00E65610">
            <w:pPr>
              <w:jc w:val="center"/>
            </w:pPr>
            <w:r>
              <w:rPr>
                <w:color w:val="000000"/>
                <w:sz w:val="24"/>
              </w:rPr>
              <w:t>信息技术</w:t>
            </w:r>
          </w:p>
        </w:tc>
        <w:tc>
          <w:tcPr>
            <w:tcW w:w="3119" w:type="dxa"/>
            <w:vAlign w:val="center"/>
          </w:tcPr>
          <w:p w:rsidR="00036AB4" w:rsidRDefault="00E65610">
            <w:pPr>
              <w:jc w:val="center"/>
            </w:pPr>
            <w:r>
              <w:rPr>
                <w:color w:val="000000"/>
                <w:sz w:val="24"/>
              </w:rPr>
              <w:t>-</w:t>
            </w:r>
          </w:p>
        </w:tc>
        <w:tc>
          <w:tcPr>
            <w:tcW w:w="3118" w:type="dxa"/>
            <w:vAlign w:val="center"/>
          </w:tcPr>
          <w:p w:rsidR="00036AB4" w:rsidRDefault="00E65610">
            <w:pPr>
              <w:jc w:val="center"/>
            </w:pPr>
            <w:r>
              <w:rPr>
                <w:color w:val="000000"/>
                <w:sz w:val="24"/>
              </w:rPr>
              <w:t>-</w:t>
            </w:r>
          </w:p>
        </w:tc>
      </w:tr>
      <w:tr w:rsidR="00036AB4">
        <w:trPr>
          <w:jc w:val="center"/>
        </w:trPr>
        <w:tc>
          <w:tcPr>
            <w:tcW w:w="2397" w:type="dxa"/>
            <w:vAlign w:val="center"/>
          </w:tcPr>
          <w:p w:rsidR="00036AB4" w:rsidRDefault="00E65610">
            <w:pPr>
              <w:jc w:val="center"/>
            </w:pPr>
            <w:r>
              <w:rPr>
                <w:color w:val="000000"/>
                <w:sz w:val="24"/>
              </w:rPr>
              <w:t>通信服务</w:t>
            </w:r>
          </w:p>
        </w:tc>
        <w:tc>
          <w:tcPr>
            <w:tcW w:w="3119" w:type="dxa"/>
            <w:vAlign w:val="center"/>
          </w:tcPr>
          <w:p w:rsidR="00036AB4" w:rsidRDefault="00E65610">
            <w:pPr>
              <w:jc w:val="center"/>
            </w:pPr>
            <w:r>
              <w:rPr>
                <w:color w:val="000000"/>
                <w:sz w:val="24"/>
              </w:rPr>
              <w:t>356,061,188.50</w:t>
            </w:r>
          </w:p>
        </w:tc>
        <w:tc>
          <w:tcPr>
            <w:tcW w:w="3118" w:type="dxa"/>
            <w:vAlign w:val="center"/>
          </w:tcPr>
          <w:p w:rsidR="00036AB4" w:rsidRDefault="00E65610">
            <w:pPr>
              <w:jc w:val="center"/>
            </w:pPr>
            <w:r>
              <w:rPr>
                <w:color w:val="000000"/>
                <w:sz w:val="24"/>
              </w:rPr>
              <w:t>5.29</w:t>
            </w:r>
          </w:p>
        </w:tc>
      </w:tr>
      <w:tr w:rsidR="00036AB4">
        <w:trPr>
          <w:jc w:val="center"/>
        </w:trPr>
        <w:tc>
          <w:tcPr>
            <w:tcW w:w="2397" w:type="dxa"/>
            <w:vAlign w:val="center"/>
          </w:tcPr>
          <w:p w:rsidR="00036AB4" w:rsidRDefault="00E65610">
            <w:pPr>
              <w:jc w:val="center"/>
            </w:pPr>
            <w:r>
              <w:rPr>
                <w:color w:val="000000"/>
                <w:sz w:val="24"/>
              </w:rPr>
              <w:t>公用事业</w:t>
            </w:r>
          </w:p>
        </w:tc>
        <w:tc>
          <w:tcPr>
            <w:tcW w:w="3119" w:type="dxa"/>
            <w:vAlign w:val="center"/>
          </w:tcPr>
          <w:p w:rsidR="00036AB4" w:rsidRDefault="00E65610">
            <w:pPr>
              <w:jc w:val="center"/>
            </w:pPr>
            <w:r>
              <w:rPr>
                <w:color w:val="000000"/>
                <w:sz w:val="24"/>
              </w:rPr>
              <w:t>-</w:t>
            </w:r>
          </w:p>
        </w:tc>
        <w:tc>
          <w:tcPr>
            <w:tcW w:w="3118" w:type="dxa"/>
            <w:vAlign w:val="center"/>
          </w:tcPr>
          <w:p w:rsidR="00036AB4" w:rsidRDefault="00E65610">
            <w:pPr>
              <w:jc w:val="center"/>
            </w:pPr>
            <w:r>
              <w:rPr>
                <w:color w:val="000000"/>
                <w:sz w:val="24"/>
              </w:rPr>
              <w:t>-</w:t>
            </w:r>
          </w:p>
        </w:tc>
      </w:tr>
      <w:tr w:rsidR="00036AB4">
        <w:trPr>
          <w:jc w:val="center"/>
        </w:trPr>
        <w:tc>
          <w:tcPr>
            <w:tcW w:w="2397" w:type="dxa"/>
            <w:vAlign w:val="center"/>
          </w:tcPr>
          <w:p w:rsidR="00036AB4" w:rsidRDefault="00E65610">
            <w:pPr>
              <w:jc w:val="center"/>
            </w:pPr>
            <w:r>
              <w:rPr>
                <w:color w:val="000000"/>
                <w:sz w:val="24"/>
              </w:rPr>
              <w:t>房地产</w:t>
            </w:r>
          </w:p>
        </w:tc>
        <w:tc>
          <w:tcPr>
            <w:tcW w:w="3119" w:type="dxa"/>
            <w:vAlign w:val="center"/>
          </w:tcPr>
          <w:p w:rsidR="00036AB4" w:rsidRDefault="00E65610">
            <w:pPr>
              <w:jc w:val="center"/>
            </w:pPr>
            <w:r>
              <w:rPr>
                <w:color w:val="000000"/>
                <w:sz w:val="24"/>
              </w:rPr>
              <w:t>-</w:t>
            </w:r>
          </w:p>
        </w:tc>
        <w:tc>
          <w:tcPr>
            <w:tcW w:w="3118" w:type="dxa"/>
            <w:vAlign w:val="center"/>
          </w:tcPr>
          <w:p w:rsidR="00036AB4" w:rsidRDefault="00E65610">
            <w:pPr>
              <w:jc w:val="center"/>
            </w:pPr>
            <w:r>
              <w:rPr>
                <w:color w:val="000000"/>
                <w:sz w:val="24"/>
              </w:rPr>
              <w:t>-</w:t>
            </w:r>
          </w:p>
        </w:tc>
      </w:tr>
      <w:tr w:rsidR="00036AB4">
        <w:trPr>
          <w:jc w:val="center"/>
        </w:trPr>
        <w:tc>
          <w:tcPr>
            <w:tcW w:w="2397" w:type="dxa"/>
            <w:vAlign w:val="center"/>
          </w:tcPr>
          <w:p w:rsidR="00036AB4" w:rsidRDefault="00E65610">
            <w:pPr>
              <w:jc w:val="center"/>
            </w:pPr>
            <w:r>
              <w:rPr>
                <w:color w:val="000000"/>
                <w:sz w:val="24"/>
              </w:rPr>
              <w:t>原材料</w:t>
            </w:r>
          </w:p>
        </w:tc>
        <w:tc>
          <w:tcPr>
            <w:tcW w:w="3119" w:type="dxa"/>
            <w:vAlign w:val="center"/>
          </w:tcPr>
          <w:p w:rsidR="00036AB4" w:rsidRDefault="00E65610">
            <w:pPr>
              <w:jc w:val="center"/>
            </w:pPr>
            <w:r>
              <w:rPr>
                <w:color w:val="000000"/>
                <w:sz w:val="24"/>
              </w:rPr>
              <w:t>2,013,472.20</w:t>
            </w:r>
          </w:p>
        </w:tc>
        <w:tc>
          <w:tcPr>
            <w:tcW w:w="3118" w:type="dxa"/>
            <w:vAlign w:val="center"/>
          </w:tcPr>
          <w:p w:rsidR="00036AB4" w:rsidRDefault="00E65610">
            <w:pPr>
              <w:jc w:val="center"/>
            </w:pPr>
            <w:r>
              <w:rPr>
                <w:color w:val="000000"/>
                <w:sz w:val="24"/>
              </w:rPr>
              <w:t>0.03</w:t>
            </w:r>
          </w:p>
        </w:tc>
      </w:tr>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合计</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632,317,816.83</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9.39</w:t>
            </w:r>
          </w:p>
        </w:tc>
      </w:tr>
    </w:tbl>
    <w:p w:rsidR="004061AC" w:rsidRPr="00F51C4E" w:rsidRDefault="00E65610" w:rsidP="00C15CAC">
      <w:pPr>
        <w:autoSpaceDE w:val="0"/>
        <w:autoSpaceDN w:val="0"/>
        <w:adjustRightInd w:val="0"/>
        <w:spacing w:before="29" w:line="288" w:lineRule="auto"/>
        <w:jc w:val="left"/>
        <w:rPr>
          <w:color w:val="000000"/>
          <w:kern w:val="0"/>
          <w:sz w:val="24"/>
          <w:szCs w:val="24"/>
        </w:rPr>
      </w:pPr>
      <w:r>
        <w:rPr>
          <w:rFonts w:hint="eastAsia"/>
          <w:color w:val="000000"/>
          <w:kern w:val="0"/>
          <w:sz w:val="24"/>
          <w:szCs w:val="24"/>
        </w:rPr>
        <w:t>注</w:t>
      </w:r>
      <w:r>
        <w:rPr>
          <w:color w:val="000000"/>
          <w:kern w:val="0"/>
          <w:sz w:val="24"/>
          <w:szCs w:val="24"/>
        </w:rPr>
        <w:t>：</w:t>
      </w:r>
      <w:r w:rsidRPr="00E65610">
        <w:rPr>
          <w:rFonts w:hint="eastAsia"/>
          <w:color w:val="000000"/>
          <w:kern w:val="0"/>
          <w:sz w:val="24"/>
          <w:szCs w:val="24"/>
        </w:rPr>
        <w:t>以上分类采用全球行业分类标准（</w:t>
      </w:r>
      <w:r w:rsidRPr="00E65610">
        <w:rPr>
          <w:rFonts w:hint="eastAsia"/>
          <w:color w:val="000000"/>
          <w:kern w:val="0"/>
          <w:sz w:val="24"/>
          <w:szCs w:val="24"/>
        </w:rPr>
        <w:t>GICS</w:t>
      </w:r>
      <w:r w:rsidRPr="00E65610">
        <w:rPr>
          <w:rFonts w:hint="eastAsia"/>
          <w:color w:val="000000"/>
          <w:kern w:val="0"/>
          <w:sz w:val="24"/>
          <w:szCs w:val="24"/>
        </w:rPr>
        <w:t>）。</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036AB4">
        <w:trPr>
          <w:jc w:val="center"/>
        </w:trPr>
        <w:tc>
          <w:tcPr>
            <w:tcW w:w="855" w:type="dxa"/>
            <w:vAlign w:val="center"/>
          </w:tcPr>
          <w:p w:rsidR="00036AB4" w:rsidRDefault="00E65610">
            <w:pPr>
              <w:jc w:val="center"/>
            </w:pPr>
            <w:r>
              <w:rPr>
                <w:color w:val="000000"/>
                <w:sz w:val="24"/>
                <w:szCs w:val="24"/>
              </w:rPr>
              <w:t>1</w:t>
            </w:r>
          </w:p>
        </w:tc>
        <w:tc>
          <w:tcPr>
            <w:tcW w:w="1334" w:type="dxa"/>
            <w:vAlign w:val="center"/>
          </w:tcPr>
          <w:p w:rsidR="00036AB4" w:rsidRDefault="00E65610">
            <w:pPr>
              <w:jc w:val="center"/>
            </w:pPr>
            <w:r>
              <w:rPr>
                <w:color w:val="000000"/>
                <w:sz w:val="24"/>
                <w:szCs w:val="24"/>
              </w:rPr>
              <w:t>00700.HK</w:t>
            </w:r>
          </w:p>
        </w:tc>
        <w:tc>
          <w:tcPr>
            <w:tcW w:w="1777" w:type="dxa"/>
            <w:vAlign w:val="center"/>
          </w:tcPr>
          <w:p w:rsidR="00036AB4" w:rsidRDefault="00E65610">
            <w:pPr>
              <w:jc w:val="center"/>
            </w:pPr>
            <w:r>
              <w:rPr>
                <w:color w:val="000000"/>
                <w:sz w:val="24"/>
                <w:szCs w:val="24"/>
              </w:rPr>
              <w:t>腾讯控股</w:t>
            </w:r>
          </w:p>
        </w:tc>
        <w:tc>
          <w:tcPr>
            <w:tcW w:w="1334" w:type="dxa"/>
            <w:vAlign w:val="center"/>
          </w:tcPr>
          <w:p w:rsidR="00036AB4" w:rsidRDefault="00E65610">
            <w:pPr>
              <w:jc w:val="right"/>
            </w:pPr>
            <w:r>
              <w:rPr>
                <w:color w:val="000000"/>
                <w:sz w:val="24"/>
                <w:szCs w:val="24"/>
              </w:rPr>
              <w:t>750,100</w:t>
            </w:r>
          </w:p>
        </w:tc>
        <w:tc>
          <w:tcPr>
            <w:tcW w:w="1924" w:type="dxa"/>
            <w:vAlign w:val="center"/>
          </w:tcPr>
          <w:p w:rsidR="00036AB4" w:rsidRDefault="00E65610">
            <w:pPr>
              <w:jc w:val="right"/>
            </w:pPr>
            <w:r>
              <w:rPr>
                <w:color w:val="000000"/>
                <w:sz w:val="24"/>
                <w:szCs w:val="24"/>
              </w:rPr>
              <w:t>356,061,188.50</w:t>
            </w:r>
          </w:p>
        </w:tc>
        <w:tc>
          <w:tcPr>
            <w:tcW w:w="1644" w:type="dxa"/>
            <w:vAlign w:val="center"/>
          </w:tcPr>
          <w:p w:rsidR="00036AB4" w:rsidRDefault="00E65610">
            <w:pPr>
              <w:jc w:val="right"/>
            </w:pPr>
            <w:r>
              <w:rPr>
                <w:color w:val="000000"/>
                <w:sz w:val="24"/>
                <w:szCs w:val="24"/>
              </w:rPr>
              <w:t>5.29</w:t>
            </w:r>
          </w:p>
        </w:tc>
      </w:tr>
      <w:tr w:rsidR="00036AB4">
        <w:trPr>
          <w:jc w:val="center"/>
        </w:trPr>
        <w:tc>
          <w:tcPr>
            <w:tcW w:w="855" w:type="dxa"/>
            <w:vAlign w:val="center"/>
          </w:tcPr>
          <w:p w:rsidR="00036AB4" w:rsidRDefault="00E65610">
            <w:pPr>
              <w:jc w:val="center"/>
            </w:pPr>
            <w:r>
              <w:rPr>
                <w:color w:val="000000"/>
                <w:sz w:val="24"/>
                <w:szCs w:val="24"/>
              </w:rPr>
              <w:t>2</w:t>
            </w:r>
          </w:p>
        </w:tc>
        <w:tc>
          <w:tcPr>
            <w:tcW w:w="1334" w:type="dxa"/>
            <w:vAlign w:val="center"/>
          </w:tcPr>
          <w:p w:rsidR="00036AB4" w:rsidRDefault="00E65610">
            <w:pPr>
              <w:jc w:val="center"/>
            </w:pPr>
            <w:r>
              <w:rPr>
                <w:color w:val="000000"/>
                <w:sz w:val="24"/>
                <w:szCs w:val="24"/>
              </w:rPr>
              <w:t>300413</w:t>
            </w:r>
          </w:p>
        </w:tc>
        <w:tc>
          <w:tcPr>
            <w:tcW w:w="1777" w:type="dxa"/>
            <w:vAlign w:val="center"/>
          </w:tcPr>
          <w:p w:rsidR="00036AB4" w:rsidRDefault="00E65610">
            <w:pPr>
              <w:jc w:val="center"/>
            </w:pPr>
            <w:r>
              <w:rPr>
                <w:color w:val="000000"/>
                <w:sz w:val="24"/>
                <w:szCs w:val="24"/>
              </w:rPr>
              <w:t>芒果超媒</w:t>
            </w:r>
          </w:p>
        </w:tc>
        <w:tc>
          <w:tcPr>
            <w:tcW w:w="1334" w:type="dxa"/>
            <w:vAlign w:val="center"/>
          </w:tcPr>
          <w:p w:rsidR="00036AB4" w:rsidRDefault="00E65610">
            <w:pPr>
              <w:jc w:val="right"/>
            </w:pPr>
            <w:r>
              <w:rPr>
                <w:color w:val="000000"/>
                <w:sz w:val="24"/>
                <w:szCs w:val="24"/>
              </w:rPr>
              <w:t>4,101,362</w:t>
            </w:r>
          </w:p>
        </w:tc>
        <w:tc>
          <w:tcPr>
            <w:tcW w:w="1924" w:type="dxa"/>
            <w:vAlign w:val="center"/>
          </w:tcPr>
          <w:p w:rsidR="00036AB4" w:rsidRDefault="00E65610">
            <w:pPr>
              <w:jc w:val="right"/>
            </w:pPr>
            <w:r>
              <w:rPr>
                <w:color w:val="000000"/>
                <w:sz w:val="24"/>
                <w:szCs w:val="24"/>
              </w:rPr>
              <w:t>297,348,745.00</w:t>
            </w:r>
          </w:p>
        </w:tc>
        <w:tc>
          <w:tcPr>
            <w:tcW w:w="1644" w:type="dxa"/>
            <w:vAlign w:val="center"/>
          </w:tcPr>
          <w:p w:rsidR="00036AB4" w:rsidRDefault="00E65610">
            <w:pPr>
              <w:jc w:val="right"/>
            </w:pPr>
            <w:r>
              <w:rPr>
                <w:color w:val="000000"/>
                <w:sz w:val="24"/>
                <w:szCs w:val="24"/>
              </w:rPr>
              <w:t>4.42</w:t>
            </w:r>
          </w:p>
        </w:tc>
      </w:tr>
      <w:tr w:rsidR="00036AB4">
        <w:trPr>
          <w:jc w:val="center"/>
        </w:trPr>
        <w:tc>
          <w:tcPr>
            <w:tcW w:w="855" w:type="dxa"/>
            <w:vAlign w:val="center"/>
          </w:tcPr>
          <w:p w:rsidR="00036AB4" w:rsidRDefault="00E65610">
            <w:pPr>
              <w:jc w:val="center"/>
            </w:pPr>
            <w:r>
              <w:rPr>
                <w:color w:val="000000"/>
                <w:sz w:val="24"/>
                <w:szCs w:val="24"/>
              </w:rPr>
              <w:t>3</w:t>
            </w:r>
          </w:p>
        </w:tc>
        <w:tc>
          <w:tcPr>
            <w:tcW w:w="1334" w:type="dxa"/>
            <w:vAlign w:val="center"/>
          </w:tcPr>
          <w:p w:rsidR="00036AB4" w:rsidRDefault="00E65610">
            <w:pPr>
              <w:jc w:val="center"/>
            </w:pPr>
            <w:r>
              <w:rPr>
                <w:color w:val="000000"/>
                <w:sz w:val="24"/>
                <w:szCs w:val="24"/>
              </w:rPr>
              <w:t>002050</w:t>
            </w:r>
          </w:p>
        </w:tc>
        <w:tc>
          <w:tcPr>
            <w:tcW w:w="1777" w:type="dxa"/>
            <w:vAlign w:val="center"/>
          </w:tcPr>
          <w:p w:rsidR="00036AB4" w:rsidRDefault="00E65610">
            <w:pPr>
              <w:jc w:val="center"/>
            </w:pPr>
            <w:r>
              <w:rPr>
                <w:color w:val="000000"/>
                <w:sz w:val="24"/>
                <w:szCs w:val="24"/>
              </w:rPr>
              <w:t>三花智控</w:t>
            </w:r>
          </w:p>
        </w:tc>
        <w:tc>
          <w:tcPr>
            <w:tcW w:w="1334" w:type="dxa"/>
            <w:vAlign w:val="center"/>
          </w:tcPr>
          <w:p w:rsidR="00036AB4" w:rsidRDefault="00E65610">
            <w:pPr>
              <w:jc w:val="right"/>
            </w:pPr>
            <w:r>
              <w:rPr>
                <w:color w:val="000000"/>
                <w:sz w:val="24"/>
                <w:szCs w:val="24"/>
              </w:rPr>
              <w:t>11,802,946</w:t>
            </w:r>
          </w:p>
        </w:tc>
        <w:tc>
          <w:tcPr>
            <w:tcW w:w="1924" w:type="dxa"/>
            <w:vAlign w:val="center"/>
          </w:tcPr>
          <w:p w:rsidR="00036AB4" w:rsidRDefault="00E65610">
            <w:pPr>
              <w:jc w:val="right"/>
            </w:pPr>
            <w:r>
              <w:rPr>
                <w:color w:val="000000"/>
                <w:sz w:val="24"/>
                <w:szCs w:val="24"/>
              </w:rPr>
              <w:t>290,942,618.90</w:t>
            </w:r>
          </w:p>
        </w:tc>
        <w:tc>
          <w:tcPr>
            <w:tcW w:w="1644" w:type="dxa"/>
            <w:vAlign w:val="center"/>
          </w:tcPr>
          <w:p w:rsidR="00036AB4" w:rsidRDefault="00E65610">
            <w:pPr>
              <w:jc w:val="right"/>
            </w:pPr>
            <w:r>
              <w:rPr>
                <w:color w:val="000000"/>
                <w:sz w:val="24"/>
                <w:szCs w:val="24"/>
              </w:rPr>
              <w:t>4.32</w:t>
            </w:r>
          </w:p>
        </w:tc>
      </w:tr>
      <w:tr w:rsidR="00036AB4">
        <w:trPr>
          <w:jc w:val="center"/>
        </w:trPr>
        <w:tc>
          <w:tcPr>
            <w:tcW w:w="855" w:type="dxa"/>
            <w:vAlign w:val="center"/>
          </w:tcPr>
          <w:p w:rsidR="00036AB4" w:rsidRDefault="00E65610">
            <w:pPr>
              <w:jc w:val="center"/>
            </w:pPr>
            <w:r>
              <w:rPr>
                <w:color w:val="000000"/>
                <w:sz w:val="24"/>
                <w:szCs w:val="24"/>
              </w:rPr>
              <w:t>4</w:t>
            </w:r>
          </w:p>
        </w:tc>
        <w:tc>
          <w:tcPr>
            <w:tcW w:w="1334" w:type="dxa"/>
            <w:vAlign w:val="center"/>
          </w:tcPr>
          <w:p w:rsidR="00036AB4" w:rsidRDefault="00E65610">
            <w:pPr>
              <w:jc w:val="center"/>
            </w:pPr>
            <w:r>
              <w:rPr>
                <w:color w:val="000000"/>
                <w:sz w:val="24"/>
                <w:szCs w:val="24"/>
              </w:rPr>
              <w:t>601318</w:t>
            </w:r>
          </w:p>
        </w:tc>
        <w:tc>
          <w:tcPr>
            <w:tcW w:w="1777" w:type="dxa"/>
            <w:vAlign w:val="center"/>
          </w:tcPr>
          <w:p w:rsidR="00036AB4" w:rsidRDefault="00E65610">
            <w:pPr>
              <w:jc w:val="center"/>
            </w:pPr>
            <w:r>
              <w:rPr>
                <w:color w:val="000000"/>
                <w:sz w:val="24"/>
                <w:szCs w:val="24"/>
              </w:rPr>
              <w:t>中国平安</w:t>
            </w:r>
          </w:p>
        </w:tc>
        <w:tc>
          <w:tcPr>
            <w:tcW w:w="1334" w:type="dxa"/>
            <w:vAlign w:val="center"/>
          </w:tcPr>
          <w:p w:rsidR="00036AB4" w:rsidRDefault="00E65610">
            <w:pPr>
              <w:jc w:val="right"/>
            </w:pPr>
            <w:r>
              <w:rPr>
                <w:color w:val="000000"/>
                <w:sz w:val="24"/>
                <w:szCs w:val="24"/>
              </w:rPr>
              <w:t>2,538,266</w:t>
            </w:r>
          </w:p>
        </w:tc>
        <w:tc>
          <w:tcPr>
            <w:tcW w:w="1924" w:type="dxa"/>
            <w:vAlign w:val="center"/>
          </w:tcPr>
          <w:p w:rsidR="00036AB4" w:rsidRDefault="00E65610">
            <w:pPr>
              <w:jc w:val="right"/>
            </w:pPr>
            <w:r>
              <w:rPr>
                <w:color w:val="000000"/>
                <w:sz w:val="24"/>
                <w:szCs w:val="24"/>
              </w:rPr>
              <w:t>220,778,376.68</w:t>
            </w:r>
          </w:p>
        </w:tc>
        <w:tc>
          <w:tcPr>
            <w:tcW w:w="1644" w:type="dxa"/>
            <w:vAlign w:val="center"/>
          </w:tcPr>
          <w:p w:rsidR="00036AB4" w:rsidRDefault="00E65610">
            <w:pPr>
              <w:jc w:val="right"/>
            </w:pPr>
            <w:r>
              <w:rPr>
                <w:color w:val="000000"/>
                <w:sz w:val="24"/>
                <w:szCs w:val="24"/>
              </w:rPr>
              <w:t>3.28</w:t>
            </w:r>
          </w:p>
        </w:tc>
      </w:tr>
      <w:tr w:rsidR="00036AB4">
        <w:trPr>
          <w:jc w:val="center"/>
        </w:trPr>
        <w:tc>
          <w:tcPr>
            <w:tcW w:w="855" w:type="dxa"/>
            <w:vAlign w:val="center"/>
          </w:tcPr>
          <w:p w:rsidR="00036AB4" w:rsidRDefault="00E65610">
            <w:pPr>
              <w:jc w:val="center"/>
            </w:pPr>
            <w:r>
              <w:rPr>
                <w:color w:val="000000"/>
                <w:sz w:val="24"/>
                <w:szCs w:val="24"/>
              </w:rPr>
              <w:t>5</w:t>
            </w:r>
          </w:p>
        </w:tc>
        <w:tc>
          <w:tcPr>
            <w:tcW w:w="1334" w:type="dxa"/>
            <w:vAlign w:val="center"/>
          </w:tcPr>
          <w:p w:rsidR="00036AB4" w:rsidRDefault="00E65610">
            <w:pPr>
              <w:jc w:val="center"/>
            </w:pPr>
            <w:r>
              <w:rPr>
                <w:color w:val="000000"/>
                <w:sz w:val="24"/>
                <w:szCs w:val="24"/>
              </w:rPr>
              <w:t>002049</w:t>
            </w:r>
          </w:p>
        </w:tc>
        <w:tc>
          <w:tcPr>
            <w:tcW w:w="1777" w:type="dxa"/>
            <w:vAlign w:val="center"/>
          </w:tcPr>
          <w:p w:rsidR="00036AB4" w:rsidRDefault="00E65610">
            <w:pPr>
              <w:jc w:val="center"/>
            </w:pPr>
            <w:r>
              <w:rPr>
                <w:color w:val="000000"/>
                <w:sz w:val="24"/>
                <w:szCs w:val="24"/>
              </w:rPr>
              <w:t>紫光国微</w:t>
            </w:r>
          </w:p>
        </w:tc>
        <w:tc>
          <w:tcPr>
            <w:tcW w:w="1334" w:type="dxa"/>
            <w:vAlign w:val="center"/>
          </w:tcPr>
          <w:p w:rsidR="00036AB4" w:rsidRDefault="00E65610">
            <w:pPr>
              <w:jc w:val="right"/>
            </w:pPr>
            <w:r>
              <w:rPr>
                <w:color w:val="000000"/>
                <w:sz w:val="24"/>
                <w:szCs w:val="24"/>
              </w:rPr>
              <w:t>1,517,466</w:t>
            </w:r>
          </w:p>
        </w:tc>
        <w:tc>
          <w:tcPr>
            <w:tcW w:w="1924" w:type="dxa"/>
            <w:vAlign w:val="center"/>
          </w:tcPr>
          <w:p w:rsidR="00036AB4" w:rsidRDefault="00E65610">
            <w:pPr>
              <w:jc w:val="right"/>
            </w:pPr>
            <w:r>
              <w:rPr>
                <w:color w:val="000000"/>
                <w:sz w:val="24"/>
                <w:szCs w:val="24"/>
              </w:rPr>
              <w:t>203,052,125.46</w:t>
            </w:r>
          </w:p>
        </w:tc>
        <w:tc>
          <w:tcPr>
            <w:tcW w:w="1644" w:type="dxa"/>
            <w:vAlign w:val="center"/>
          </w:tcPr>
          <w:p w:rsidR="00036AB4" w:rsidRDefault="00E65610">
            <w:pPr>
              <w:jc w:val="right"/>
            </w:pPr>
            <w:r>
              <w:rPr>
                <w:color w:val="000000"/>
                <w:sz w:val="24"/>
                <w:szCs w:val="24"/>
              </w:rPr>
              <w:t>3.02</w:t>
            </w:r>
          </w:p>
        </w:tc>
      </w:tr>
      <w:tr w:rsidR="00036AB4">
        <w:trPr>
          <w:jc w:val="center"/>
        </w:trPr>
        <w:tc>
          <w:tcPr>
            <w:tcW w:w="855" w:type="dxa"/>
            <w:vAlign w:val="center"/>
          </w:tcPr>
          <w:p w:rsidR="00036AB4" w:rsidRDefault="00E65610">
            <w:pPr>
              <w:jc w:val="center"/>
            </w:pPr>
            <w:r>
              <w:rPr>
                <w:color w:val="000000"/>
                <w:sz w:val="24"/>
                <w:szCs w:val="24"/>
              </w:rPr>
              <w:t>6</w:t>
            </w:r>
          </w:p>
        </w:tc>
        <w:tc>
          <w:tcPr>
            <w:tcW w:w="1334" w:type="dxa"/>
            <w:vAlign w:val="center"/>
          </w:tcPr>
          <w:p w:rsidR="00036AB4" w:rsidRDefault="00E65610">
            <w:pPr>
              <w:jc w:val="center"/>
            </w:pPr>
            <w:r>
              <w:rPr>
                <w:color w:val="000000"/>
                <w:sz w:val="24"/>
                <w:szCs w:val="24"/>
              </w:rPr>
              <w:t>002271</w:t>
            </w:r>
          </w:p>
        </w:tc>
        <w:tc>
          <w:tcPr>
            <w:tcW w:w="1777" w:type="dxa"/>
            <w:vAlign w:val="center"/>
          </w:tcPr>
          <w:p w:rsidR="00036AB4" w:rsidRDefault="00E65610">
            <w:pPr>
              <w:jc w:val="center"/>
            </w:pPr>
            <w:r>
              <w:rPr>
                <w:color w:val="000000"/>
                <w:sz w:val="24"/>
                <w:szCs w:val="24"/>
              </w:rPr>
              <w:t>东方雨虹</w:t>
            </w:r>
          </w:p>
        </w:tc>
        <w:tc>
          <w:tcPr>
            <w:tcW w:w="1334" w:type="dxa"/>
            <w:vAlign w:val="center"/>
          </w:tcPr>
          <w:p w:rsidR="00036AB4" w:rsidRDefault="00E65610">
            <w:pPr>
              <w:jc w:val="right"/>
            </w:pPr>
            <w:r>
              <w:rPr>
                <w:color w:val="000000"/>
                <w:sz w:val="24"/>
                <w:szCs w:val="24"/>
              </w:rPr>
              <w:t>4,347,567</w:t>
            </w:r>
          </w:p>
        </w:tc>
        <w:tc>
          <w:tcPr>
            <w:tcW w:w="1924" w:type="dxa"/>
            <w:vAlign w:val="center"/>
          </w:tcPr>
          <w:p w:rsidR="00036AB4" w:rsidRDefault="00E65610">
            <w:pPr>
              <w:jc w:val="right"/>
            </w:pPr>
            <w:r>
              <w:rPr>
                <w:color w:val="000000"/>
                <w:sz w:val="24"/>
                <w:szCs w:val="24"/>
              </w:rPr>
              <w:t>168,685,599.60</w:t>
            </w:r>
          </w:p>
        </w:tc>
        <w:tc>
          <w:tcPr>
            <w:tcW w:w="1644" w:type="dxa"/>
            <w:vAlign w:val="center"/>
          </w:tcPr>
          <w:p w:rsidR="00036AB4" w:rsidRDefault="00E65610">
            <w:pPr>
              <w:jc w:val="right"/>
            </w:pPr>
            <w:r>
              <w:rPr>
                <w:color w:val="000000"/>
                <w:sz w:val="24"/>
                <w:szCs w:val="24"/>
              </w:rPr>
              <w:t>2.51</w:t>
            </w:r>
          </w:p>
        </w:tc>
      </w:tr>
      <w:tr w:rsidR="00036AB4">
        <w:trPr>
          <w:jc w:val="center"/>
        </w:trPr>
        <w:tc>
          <w:tcPr>
            <w:tcW w:w="855" w:type="dxa"/>
            <w:vAlign w:val="center"/>
          </w:tcPr>
          <w:p w:rsidR="00036AB4" w:rsidRDefault="00E65610">
            <w:pPr>
              <w:jc w:val="center"/>
            </w:pPr>
            <w:r>
              <w:rPr>
                <w:color w:val="000000"/>
                <w:sz w:val="24"/>
                <w:szCs w:val="24"/>
              </w:rPr>
              <w:t>7</w:t>
            </w:r>
          </w:p>
        </w:tc>
        <w:tc>
          <w:tcPr>
            <w:tcW w:w="1334" w:type="dxa"/>
            <w:vAlign w:val="center"/>
          </w:tcPr>
          <w:p w:rsidR="00036AB4" w:rsidRDefault="00E65610">
            <w:pPr>
              <w:jc w:val="center"/>
            </w:pPr>
            <w:r>
              <w:rPr>
                <w:color w:val="000000"/>
                <w:sz w:val="24"/>
                <w:szCs w:val="24"/>
              </w:rPr>
              <w:t>002352</w:t>
            </w:r>
          </w:p>
        </w:tc>
        <w:tc>
          <w:tcPr>
            <w:tcW w:w="1777" w:type="dxa"/>
            <w:vAlign w:val="center"/>
          </w:tcPr>
          <w:p w:rsidR="00036AB4" w:rsidRDefault="00E65610">
            <w:pPr>
              <w:jc w:val="center"/>
            </w:pPr>
            <w:r>
              <w:rPr>
                <w:color w:val="000000"/>
                <w:sz w:val="24"/>
                <w:szCs w:val="24"/>
              </w:rPr>
              <w:t>顺丰控股</w:t>
            </w:r>
          </w:p>
        </w:tc>
        <w:tc>
          <w:tcPr>
            <w:tcW w:w="1334" w:type="dxa"/>
            <w:vAlign w:val="center"/>
          </w:tcPr>
          <w:p w:rsidR="00036AB4" w:rsidRDefault="00E65610">
            <w:pPr>
              <w:jc w:val="right"/>
            </w:pPr>
            <w:r>
              <w:rPr>
                <w:color w:val="000000"/>
                <w:sz w:val="24"/>
                <w:szCs w:val="24"/>
              </w:rPr>
              <w:t>1,619,077</w:t>
            </w:r>
          </w:p>
        </w:tc>
        <w:tc>
          <w:tcPr>
            <w:tcW w:w="1924" w:type="dxa"/>
            <w:vAlign w:val="center"/>
          </w:tcPr>
          <w:p w:rsidR="00036AB4" w:rsidRDefault="00E65610">
            <w:pPr>
              <w:jc w:val="right"/>
            </w:pPr>
            <w:r>
              <w:rPr>
                <w:color w:val="000000"/>
                <w:sz w:val="24"/>
                <w:szCs w:val="24"/>
              </w:rPr>
              <w:t>142,851,163.71</w:t>
            </w:r>
          </w:p>
        </w:tc>
        <w:tc>
          <w:tcPr>
            <w:tcW w:w="1644" w:type="dxa"/>
            <w:vAlign w:val="center"/>
          </w:tcPr>
          <w:p w:rsidR="00036AB4" w:rsidRDefault="00E65610">
            <w:pPr>
              <w:jc w:val="right"/>
            </w:pPr>
            <w:r>
              <w:rPr>
                <w:color w:val="000000"/>
                <w:sz w:val="24"/>
                <w:szCs w:val="24"/>
              </w:rPr>
              <w:t>2.12</w:t>
            </w:r>
          </w:p>
        </w:tc>
      </w:tr>
      <w:tr w:rsidR="00036AB4">
        <w:trPr>
          <w:jc w:val="center"/>
        </w:trPr>
        <w:tc>
          <w:tcPr>
            <w:tcW w:w="855" w:type="dxa"/>
            <w:vAlign w:val="center"/>
          </w:tcPr>
          <w:p w:rsidR="00036AB4" w:rsidRDefault="00E65610">
            <w:pPr>
              <w:jc w:val="center"/>
            </w:pPr>
            <w:r>
              <w:rPr>
                <w:color w:val="000000"/>
                <w:sz w:val="24"/>
                <w:szCs w:val="24"/>
              </w:rPr>
              <w:t>8</w:t>
            </w:r>
          </w:p>
        </w:tc>
        <w:tc>
          <w:tcPr>
            <w:tcW w:w="1334" w:type="dxa"/>
            <w:vAlign w:val="center"/>
          </w:tcPr>
          <w:p w:rsidR="00036AB4" w:rsidRDefault="00E65610">
            <w:pPr>
              <w:jc w:val="center"/>
            </w:pPr>
            <w:r>
              <w:rPr>
                <w:color w:val="000000"/>
                <w:sz w:val="24"/>
                <w:szCs w:val="24"/>
              </w:rPr>
              <w:t>600519</w:t>
            </w:r>
          </w:p>
        </w:tc>
        <w:tc>
          <w:tcPr>
            <w:tcW w:w="1777" w:type="dxa"/>
            <w:vAlign w:val="center"/>
          </w:tcPr>
          <w:p w:rsidR="00036AB4" w:rsidRDefault="00E65610">
            <w:pPr>
              <w:jc w:val="center"/>
            </w:pPr>
            <w:r>
              <w:rPr>
                <w:color w:val="000000"/>
                <w:sz w:val="24"/>
                <w:szCs w:val="24"/>
              </w:rPr>
              <w:t>贵州茅台</w:t>
            </w:r>
          </w:p>
        </w:tc>
        <w:tc>
          <w:tcPr>
            <w:tcW w:w="1334" w:type="dxa"/>
            <w:vAlign w:val="center"/>
          </w:tcPr>
          <w:p w:rsidR="00036AB4" w:rsidRDefault="00E65610">
            <w:pPr>
              <w:jc w:val="right"/>
            </w:pPr>
            <w:r>
              <w:rPr>
                <w:color w:val="000000"/>
                <w:sz w:val="24"/>
                <w:szCs w:val="24"/>
              </w:rPr>
              <w:t>69,900</w:t>
            </w:r>
          </w:p>
        </w:tc>
        <w:tc>
          <w:tcPr>
            <w:tcW w:w="1924" w:type="dxa"/>
            <w:vAlign w:val="center"/>
          </w:tcPr>
          <w:p w:rsidR="00036AB4" w:rsidRDefault="00E65610">
            <w:pPr>
              <w:jc w:val="right"/>
            </w:pPr>
            <w:r>
              <w:rPr>
                <w:color w:val="000000"/>
                <w:sz w:val="24"/>
                <w:szCs w:val="24"/>
              </w:rPr>
              <w:t>139,660,200.00</w:t>
            </w:r>
          </w:p>
        </w:tc>
        <w:tc>
          <w:tcPr>
            <w:tcW w:w="1644" w:type="dxa"/>
            <w:vAlign w:val="center"/>
          </w:tcPr>
          <w:p w:rsidR="00036AB4" w:rsidRDefault="00E65610">
            <w:pPr>
              <w:jc w:val="right"/>
            </w:pPr>
            <w:r>
              <w:rPr>
                <w:color w:val="000000"/>
                <w:sz w:val="24"/>
                <w:szCs w:val="24"/>
              </w:rPr>
              <w:t>2.07</w:t>
            </w:r>
          </w:p>
        </w:tc>
      </w:tr>
      <w:tr w:rsidR="00036AB4">
        <w:trPr>
          <w:jc w:val="center"/>
        </w:trPr>
        <w:tc>
          <w:tcPr>
            <w:tcW w:w="855" w:type="dxa"/>
            <w:vAlign w:val="center"/>
          </w:tcPr>
          <w:p w:rsidR="00036AB4" w:rsidRDefault="00E65610">
            <w:pPr>
              <w:jc w:val="center"/>
            </w:pPr>
            <w:r>
              <w:rPr>
                <w:color w:val="000000"/>
                <w:sz w:val="24"/>
                <w:szCs w:val="24"/>
              </w:rPr>
              <w:t>9</w:t>
            </w:r>
          </w:p>
        </w:tc>
        <w:tc>
          <w:tcPr>
            <w:tcW w:w="1334" w:type="dxa"/>
            <w:vAlign w:val="center"/>
          </w:tcPr>
          <w:p w:rsidR="00036AB4" w:rsidRDefault="00E65610">
            <w:pPr>
              <w:jc w:val="center"/>
            </w:pPr>
            <w:r>
              <w:rPr>
                <w:color w:val="000000"/>
                <w:sz w:val="24"/>
                <w:szCs w:val="24"/>
              </w:rPr>
              <w:t>000333</w:t>
            </w:r>
          </w:p>
        </w:tc>
        <w:tc>
          <w:tcPr>
            <w:tcW w:w="1777" w:type="dxa"/>
            <w:vAlign w:val="center"/>
          </w:tcPr>
          <w:p w:rsidR="00036AB4" w:rsidRDefault="00E65610">
            <w:pPr>
              <w:jc w:val="center"/>
            </w:pPr>
            <w:r>
              <w:rPr>
                <w:color w:val="000000"/>
                <w:sz w:val="24"/>
                <w:szCs w:val="24"/>
              </w:rPr>
              <w:t>美的集团</w:t>
            </w:r>
          </w:p>
        </w:tc>
        <w:tc>
          <w:tcPr>
            <w:tcW w:w="1334" w:type="dxa"/>
            <w:vAlign w:val="center"/>
          </w:tcPr>
          <w:p w:rsidR="00036AB4" w:rsidRDefault="00E65610">
            <w:pPr>
              <w:jc w:val="right"/>
            </w:pPr>
            <w:r>
              <w:rPr>
                <w:color w:val="000000"/>
                <w:sz w:val="24"/>
                <w:szCs w:val="24"/>
              </w:rPr>
              <w:t>1,236,751</w:t>
            </w:r>
          </w:p>
        </w:tc>
        <w:tc>
          <w:tcPr>
            <w:tcW w:w="1924" w:type="dxa"/>
            <w:vAlign w:val="center"/>
          </w:tcPr>
          <w:p w:rsidR="00036AB4" w:rsidRDefault="00E65610">
            <w:pPr>
              <w:jc w:val="right"/>
            </w:pPr>
            <w:r>
              <w:rPr>
                <w:color w:val="000000"/>
                <w:sz w:val="24"/>
                <w:szCs w:val="24"/>
              </w:rPr>
              <w:t>121,745,768.44</w:t>
            </w:r>
          </w:p>
        </w:tc>
        <w:tc>
          <w:tcPr>
            <w:tcW w:w="1644" w:type="dxa"/>
            <w:vAlign w:val="center"/>
          </w:tcPr>
          <w:p w:rsidR="00036AB4" w:rsidRDefault="00E65610">
            <w:pPr>
              <w:jc w:val="right"/>
            </w:pPr>
            <w:r>
              <w:rPr>
                <w:color w:val="000000"/>
                <w:sz w:val="24"/>
                <w:szCs w:val="24"/>
              </w:rPr>
              <w:t>1.81</w:t>
            </w:r>
          </w:p>
        </w:tc>
      </w:tr>
      <w:tr w:rsidR="00036AB4">
        <w:trPr>
          <w:jc w:val="center"/>
        </w:trPr>
        <w:tc>
          <w:tcPr>
            <w:tcW w:w="855" w:type="dxa"/>
            <w:vAlign w:val="center"/>
          </w:tcPr>
          <w:p w:rsidR="00036AB4" w:rsidRDefault="00E65610">
            <w:pPr>
              <w:jc w:val="center"/>
            </w:pPr>
            <w:r>
              <w:rPr>
                <w:color w:val="000000"/>
                <w:sz w:val="24"/>
                <w:szCs w:val="24"/>
              </w:rPr>
              <w:t>10</w:t>
            </w:r>
          </w:p>
        </w:tc>
        <w:tc>
          <w:tcPr>
            <w:tcW w:w="1334" w:type="dxa"/>
            <w:vAlign w:val="center"/>
          </w:tcPr>
          <w:p w:rsidR="00036AB4" w:rsidRDefault="00E65610">
            <w:pPr>
              <w:jc w:val="center"/>
            </w:pPr>
            <w:r>
              <w:rPr>
                <w:color w:val="000000"/>
                <w:sz w:val="24"/>
                <w:szCs w:val="24"/>
              </w:rPr>
              <w:t>002607</w:t>
            </w:r>
          </w:p>
        </w:tc>
        <w:tc>
          <w:tcPr>
            <w:tcW w:w="1777" w:type="dxa"/>
            <w:vAlign w:val="center"/>
          </w:tcPr>
          <w:p w:rsidR="00036AB4" w:rsidRDefault="00E65610">
            <w:pPr>
              <w:jc w:val="center"/>
            </w:pPr>
            <w:r>
              <w:rPr>
                <w:color w:val="000000"/>
                <w:sz w:val="24"/>
                <w:szCs w:val="24"/>
              </w:rPr>
              <w:t>中公教育</w:t>
            </w:r>
          </w:p>
        </w:tc>
        <w:tc>
          <w:tcPr>
            <w:tcW w:w="1334" w:type="dxa"/>
            <w:vAlign w:val="center"/>
          </w:tcPr>
          <w:p w:rsidR="00036AB4" w:rsidRDefault="00E65610">
            <w:pPr>
              <w:jc w:val="right"/>
            </w:pPr>
            <w:r>
              <w:rPr>
                <w:color w:val="000000"/>
                <w:sz w:val="24"/>
                <w:szCs w:val="24"/>
              </w:rPr>
              <w:t>3,274,429</w:t>
            </w:r>
          </w:p>
        </w:tc>
        <w:tc>
          <w:tcPr>
            <w:tcW w:w="1924" w:type="dxa"/>
            <w:vAlign w:val="center"/>
          </w:tcPr>
          <w:p w:rsidR="00036AB4" w:rsidRDefault="00E65610">
            <w:pPr>
              <w:jc w:val="right"/>
            </w:pPr>
            <w:r>
              <w:rPr>
                <w:color w:val="000000"/>
                <w:sz w:val="24"/>
                <w:szCs w:val="24"/>
              </w:rPr>
              <w:t>115,030,690.77</w:t>
            </w:r>
          </w:p>
        </w:tc>
        <w:tc>
          <w:tcPr>
            <w:tcW w:w="1644" w:type="dxa"/>
            <w:vAlign w:val="center"/>
          </w:tcPr>
          <w:p w:rsidR="00036AB4" w:rsidRDefault="00E65610">
            <w:pPr>
              <w:jc w:val="right"/>
            </w:pPr>
            <w:r>
              <w:rPr>
                <w:color w:val="000000"/>
                <w:sz w:val="24"/>
                <w:szCs w:val="24"/>
              </w:rPr>
              <w:t>1.71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348,000.00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0.01</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348,000.00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036AB4">
        <w:trPr>
          <w:jc w:val="center"/>
        </w:trPr>
        <w:tc>
          <w:tcPr>
            <w:tcW w:w="850" w:type="dxa"/>
            <w:vAlign w:val="center"/>
          </w:tcPr>
          <w:p w:rsidR="00036AB4" w:rsidRDefault="00E65610">
            <w:pPr>
              <w:jc w:val="center"/>
            </w:pPr>
            <w:r>
              <w:rPr>
                <w:color w:val="000000"/>
                <w:sz w:val="24"/>
                <w:szCs w:val="24"/>
              </w:rPr>
              <w:t>1</w:t>
            </w:r>
          </w:p>
        </w:tc>
        <w:tc>
          <w:tcPr>
            <w:tcW w:w="1475" w:type="dxa"/>
            <w:vAlign w:val="center"/>
          </w:tcPr>
          <w:p w:rsidR="00036AB4" w:rsidRDefault="00E65610">
            <w:pPr>
              <w:jc w:val="center"/>
            </w:pPr>
            <w:r>
              <w:rPr>
                <w:color w:val="000000"/>
                <w:sz w:val="24"/>
                <w:szCs w:val="24"/>
              </w:rPr>
              <w:t>113616</w:t>
            </w:r>
          </w:p>
        </w:tc>
        <w:tc>
          <w:tcPr>
            <w:tcW w:w="1769" w:type="dxa"/>
            <w:vAlign w:val="center"/>
          </w:tcPr>
          <w:p w:rsidR="00036AB4" w:rsidRDefault="00E65610">
            <w:pPr>
              <w:jc w:val="center"/>
            </w:pPr>
            <w:r>
              <w:rPr>
                <w:color w:val="000000"/>
                <w:sz w:val="24"/>
                <w:szCs w:val="24"/>
              </w:rPr>
              <w:t>韦尔转债</w:t>
            </w:r>
          </w:p>
        </w:tc>
        <w:tc>
          <w:tcPr>
            <w:tcW w:w="1387" w:type="dxa"/>
            <w:vAlign w:val="center"/>
          </w:tcPr>
          <w:p w:rsidR="00036AB4" w:rsidRDefault="00E65610">
            <w:pPr>
              <w:jc w:val="right"/>
            </w:pPr>
            <w:r>
              <w:rPr>
                <w:color w:val="000000"/>
                <w:sz w:val="24"/>
                <w:szCs w:val="24"/>
              </w:rPr>
              <w:t>3,480</w:t>
            </w:r>
          </w:p>
        </w:tc>
        <w:tc>
          <w:tcPr>
            <w:tcW w:w="2150" w:type="dxa"/>
            <w:vAlign w:val="center"/>
          </w:tcPr>
          <w:p w:rsidR="00036AB4" w:rsidRDefault="00E65610">
            <w:pPr>
              <w:jc w:val="right"/>
            </w:pPr>
            <w:r>
              <w:rPr>
                <w:color w:val="000000"/>
                <w:sz w:val="24"/>
                <w:szCs w:val="24"/>
              </w:rPr>
              <w:t>348,000.00</w:t>
            </w:r>
          </w:p>
        </w:tc>
        <w:tc>
          <w:tcPr>
            <w:tcW w:w="1237" w:type="dxa"/>
            <w:vAlign w:val="center"/>
          </w:tcPr>
          <w:p w:rsidR="00036AB4" w:rsidRDefault="00E65610">
            <w:pPr>
              <w:jc w:val="right"/>
            </w:pPr>
            <w:r>
              <w:rPr>
                <w:color w:val="000000"/>
                <w:sz w:val="24"/>
                <w:szCs w:val="24"/>
              </w:rPr>
              <w:t>0.01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5,632,369.45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2,394,045,060.26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-522,191.88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1,282,050.42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2,400,437,288.25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6,774,860,547.70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124,980,072.71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421,001,803.31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6,478,838,817.10</w:t>
            </w:r>
          </w:p>
        </w:tc>
      </w:tr>
    </w:tbl>
    <w:p w:rsidR="00036AB4" w:rsidRDefault="00E6561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036AB4" w:rsidRDefault="00E6561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、中国证监会准予交银施罗德产业机遇混合型证券投资基金募集注册的文件；</w:t>
      </w:r>
      <w:r>
        <w:rPr>
          <w:color w:val="000000"/>
          <w:sz w:val="24"/>
          <w:szCs w:val="24"/>
        </w:rPr>
        <w:t xml:space="preserve"> </w:t>
      </w:r>
    </w:p>
    <w:p w:rsidR="00036AB4" w:rsidRDefault="00E6561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、《交银施罗德产业机遇混合型证券投资基金基金合同》；</w:t>
      </w:r>
      <w:r>
        <w:rPr>
          <w:color w:val="000000"/>
          <w:sz w:val="24"/>
          <w:szCs w:val="24"/>
        </w:rPr>
        <w:t xml:space="preserve"> </w:t>
      </w:r>
    </w:p>
    <w:p w:rsidR="00036AB4" w:rsidRDefault="00E6561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、《交银施罗德产业机遇混合型证券投资基金招募说明书》；</w:t>
      </w:r>
      <w:r>
        <w:rPr>
          <w:color w:val="000000"/>
          <w:sz w:val="24"/>
          <w:szCs w:val="24"/>
        </w:rPr>
        <w:t xml:space="preserve"> </w:t>
      </w:r>
    </w:p>
    <w:p w:rsidR="00036AB4" w:rsidRDefault="00E6561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、《交银施罗德产业机遇混合型证券投资基金托管协议》；</w:t>
      </w:r>
      <w:r>
        <w:rPr>
          <w:color w:val="000000"/>
          <w:sz w:val="24"/>
          <w:szCs w:val="24"/>
        </w:rPr>
        <w:t xml:space="preserve"> </w:t>
      </w:r>
    </w:p>
    <w:p w:rsidR="00036AB4" w:rsidRDefault="00E65610">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、关于申请募集注册交银施罗德产业机遇混合型证券投资基金的法律意见书；</w:t>
      </w:r>
      <w:r>
        <w:rPr>
          <w:color w:val="000000"/>
          <w:sz w:val="24"/>
          <w:szCs w:val="24"/>
        </w:rPr>
        <w:t xml:space="preserve"> </w:t>
      </w:r>
    </w:p>
    <w:p w:rsidR="00036AB4" w:rsidRDefault="00E65610">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036AB4" w:rsidRDefault="00E65610">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、报告期内交银施罗德产业机遇混合型证券投资基金在指定报刊上各项公告的原稿。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036AB4" w:rsidRDefault="00E65610">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04F" w:rsidRDefault="00EE304F" w:rsidP="00876D65">
      <w:r>
        <w:separator/>
      </w:r>
    </w:p>
  </w:endnote>
  <w:endnote w:type="continuationSeparator" w:id="0">
    <w:p w:rsidR="00EE304F" w:rsidRDefault="00EE304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E01891">
      <w:rPr>
        <w:noProof/>
        <w:kern w:val="0"/>
        <w:szCs w:val="21"/>
      </w:rPr>
      <w:t>3</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E01891">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04F" w:rsidRDefault="00EE304F" w:rsidP="00876D65">
      <w:r>
        <w:separator/>
      </w:r>
    </w:p>
  </w:footnote>
  <w:footnote w:type="continuationSeparator" w:id="0">
    <w:p w:rsidR="00EE304F" w:rsidRDefault="00EE304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交银施罗德产业机遇混合型证券投资基金</w:t>
    </w:r>
    <w:r w:rsidRPr="003E676C">
      <w:rPr>
        <w:sz w:val="24"/>
        <w:szCs w:val="24"/>
      </w:rPr>
      <w:t>2020</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36AB4"/>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4DA"/>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18F"/>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1891"/>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65610"/>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04F"/>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FA412-EF83-4945-A6B8-CFC9098FA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1830</TotalTime>
  <Pages>12</Pages>
  <Words>1071</Words>
  <Characters>6106</Characters>
  <Application>Microsoft Office Word</Application>
  <DocSecurity>0</DocSecurity>
  <Lines>50</Lines>
  <Paragraphs>14</Paragraphs>
  <ScaleCrop>false</ScaleCrop>
  <Company/>
  <LinksUpToDate>false</LinksUpToDate>
  <CharactersWithSpaces>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604</cp:revision>
  <dcterms:created xsi:type="dcterms:W3CDTF">2012-10-16T06:07:00Z</dcterms:created>
  <dcterms:modified xsi:type="dcterms:W3CDTF">2021-01-20T05:26:00Z</dcterms:modified>
</cp:coreProperties>
</file>