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交银施罗德内核驱动混合型证券投资基金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553CF" w:rsidRDefault="005823D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交银内核驱动混合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008507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008507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7,198,698,040.59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在严格控制风险的前提下，追求超越业绩比较基准的投资回报，力争实现基金资产的长期稳健增值。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C553CF" w:rsidRDefault="005823D6">
            <w:pPr>
              <w:adjustRightInd w:val="0"/>
              <w:spacing w:before="29" w:line="288" w:lineRule="auto"/>
              <w:ind w:left="17"/>
              <w:jc w:val="left"/>
              <w:rPr>
                <w:color w:val="000000"/>
                <w:sz w:val="24"/>
                <w:szCs w:val="24"/>
              </w:rPr>
            </w:pPr>
            <w:r>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本基金主要运用交银施罗德股票研究分析方法等投资分析工具，在把握宏观经济运行趋势和股票市场行业轮动的基础上，充分发挥公司股票研究团队</w:t>
            </w:r>
            <w:r w:rsidRPr="00414345">
              <w:rPr>
                <w:color w:val="000000"/>
                <w:kern w:val="0"/>
                <w:sz w:val="24"/>
                <w:szCs w:val="24"/>
              </w:rPr>
              <w:t>“</w:t>
            </w:r>
            <w:r w:rsidRPr="00414345">
              <w:rPr>
                <w:color w:val="000000"/>
                <w:kern w:val="0"/>
                <w:sz w:val="24"/>
                <w:szCs w:val="24"/>
              </w:rPr>
              <w:t>自下而</w:t>
            </w:r>
            <w:r w:rsidRPr="00414345">
              <w:rPr>
                <w:color w:val="000000"/>
                <w:kern w:val="0"/>
                <w:sz w:val="24"/>
                <w:szCs w:val="24"/>
              </w:rPr>
              <w:lastRenderedPageBreak/>
              <w:t>上</w:t>
            </w:r>
            <w:r w:rsidRPr="00414345">
              <w:rPr>
                <w:color w:val="000000"/>
                <w:kern w:val="0"/>
                <w:sz w:val="24"/>
                <w:szCs w:val="24"/>
              </w:rPr>
              <w:t>”</w:t>
            </w:r>
            <w:r w:rsidRPr="00414345">
              <w:rPr>
                <w:color w:val="000000"/>
                <w:kern w:val="0"/>
                <w:sz w:val="24"/>
                <w:szCs w:val="24"/>
              </w:rPr>
              <w:t>的主动选股能力，基于对个股深入的基本面研究和细致的实地调研，精选股票构建股票投资组合。本基金股票投资重点关注以企业核心经营理念为驱动力，追求质量型发展的优质企业。本基金主要采用定性的方法对企业核心经营理念进行综合评估，采用定量的方法遴选优质个股。</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中证综合债券指数收益率</w:t>
            </w:r>
            <w:r w:rsidRPr="00414345">
              <w:rPr>
                <w:color w:val="000000"/>
                <w:kern w:val="0"/>
                <w:sz w:val="24"/>
                <w:szCs w:val="24"/>
              </w:rPr>
              <w:t>×30%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E2E5F" w:rsidRPr="00414345" w:rsidTr="00BE2E5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E2E5F" w:rsidRPr="00414345" w:rsidTr="00BE2E5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680,808,494.08</w:t>
            </w:r>
          </w:p>
        </w:tc>
      </w:tr>
      <w:tr w:rsidR="00BE2E5F" w:rsidRPr="00414345" w:rsidTr="00BE2E5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1,280,229,552.26</w:t>
            </w:r>
          </w:p>
        </w:tc>
      </w:tr>
      <w:tr w:rsidR="00BE2E5F" w:rsidRPr="00414345" w:rsidTr="00BE2E5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0.1642</w:t>
            </w:r>
          </w:p>
        </w:tc>
      </w:tr>
      <w:tr w:rsidR="00BE2E5F" w:rsidRPr="00414345" w:rsidTr="00BE2E5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10,620,994,062.77</w:t>
            </w:r>
          </w:p>
        </w:tc>
      </w:tr>
      <w:tr w:rsidR="00BE2E5F" w:rsidRPr="00414345" w:rsidTr="00BE2E5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1.4754</w:t>
            </w:r>
          </w:p>
        </w:tc>
      </w:tr>
    </w:tbl>
    <w:p w:rsidR="00C553CF" w:rsidRDefault="005823D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553CF">
        <w:trPr>
          <w:jc w:val="center"/>
        </w:trPr>
        <w:tc>
          <w:tcPr>
            <w:tcW w:w="1701" w:type="dxa"/>
            <w:vAlign w:val="center"/>
          </w:tcPr>
          <w:p w:rsidR="00C553CF" w:rsidRDefault="005823D6">
            <w:pPr>
              <w:jc w:val="left"/>
            </w:pPr>
            <w:r>
              <w:rPr>
                <w:color w:val="000000"/>
                <w:sz w:val="24"/>
                <w:szCs w:val="24"/>
              </w:rPr>
              <w:lastRenderedPageBreak/>
              <w:t>过去三个月</w:t>
            </w:r>
          </w:p>
        </w:tc>
        <w:tc>
          <w:tcPr>
            <w:tcW w:w="1045" w:type="dxa"/>
            <w:vAlign w:val="center"/>
          </w:tcPr>
          <w:p w:rsidR="00C553CF" w:rsidRDefault="005823D6">
            <w:pPr>
              <w:jc w:val="center"/>
            </w:pPr>
            <w:r>
              <w:rPr>
                <w:color w:val="000000"/>
                <w:sz w:val="24"/>
                <w:szCs w:val="24"/>
              </w:rPr>
              <w:t>12.59%</w:t>
            </w:r>
          </w:p>
        </w:tc>
        <w:tc>
          <w:tcPr>
            <w:tcW w:w="1344" w:type="dxa"/>
            <w:vAlign w:val="center"/>
          </w:tcPr>
          <w:p w:rsidR="00C553CF" w:rsidRDefault="005823D6">
            <w:pPr>
              <w:jc w:val="center"/>
            </w:pPr>
            <w:r>
              <w:rPr>
                <w:color w:val="000000"/>
                <w:sz w:val="24"/>
                <w:szCs w:val="24"/>
              </w:rPr>
              <w:t>1.08%</w:t>
            </w:r>
          </w:p>
        </w:tc>
        <w:tc>
          <w:tcPr>
            <w:tcW w:w="1194" w:type="dxa"/>
            <w:vAlign w:val="center"/>
          </w:tcPr>
          <w:p w:rsidR="00C553CF" w:rsidRDefault="005823D6">
            <w:pPr>
              <w:jc w:val="center"/>
            </w:pPr>
            <w:r>
              <w:rPr>
                <w:color w:val="000000"/>
                <w:sz w:val="24"/>
                <w:szCs w:val="24"/>
              </w:rPr>
              <w:t>9.80%</w:t>
            </w:r>
          </w:p>
        </w:tc>
        <w:tc>
          <w:tcPr>
            <w:tcW w:w="1492" w:type="dxa"/>
            <w:vAlign w:val="center"/>
          </w:tcPr>
          <w:p w:rsidR="00C553CF" w:rsidRDefault="005823D6">
            <w:pPr>
              <w:jc w:val="center"/>
            </w:pPr>
            <w:r>
              <w:rPr>
                <w:color w:val="000000"/>
                <w:sz w:val="24"/>
                <w:szCs w:val="24"/>
              </w:rPr>
              <w:t>0.69%</w:t>
            </w:r>
          </w:p>
        </w:tc>
        <w:tc>
          <w:tcPr>
            <w:tcW w:w="1194" w:type="dxa"/>
            <w:vAlign w:val="center"/>
          </w:tcPr>
          <w:p w:rsidR="00C553CF" w:rsidRDefault="005823D6">
            <w:pPr>
              <w:jc w:val="center"/>
            </w:pPr>
            <w:r>
              <w:rPr>
                <w:color w:val="000000"/>
                <w:sz w:val="24"/>
                <w:szCs w:val="24"/>
              </w:rPr>
              <w:t>2.79%</w:t>
            </w:r>
          </w:p>
        </w:tc>
        <w:tc>
          <w:tcPr>
            <w:tcW w:w="898" w:type="dxa"/>
            <w:vAlign w:val="center"/>
          </w:tcPr>
          <w:p w:rsidR="00C553CF" w:rsidRDefault="005823D6">
            <w:pPr>
              <w:jc w:val="center"/>
            </w:pPr>
            <w:r>
              <w:rPr>
                <w:color w:val="000000"/>
                <w:sz w:val="24"/>
                <w:szCs w:val="24"/>
              </w:rPr>
              <w:t>0.39%</w:t>
            </w:r>
          </w:p>
        </w:tc>
      </w:tr>
      <w:tr w:rsidR="00C553CF">
        <w:trPr>
          <w:jc w:val="center"/>
        </w:trPr>
        <w:tc>
          <w:tcPr>
            <w:tcW w:w="1701" w:type="dxa"/>
            <w:vAlign w:val="center"/>
          </w:tcPr>
          <w:p w:rsidR="00C553CF" w:rsidRDefault="005823D6">
            <w:pPr>
              <w:jc w:val="left"/>
            </w:pPr>
            <w:r>
              <w:rPr>
                <w:color w:val="000000"/>
                <w:sz w:val="24"/>
                <w:szCs w:val="24"/>
              </w:rPr>
              <w:t>过去六个月</w:t>
            </w:r>
          </w:p>
        </w:tc>
        <w:tc>
          <w:tcPr>
            <w:tcW w:w="1045" w:type="dxa"/>
            <w:vAlign w:val="center"/>
          </w:tcPr>
          <w:p w:rsidR="00C553CF" w:rsidRDefault="005823D6">
            <w:pPr>
              <w:jc w:val="center"/>
            </w:pPr>
            <w:r>
              <w:rPr>
                <w:color w:val="000000"/>
                <w:sz w:val="24"/>
                <w:szCs w:val="24"/>
              </w:rPr>
              <w:t>26.23%</w:t>
            </w:r>
          </w:p>
        </w:tc>
        <w:tc>
          <w:tcPr>
            <w:tcW w:w="1344" w:type="dxa"/>
            <w:vAlign w:val="center"/>
          </w:tcPr>
          <w:p w:rsidR="00C553CF" w:rsidRDefault="005823D6">
            <w:pPr>
              <w:jc w:val="center"/>
            </w:pPr>
            <w:r>
              <w:rPr>
                <w:color w:val="000000"/>
                <w:sz w:val="24"/>
                <w:szCs w:val="24"/>
              </w:rPr>
              <w:t>1.23%</w:t>
            </w:r>
          </w:p>
        </w:tc>
        <w:tc>
          <w:tcPr>
            <w:tcW w:w="1194" w:type="dxa"/>
            <w:vAlign w:val="center"/>
          </w:tcPr>
          <w:p w:rsidR="00C553CF" w:rsidRDefault="005823D6">
            <w:pPr>
              <w:jc w:val="center"/>
            </w:pPr>
            <w:r>
              <w:rPr>
                <w:color w:val="000000"/>
                <w:sz w:val="24"/>
                <w:szCs w:val="24"/>
              </w:rPr>
              <w:t>17.52%</w:t>
            </w:r>
          </w:p>
        </w:tc>
        <w:tc>
          <w:tcPr>
            <w:tcW w:w="1492" w:type="dxa"/>
            <w:vAlign w:val="center"/>
          </w:tcPr>
          <w:p w:rsidR="00C553CF" w:rsidRDefault="005823D6">
            <w:pPr>
              <w:jc w:val="center"/>
            </w:pPr>
            <w:r>
              <w:rPr>
                <w:color w:val="000000"/>
                <w:sz w:val="24"/>
                <w:szCs w:val="24"/>
              </w:rPr>
              <w:t>0.94%</w:t>
            </w:r>
          </w:p>
        </w:tc>
        <w:tc>
          <w:tcPr>
            <w:tcW w:w="1194" w:type="dxa"/>
            <w:vAlign w:val="center"/>
          </w:tcPr>
          <w:p w:rsidR="00C553CF" w:rsidRDefault="005823D6">
            <w:pPr>
              <w:jc w:val="center"/>
            </w:pPr>
            <w:r>
              <w:rPr>
                <w:color w:val="000000"/>
                <w:sz w:val="24"/>
                <w:szCs w:val="24"/>
              </w:rPr>
              <w:t>8.71%</w:t>
            </w:r>
          </w:p>
        </w:tc>
        <w:tc>
          <w:tcPr>
            <w:tcW w:w="898" w:type="dxa"/>
            <w:vAlign w:val="center"/>
          </w:tcPr>
          <w:p w:rsidR="00C553CF" w:rsidRDefault="005823D6">
            <w:pPr>
              <w:jc w:val="center"/>
            </w:pPr>
            <w:r>
              <w:rPr>
                <w:color w:val="000000"/>
                <w:sz w:val="24"/>
                <w:szCs w:val="24"/>
              </w:rPr>
              <w:t>0.29%</w:t>
            </w:r>
          </w:p>
        </w:tc>
      </w:tr>
      <w:tr w:rsidR="00C553CF">
        <w:trPr>
          <w:jc w:val="center"/>
        </w:trPr>
        <w:tc>
          <w:tcPr>
            <w:tcW w:w="1701" w:type="dxa"/>
            <w:vAlign w:val="center"/>
          </w:tcPr>
          <w:p w:rsidR="00C553CF" w:rsidRDefault="005823D6">
            <w:pPr>
              <w:jc w:val="left"/>
            </w:pPr>
            <w:r>
              <w:rPr>
                <w:color w:val="000000"/>
                <w:sz w:val="24"/>
                <w:szCs w:val="24"/>
              </w:rPr>
              <w:t>自基金合同生效至今</w:t>
            </w:r>
          </w:p>
        </w:tc>
        <w:tc>
          <w:tcPr>
            <w:tcW w:w="1045" w:type="dxa"/>
            <w:vAlign w:val="center"/>
          </w:tcPr>
          <w:p w:rsidR="00C553CF" w:rsidRDefault="005823D6">
            <w:pPr>
              <w:jc w:val="center"/>
            </w:pPr>
            <w:r>
              <w:rPr>
                <w:color w:val="000000"/>
                <w:sz w:val="24"/>
                <w:szCs w:val="24"/>
              </w:rPr>
              <w:t>47.54%</w:t>
            </w:r>
          </w:p>
        </w:tc>
        <w:tc>
          <w:tcPr>
            <w:tcW w:w="1344" w:type="dxa"/>
            <w:vAlign w:val="center"/>
          </w:tcPr>
          <w:p w:rsidR="00C553CF" w:rsidRDefault="005823D6">
            <w:pPr>
              <w:jc w:val="center"/>
            </w:pPr>
            <w:r>
              <w:rPr>
                <w:color w:val="000000"/>
                <w:sz w:val="24"/>
                <w:szCs w:val="24"/>
              </w:rPr>
              <w:t>1.13%</w:t>
            </w:r>
          </w:p>
        </w:tc>
        <w:tc>
          <w:tcPr>
            <w:tcW w:w="1194" w:type="dxa"/>
            <w:vAlign w:val="center"/>
          </w:tcPr>
          <w:p w:rsidR="00C553CF" w:rsidRDefault="005823D6">
            <w:pPr>
              <w:jc w:val="center"/>
            </w:pPr>
            <w:r>
              <w:rPr>
                <w:color w:val="000000"/>
                <w:sz w:val="24"/>
                <w:szCs w:val="24"/>
              </w:rPr>
              <w:t>18.64%</w:t>
            </w:r>
          </w:p>
        </w:tc>
        <w:tc>
          <w:tcPr>
            <w:tcW w:w="1492" w:type="dxa"/>
            <w:vAlign w:val="center"/>
          </w:tcPr>
          <w:p w:rsidR="00C553CF" w:rsidRDefault="005823D6">
            <w:pPr>
              <w:jc w:val="center"/>
            </w:pPr>
            <w:r>
              <w:rPr>
                <w:color w:val="000000"/>
                <w:sz w:val="24"/>
                <w:szCs w:val="24"/>
              </w:rPr>
              <w:t>1.01%</w:t>
            </w:r>
          </w:p>
        </w:tc>
        <w:tc>
          <w:tcPr>
            <w:tcW w:w="1194" w:type="dxa"/>
            <w:vAlign w:val="center"/>
          </w:tcPr>
          <w:p w:rsidR="00C553CF" w:rsidRDefault="005823D6">
            <w:pPr>
              <w:jc w:val="center"/>
            </w:pPr>
            <w:r>
              <w:rPr>
                <w:color w:val="000000"/>
                <w:sz w:val="24"/>
                <w:szCs w:val="24"/>
              </w:rPr>
              <w:t>28.90%</w:t>
            </w:r>
          </w:p>
        </w:tc>
        <w:tc>
          <w:tcPr>
            <w:tcW w:w="898" w:type="dxa"/>
            <w:vAlign w:val="center"/>
          </w:tcPr>
          <w:p w:rsidR="00C553CF" w:rsidRDefault="005823D6">
            <w:pPr>
              <w:jc w:val="center"/>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交银施罗德内核驱动混合型证券投资基金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13</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553CF">
        <w:trPr>
          <w:jc w:val="center"/>
        </w:trPr>
        <w:tc>
          <w:tcPr>
            <w:tcW w:w="846" w:type="dxa"/>
            <w:vAlign w:val="center"/>
          </w:tcPr>
          <w:p w:rsidR="00C553CF" w:rsidRDefault="005823D6">
            <w:pPr>
              <w:jc w:val="center"/>
            </w:pPr>
            <w:r>
              <w:rPr>
                <w:color w:val="000000"/>
                <w:sz w:val="24"/>
                <w:szCs w:val="24"/>
              </w:rPr>
              <w:t>杨浩</w:t>
            </w:r>
          </w:p>
        </w:tc>
        <w:tc>
          <w:tcPr>
            <w:tcW w:w="845" w:type="dxa"/>
            <w:vAlign w:val="center"/>
          </w:tcPr>
          <w:p w:rsidR="00C553CF" w:rsidRDefault="005823D6">
            <w:pPr>
              <w:jc w:val="center"/>
            </w:pPr>
            <w:r>
              <w:rPr>
                <w:color w:val="000000"/>
                <w:sz w:val="24"/>
                <w:szCs w:val="24"/>
              </w:rPr>
              <w:t>交银</w:t>
            </w:r>
            <w:r>
              <w:rPr>
                <w:color w:val="000000"/>
                <w:sz w:val="24"/>
                <w:szCs w:val="24"/>
              </w:rPr>
              <w:lastRenderedPageBreak/>
              <w:t>定期支付双息平衡混合、交银新生活力灵活配置混合、交银内核驱动混合、交银科锐科技创新混合的基金经理</w:t>
            </w:r>
          </w:p>
        </w:tc>
        <w:tc>
          <w:tcPr>
            <w:tcW w:w="1549" w:type="dxa"/>
            <w:vAlign w:val="center"/>
          </w:tcPr>
          <w:p w:rsidR="00C553CF" w:rsidRDefault="005823D6">
            <w:pPr>
              <w:jc w:val="center"/>
            </w:pPr>
            <w:r>
              <w:rPr>
                <w:color w:val="000000"/>
                <w:sz w:val="24"/>
                <w:szCs w:val="24"/>
              </w:rPr>
              <w:lastRenderedPageBreak/>
              <w:t>2020-01-13</w:t>
            </w:r>
          </w:p>
        </w:tc>
        <w:tc>
          <w:tcPr>
            <w:tcW w:w="1548" w:type="dxa"/>
            <w:vAlign w:val="center"/>
          </w:tcPr>
          <w:p w:rsidR="00C553CF" w:rsidRDefault="005823D6">
            <w:pPr>
              <w:jc w:val="center"/>
            </w:pPr>
            <w:r>
              <w:rPr>
                <w:color w:val="000000"/>
                <w:sz w:val="24"/>
                <w:szCs w:val="24"/>
              </w:rPr>
              <w:t>-</w:t>
            </w:r>
          </w:p>
        </w:tc>
        <w:tc>
          <w:tcPr>
            <w:tcW w:w="1407" w:type="dxa"/>
            <w:vAlign w:val="center"/>
          </w:tcPr>
          <w:p w:rsidR="00C553CF" w:rsidRDefault="005823D6">
            <w:pPr>
              <w:jc w:val="center"/>
            </w:pPr>
            <w:r>
              <w:rPr>
                <w:color w:val="000000"/>
                <w:sz w:val="24"/>
                <w:szCs w:val="24"/>
              </w:rPr>
              <w:t>10</w:t>
            </w:r>
            <w:r>
              <w:rPr>
                <w:color w:val="000000"/>
                <w:sz w:val="24"/>
                <w:szCs w:val="24"/>
              </w:rPr>
              <w:t>年</w:t>
            </w:r>
          </w:p>
        </w:tc>
        <w:tc>
          <w:tcPr>
            <w:tcW w:w="2673" w:type="dxa"/>
            <w:vAlign w:val="center"/>
          </w:tcPr>
          <w:p w:rsidR="00C553CF" w:rsidRDefault="005823D6">
            <w:r>
              <w:rPr>
                <w:color w:val="000000"/>
                <w:sz w:val="24"/>
                <w:szCs w:val="24"/>
              </w:rPr>
              <w:t>杨浩先生，北京邮电大</w:t>
            </w:r>
            <w:r>
              <w:rPr>
                <w:color w:val="000000"/>
                <w:sz w:val="24"/>
                <w:szCs w:val="24"/>
              </w:rPr>
              <w:lastRenderedPageBreak/>
              <w:t>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553CF" w:rsidRDefault="005823D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C553CF" w:rsidRDefault="005823D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w:t>
      </w:r>
      <w:r>
        <w:rPr>
          <w:color w:val="000000"/>
          <w:sz w:val="24"/>
          <w:szCs w:val="24"/>
        </w:rPr>
        <w:lastRenderedPageBreak/>
        <w:t>遵循公平交易分配原则对交易结果进行分配。</w:t>
      </w:r>
    </w:p>
    <w:p w:rsidR="00C553CF" w:rsidRDefault="005823D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w:t>
      </w:r>
      <w:r>
        <w:rPr>
          <w:color w:val="000000"/>
          <w:sz w:val="24"/>
          <w:szCs w:val="24"/>
        </w:rPr>
        <w:t>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553CF" w:rsidRDefault="005823D6">
      <w:pPr>
        <w:spacing w:before="29" w:line="288" w:lineRule="auto"/>
        <w:ind w:firstLineChars="200" w:firstLine="480"/>
        <w:rPr>
          <w:color w:val="000000"/>
          <w:sz w:val="24"/>
          <w:szCs w:val="24"/>
        </w:rPr>
      </w:pPr>
      <w:r>
        <w:rPr>
          <w:color w:val="000000"/>
          <w:sz w:val="24"/>
          <w:szCs w:val="24"/>
        </w:rPr>
        <w:t>2020</w:t>
      </w:r>
      <w:r>
        <w:rPr>
          <w:color w:val="000000"/>
          <w:sz w:val="24"/>
          <w:szCs w:val="24"/>
        </w:rPr>
        <w:t>年四季度，沪深</w:t>
      </w:r>
      <w:r>
        <w:rPr>
          <w:color w:val="000000"/>
          <w:sz w:val="24"/>
          <w:szCs w:val="24"/>
        </w:rPr>
        <w:t>300</w:t>
      </w:r>
      <w:r>
        <w:rPr>
          <w:color w:val="000000"/>
          <w:sz w:val="24"/>
          <w:szCs w:val="24"/>
        </w:rPr>
        <w:t>上涨</w:t>
      </w:r>
      <w:r>
        <w:rPr>
          <w:color w:val="000000"/>
          <w:sz w:val="24"/>
          <w:szCs w:val="24"/>
        </w:rPr>
        <w:t>13.60%</w:t>
      </w:r>
      <w:r>
        <w:rPr>
          <w:color w:val="000000"/>
          <w:sz w:val="24"/>
          <w:szCs w:val="24"/>
        </w:rPr>
        <w:t>，创业板指数上涨</w:t>
      </w:r>
      <w:r>
        <w:rPr>
          <w:color w:val="000000"/>
          <w:sz w:val="24"/>
          <w:szCs w:val="24"/>
        </w:rPr>
        <w:t>15.21%</w:t>
      </w:r>
      <w:r>
        <w:rPr>
          <w:color w:val="000000"/>
          <w:sz w:val="24"/>
          <w:szCs w:val="24"/>
        </w:rPr>
        <w:t>。电动车，光伏，军工，白酒以及医疗服务等板块表现较好，市场呈现出极强的行业偏好和估值溢价。本季度基金净值增长</w:t>
      </w:r>
      <w:r>
        <w:rPr>
          <w:color w:val="000000"/>
          <w:sz w:val="24"/>
          <w:szCs w:val="24"/>
        </w:rPr>
        <w:t>12.59%</w:t>
      </w:r>
      <w:r>
        <w:rPr>
          <w:color w:val="000000"/>
          <w:sz w:val="24"/>
          <w:szCs w:val="24"/>
        </w:rPr>
        <w:t>，基准上涨</w:t>
      </w:r>
      <w:r w:rsidR="00BE2E5F">
        <w:rPr>
          <w:color w:val="000000"/>
          <w:sz w:val="24"/>
          <w:szCs w:val="24"/>
        </w:rPr>
        <w:t>9.80%</w:t>
      </w:r>
      <w:bookmarkStart w:id="0" w:name="_GoBack"/>
      <w:bookmarkEnd w:id="0"/>
      <w:r>
        <w:rPr>
          <w:color w:val="000000"/>
          <w:sz w:val="24"/>
          <w:szCs w:val="24"/>
        </w:rPr>
        <w:t>。基于估值考虑，我们对热门板块配置相对较少。</w:t>
      </w:r>
    </w:p>
    <w:p w:rsidR="00C553CF" w:rsidRDefault="005823D6">
      <w:pPr>
        <w:spacing w:before="29" w:line="288" w:lineRule="auto"/>
        <w:ind w:firstLineChars="200" w:firstLine="480"/>
        <w:rPr>
          <w:color w:val="000000"/>
          <w:sz w:val="24"/>
          <w:szCs w:val="24"/>
        </w:rPr>
      </w:pPr>
      <w:r>
        <w:rPr>
          <w:color w:val="000000"/>
          <w:sz w:val="24"/>
          <w:szCs w:val="24"/>
        </w:rPr>
        <w:t>我们的投资关注社会价值和经济价值的平衡，青睐能为客户创造真正价值的公司。在我们的评判体系里面，价值创造，商业模型，产业周期，景气度以及估值水平，是一个相对综合的考虑，我们整体维持个股选择策略，在制造业，服务业以及消费品中都有较为均衡的个股投资。本季度组合的持股集中度有所上升，整体估值水平有所下降，是因为我们尽可能集中投资某个门类最有代表性或性价比的公司。</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我们将继续围绕数字经济和制造升级投资。</w:t>
      </w:r>
      <w:r w:rsidRPr="00414345">
        <w:rPr>
          <w:color w:val="000000"/>
          <w:sz w:val="24"/>
          <w:szCs w:val="24"/>
        </w:rPr>
        <w:t>2021</w:t>
      </w:r>
      <w:r w:rsidRPr="00414345">
        <w:rPr>
          <w:color w:val="000000"/>
          <w:sz w:val="24"/>
          <w:szCs w:val="24"/>
        </w:rPr>
        <w:t>年随着国内外经济先后复苏，新兴行业的融资大幅增加，行业内部竞争应当加剧，各项成本上涨或许是明年的主要关注点。数字经济和制造升级，是承接经济复苏，且对抗竞争成本负面因素的重要办法。本季度增持的</w:t>
      </w:r>
      <w:r w:rsidRPr="00414345">
        <w:rPr>
          <w:color w:val="000000"/>
          <w:sz w:val="24"/>
          <w:szCs w:val="24"/>
        </w:rPr>
        <w:t>IT</w:t>
      </w:r>
      <w:r w:rsidRPr="00414345">
        <w:rPr>
          <w:color w:val="000000"/>
          <w:sz w:val="24"/>
          <w:szCs w:val="24"/>
        </w:rPr>
        <w:t>技术和制造业的代表公司，不仅是产业周期的因素，这些智能化，一体化的优秀公司创造的新模式新产品也打开了全新的市场空间和估值空间。</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9,497,074,956.02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87.81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9,497,074,956.02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87.81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6,217,398.00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6,217,398.00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1,070,402,069.38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9.90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242,190,277.42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10,815,884,700.82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172,521,226.42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6,803,148,807.72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176,224.88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1,100,251,188.49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352,968,421.49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1,714,383.21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111,116.14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162,705.52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146,864,102.26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42,000,514.62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877,156,265.27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9,497,074,956.02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89.42</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553CF">
        <w:trPr>
          <w:jc w:val="center"/>
        </w:trPr>
        <w:tc>
          <w:tcPr>
            <w:tcW w:w="855" w:type="dxa"/>
            <w:vAlign w:val="center"/>
          </w:tcPr>
          <w:p w:rsidR="00C553CF" w:rsidRDefault="005823D6">
            <w:pPr>
              <w:jc w:val="center"/>
            </w:pPr>
            <w:r>
              <w:rPr>
                <w:color w:val="000000"/>
                <w:sz w:val="24"/>
                <w:szCs w:val="24"/>
              </w:rPr>
              <w:t>1</w:t>
            </w:r>
          </w:p>
        </w:tc>
        <w:tc>
          <w:tcPr>
            <w:tcW w:w="1334" w:type="dxa"/>
            <w:vAlign w:val="center"/>
          </w:tcPr>
          <w:p w:rsidR="00C553CF" w:rsidRDefault="005823D6">
            <w:pPr>
              <w:jc w:val="center"/>
            </w:pPr>
            <w:r>
              <w:rPr>
                <w:color w:val="000000"/>
                <w:sz w:val="24"/>
                <w:szCs w:val="24"/>
              </w:rPr>
              <w:t>002352</w:t>
            </w:r>
          </w:p>
        </w:tc>
        <w:tc>
          <w:tcPr>
            <w:tcW w:w="1777" w:type="dxa"/>
            <w:vAlign w:val="center"/>
          </w:tcPr>
          <w:p w:rsidR="00C553CF" w:rsidRDefault="005823D6">
            <w:pPr>
              <w:jc w:val="center"/>
            </w:pPr>
            <w:r>
              <w:rPr>
                <w:color w:val="000000"/>
                <w:sz w:val="24"/>
                <w:szCs w:val="24"/>
              </w:rPr>
              <w:t>顺丰控股</w:t>
            </w:r>
          </w:p>
        </w:tc>
        <w:tc>
          <w:tcPr>
            <w:tcW w:w="1334" w:type="dxa"/>
            <w:vAlign w:val="center"/>
          </w:tcPr>
          <w:p w:rsidR="00C553CF" w:rsidRDefault="005823D6">
            <w:pPr>
              <w:jc w:val="right"/>
            </w:pPr>
            <w:r>
              <w:rPr>
                <w:color w:val="000000"/>
                <w:sz w:val="24"/>
                <w:szCs w:val="24"/>
              </w:rPr>
              <w:t>11,697,449</w:t>
            </w:r>
          </w:p>
        </w:tc>
        <w:tc>
          <w:tcPr>
            <w:tcW w:w="1924" w:type="dxa"/>
            <w:vAlign w:val="center"/>
          </w:tcPr>
          <w:p w:rsidR="00C553CF" w:rsidRDefault="005823D6">
            <w:pPr>
              <w:jc w:val="right"/>
            </w:pPr>
            <w:r>
              <w:rPr>
                <w:color w:val="000000"/>
                <w:sz w:val="24"/>
                <w:szCs w:val="24"/>
              </w:rPr>
              <w:t>1,032,065,925.27</w:t>
            </w:r>
          </w:p>
        </w:tc>
        <w:tc>
          <w:tcPr>
            <w:tcW w:w="1644" w:type="dxa"/>
            <w:vAlign w:val="center"/>
          </w:tcPr>
          <w:p w:rsidR="00C553CF" w:rsidRDefault="005823D6">
            <w:pPr>
              <w:jc w:val="right"/>
            </w:pPr>
            <w:r>
              <w:rPr>
                <w:color w:val="000000"/>
                <w:sz w:val="24"/>
                <w:szCs w:val="24"/>
              </w:rPr>
              <w:t>9.72</w:t>
            </w:r>
          </w:p>
        </w:tc>
      </w:tr>
      <w:tr w:rsidR="00C553CF">
        <w:trPr>
          <w:jc w:val="center"/>
        </w:trPr>
        <w:tc>
          <w:tcPr>
            <w:tcW w:w="855" w:type="dxa"/>
            <w:vAlign w:val="center"/>
          </w:tcPr>
          <w:p w:rsidR="00C553CF" w:rsidRDefault="005823D6">
            <w:pPr>
              <w:jc w:val="center"/>
            </w:pPr>
            <w:r>
              <w:rPr>
                <w:color w:val="000000"/>
                <w:sz w:val="24"/>
                <w:szCs w:val="24"/>
              </w:rPr>
              <w:t>2</w:t>
            </w:r>
          </w:p>
        </w:tc>
        <w:tc>
          <w:tcPr>
            <w:tcW w:w="1334" w:type="dxa"/>
            <w:vAlign w:val="center"/>
          </w:tcPr>
          <w:p w:rsidR="00C553CF" w:rsidRDefault="005823D6">
            <w:pPr>
              <w:jc w:val="center"/>
            </w:pPr>
            <w:r>
              <w:rPr>
                <w:color w:val="000000"/>
                <w:sz w:val="24"/>
                <w:szCs w:val="24"/>
              </w:rPr>
              <w:t>000333</w:t>
            </w:r>
          </w:p>
        </w:tc>
        <w:tc>
          <w:tcPr>
            <w:tcW w:w="1777" w:type="dxa"/>
            <w:vAlign w:val="center"/>
          </w:tcPr>
          <w:p w:rsidR="00C553CF" w:rsidRDefault="005823D6">
            <w:pPr>
              <w:jc w:val="center"/>
            </w:pPr>
            <w:r>
              <w:rPr>
                <w:color w:val="000000"/>
                <w:sz w:val="24"/>
                <w:szCs w:val="24"/>
              </w:rPr>
              <w:t>美的集团</w:t>
            </w:r>
          </w:p>
        </w:tc>
        <w:tc>
          <w:tcPr>
            <w:tcW w:w="1334" w:type="dxa"/>
            <w:vAlign w:val="center"/>
          </w:tcPr>
          <w:p w:rsidR="00C553CF" w:rsidRDefault="005823D6">
            <w:pPr>
              <w:jc w:val="right"/>
            </w:pPr>
            <w:r>
              <w:rPr>
                <w:color w:val="000000"/>
                <w:sz w:val="24"/>
                <w:szCs w:val="24"/>
              </w:rPr>
              <w:t>10,470,309</w:t>
            </w:r>
          </w:p>
        </w:tc>
        <w:tc>
          <w:tcPr>
            <w:tcW w:w="1924" w:type="dxa"/>
            <w:vAlign w:val="center"/>
          </w:tcPr>
          <w:p w:rsidR="00C553CF" w:rsidRDefault="005823D6">
            <w:pPr>
              <w:jc w:val="right"/>
            </w:pPr>
            <w:r>
              <w:rPr>
                <w:color w:val="000000"/>
                <w:sz w:val="24"/>
                <w:szCs w:val="24"/>
              </w:rPr>
              <w:t>1,030,697,217.96</w:t>
            </w:r>
          </w:p>
        </w:tc>
        <w:tc>
          <w:tcPr>
            <w:tcW w:w="1644" w:type="dxa"/>
            <w:vAlign w:val="center"/>
          </w:tcPr>
          <w:p w:rsidR="00C553CF" w:rsidRDefault="005823D6">
            <w:pPr>
              <w:jc w:val="right"/>
            </w:pPr>
            <w:r>
              <w:rPr>
                <w:color w:val="000000"/>
                <w:sz w:val="24"/>
                <w:szCs w:val="24"/>
              </w:rPr>
              <w:t>9.70</w:t>
            </w:r>
          </w:p>
        </w:tc>
      </w:tr>
      <w:tr w:rsidR="00C553CF">
        <w:trPr>
          <w:jc w:val="center"/>
        </w:trPr>
        <w:tc>
          <w:tcPr>
            <w:tcW w:w="855" w:type="dxa"/>
            <w:vAlign w:val="center"/>
          </w:tcPr>
          <w:p w:rsidR="00C553CF" w:rsidRDefault="005823D6">
            <w:pPr>
              <w:jc w:val="center"/>
            </w:pPr>
            <w:r>
              <w:rPr>
                <w:color w:val="000000"/>
                <w:sz w:val="24"/>
                <w:szCs w:val="24"/>
              </w:rPr>
              <w:t>3</w:t>
            </w:r>
          </w:p>
        </w:tc>
        <w:tc>
          <w:tcPr>
            <w:tcW w:w="1334" w:type="dxa"/>
            <w:vAlign w:val="center"/>
          </w:tcPr>
          <w:p w:rsidR="00C553CF" w:rsidRDefault="005823D6">
            <w:pPr>
              <w:jc w:val="center"/>
            </w:pPr>
            <w:r>
              <w:rPr>
                <w:color w:val="000000"/>
                <w:sz w:val="24"/>
                <w:szCs w:val="24"/>
              </w:rPr>
              <w:t>300413</w:t>
            </w:r>
          </w:p>
        </w:tc>
        <w:tc>
          <w:tcPr>
            <w:tcW w:w="1777" w:type="dxa"/>
            <w:vAlign w:val="center"/>
          </w:tcPr>
          <w:p w:rsidR="00C553CF" w:rsidRDefault="005823D6">
            <w:pPr>
              <w:jc w:val="center"/>
            </w:pPr>
            <w:r>
              <w:rPr>
                <w:color w:val="000000"/>
                <w:sz w:val="24"/>
                <w:szCs w:val="24"/>
              </w:rPr>
              <w:t>芒果超媒</w:t>
            </w:r>
          </w:p>
        </w:tc>
        <w:tc>
          <w:tcPr>
            <w:tcW w:w="1334" w:type="dxa"/>
            <w:vAlign w:val="center"/>
          </w:tcPr>
          <w:p w:rsidR="00C553CF" w:rsidRDefault="005823D6">
            <w:pPr>
              <w:jc w:val="right"/>
            </w:pPr>
            <w:r>
              <w:rPr>
                <w:color w:val="000000"/>
                <w:sz w:val="24"/>
                <w:szCs w:val="24"/>
              </w:rPr>
              <w:t>12,091,876</w:t>
            </w:r>
          </w:p>
        </w:tc>
        <w:tc>
          <w:tcPr>
            <w:tcW w:w="1924" w:type="dxa"/>
            <w:vAlign w:val="center"/>
          </w:tcPr>
          <w:p w:rsidR="00C553CF" w:rsidRDefault="005823D6">
            <w:pPr>
              <w:jc w:val="right"/>
            </w:pPr>
            <w:r>
              <w:rPr>
                <w:color w:val="000000"/>
                <w:sz w:val="24"/>
                <w:szCs w:val="24"/>
              </w:rPr>
              <w:t>876,661,010.00</w:t>
            </w:r>
          </w:p>
        </w:tc>
        <w:tc>
          <w:tcPr>
            <w:tcW w:w="1644" w:type="dxa"/>
            <w:vAlign w:val="center"/>
          </w:tcPr>
          <w:p w:rsidR="00C553CF" w:rsidRDefault="005823D6">
            <w:pPr>
              <w:jc w:val="right"/>
            </w:pPr>
            <w:r>
              <w:rPr>
                <w:color w:val="000000"/>
                <w:sz w:val="24"/>
                <w:szCs w:val="24"/>
              </w:rPr>
              <w:t>8.25</w:t>
            </w:r>
          </w:p>
        </w:tc>
      </w:tr>
      <w:tr w:rsidR="00C553CF">
        <w:trPr>
          <w:jc w:val="center"/>
        </w:trPr>
        <w:tc>
          <w:tcPr>
            <w:tcW w:w="855" w:type="dxa"/>
            <w:vAlign w:val="center"/>
          </w:tcPr>
          <w:p w:rsidR="00C553CF" w:rsidRDefault="005823D6">
            <w:pPr>
              <w:jc w:val="center"/>
            </w:pPr>
            <w:r>
              <w:rPr>
                <w:color w:val="000000"/>
                <w:sz w:val="24"/>
                <w:szCs w:val="24"/>
              </w:rPr>
              <w:t>4</w:t>
            </w:r>
          </w:p>
        </w:tc>
        <w:tc>
          <w:tcPr>
            <w:tcW w:w="1334" w:type="dxa"/>
            <w:vAlign w:val="center"/>
          </w:tcPr>
          <w:p w:rsidR="00C553CF" w:rsidRDefault="005823D6">
            <w:pPr>
              <w:jc w:val="center"/>
            </w:pPr>
            <w:r>
              <w:rPr>
                <w:color w:val="000000"/>
                <w:sz w:val="24"/>
                <w:szCs w:val="24"/>
              </w:rPr>
              <w:t>002415</w:t>
            </w:r>
          </w:p>
        </w:tc>
        <w:tc>
          <w:tcPr>
            <w:tcW w:w="1777" w:type="dxa"/>
            <w:vAlign w:val="center"/>
          </w:tcPr>
          <w:p w:rsidR="00C553CF" w:rsidRDefault="005823D6">
            <w:pPr>
              <w:jc w:val="center"/>
            </w:pPr>
            <w:r>
              <w:rPr>
                <w:color w:val="000000"/>
                <w:sz w:val="24"/>
                <w:szCs w:val="24"/>
              </w:rPr>
              <w:t>海康威视</w:t>
            </w:r>
          </w:p>
        </w:tc>
        <w:tc>
          <w:tcPr>
            <w:tcW w:w="1334" w:type="dxa"/>
            <w:vAlign w:val="center"/>
          </w:tcPr>
          <w:p w:rsidR="00C553CF" w:rsidRDefault="005823D6">
            <w:pPr>
              <w:jc w:val="right"/>
            </w:pPr>
            <w:r>
              <w:rPr>
                <w:color w:val="000000"/>
                <w:sz w:val="24"/>
                <w:szCs w:val="24"/>
              </w:rPr>
              <w:t>15,790,085</w:t>
            </w:r>
          </w:p>
        </w:tc>
        <w:tc>
          <w:tcPr>
            <w:tcW w:w="1924" w:type="dxa"/>
            <w:vAlign w:val="center"/>
          </w:tcPr>
          <w:p w:rsidR="00C553CF" w:rsidRDefault="005823D6">
            <w:pPr>
              <w:jc w:val="right"/>
            </w:pPr>
            <w:r>
              <w:rPr>
                <w:color w:val="000000"/>
                <w:sz w:val="24"/>
                <w:szCs w:val="24"/>
              </w:rPr>
              <w:t>765,977,023.35</w:t>
            </w:r>
          </w:p>
        </w:tc>
        <w:tc>
          <w:tcPr>
            <w:tcW w:w="1644" w:type="dxa"/>
            <w:vAlign w:val="center"/>
          </w:tcPr>
          <w:p w:rsidR="00C553CF" w:rsidRDefault="005823D6">
            <w:pPr>
              <w:jc w:val="right"/>
            </w:pPr>
            <w:r>
              <w:rPr>
                <w:color w:val="000000"/>
                <w:sz w:val="24"/>
                <w:szCs w:val="24"/>
              </w:rPr>
              <w:t>7.21</w:t>
            </w:r>
          </w:p>
        </w:tc>
      </w:tr>
      <w:tr w:rsidR="00C553CF">
        <w:trPr>
          <w:jc w:val="center"/>
        </w:trPr>
        <w:tc>
          <w:tcPr>
            <w:tcW w:w="855" w:type="dxa"/>
            <w:vAlign w:val="center"/>
          </w:tcPr>
          <w:p w:rsidR="00C553CF" w:rsidRDefault="005823D6">
            <w:pPr>
              <w:jc w:val="center"/>
            </w:pPr>
            <w:r>
              <w:rPr>
                <w:color w:val="000000"/>
                <w:sz w:val="24"/>
                <w:szCs w:val="24"/>
              </w:rPr>
              <w:t>5</w:t>
            </w:r>
          </w:p>
        </w:tc>
        <w:tc>
          <w:tcPr>
            <w:tcW w:w="1334" w:type="dxa"/>
            <w:vAlign w:val="center"/>
          </w:tcPr>
          <w:p w:rsidR="00C553CF" w:rsidRDefault="005823D6">
            <w:pPr>
              <w:jc w:val="center"/>
            </w:pPr>
            <w:r>
              <w:rPr>
                <w:color w:val="000000"/>
                <w:sz w:val="24"/>
                <w:szCs w:val="24"/>
              </w:rPr>
              <w:t>002841</w:t>
            </w:r>
          </w:p>
        </w:tc>
        <w:tc>
          <w:tcPr>
            <w:tcW w:w="1777" w:type="dxa"/>
            <w:vAlign w:val="center"/>
          </w:tcPr>
          <w:p w:rsidR="00C553CF" w:rsidRDefault="005823D6">
            <w:pPr>
              <w:jc w:val="center"/>
            </w:pPr>
            <w:r>
              <w:rPr>
                <w:color w:val="000000"/>
                <w:sz w:val="24"/>
                <w:szCs w:val="24"/>
              </w:rPr>
              <w:t>视源股份</w:t>
            </w:r>
          </w:p>
        </w:tc>
        <w:tc>
          <w:tcPr>
            <w:tcW w:w="1334" w:type="dxa"/>
            <w:vAlign w:val="center"/>
          </w:tcPr>
          <w:p w:rsidR="00C553CF" w:rsidRDefault="005823D6">
            <w:pPr>
              <w:jc w:val="right"/>
            </w:pPr>
            <w:r>
              <w:rPr>
                <w:color w:val="000000"/>
                <w:sz w:val="24"/>
                <w:szCs w:val="24"/>
              </w:rPr>
              <w:t>6,116,363</w:t>
            </w:r>
          </w:p>
        </w:tc>
        <w:tc>
          <w:tcPr>
            <w:tcW w:w="1924" w:type="dxa"/>
            <w:vAlign w:val="center"/>
          </w:tcPr>
          <w:p w:rsidR="00C553CF" w:rsidRDefault="005823D6">
            <w:pPr>
              <w:jc w:val="right"/>
            </w:pPr>
            <w:r>
              <w:rPr>
                <w:color w:val="000000"/>
                <w:sz w:val="24"/>
                <w:szCs w:val="24"/>
              </w:rPr>
              <w:t>703,565,235.89</w:t>
            </w:r>
          </w:p>
        </w:tc>
        <w:tc>
          <w:tcPr>
            <w:tcW w:w="1644" w:type="dxa"/>
            <w:vAlign w:val="center"/>
          </w:tcPr>
          <w:p w:rsidR="00C553CF" w:rsidRDefault="005823D6">
            <w:pPr>
              <w:jc w:val="right"/>
            </w:pPr>
            <w:r>
              <w:rPr>
                <w:color w:val="000000"/>
                <w:sz w:val="24"/>
                <w:szCs w:val="24"/>
              </w:rPr>
              <w:t>6.62</w:t>
            </w:r>
          </w:p>
        </w:tc>
      </w:tr>
      <w:tr w:rsidR="00C553CF">
        <w:trPr>
          <w:jc w:val="center"/>
        </w:trPr>
        <w:tc>
          <w:tcPr>
            <w:tcW w:w="855" w:type="dxa"/>
            <w:vAlign w:val="center"/>
          </w:tcPr>
          <w:p w:rsidR="00C553CF" w:rsidRDefault="005823D6">
            <w:pPr>
              <w:jc w:val="center"/>
            </w:pPr>
            <w:r>
              <w:rPr>
                <w:color w:val="000000"/>
                <w:sz w:val="24"/>
                <w:szCs w:val="24"/>
              </w:rPr>
              <w:t>6</w:t>
            </w:r>
          </w:p>
        </w:tc>
        <w:tc>
          <w:tcPr>
            <w:tcW w:w="1334" w:type="dxa"/>
            <w:vAlign w:val="center"/>
          </w:tcPr>
          <w:p w:rsidR="00C553CF" w:rsidRDefault="005823D6">
            <w:pPr>
              <w:jc w:val="center"/>
            </w:pPr>
            <w:r>
              <w:rPr>
                <w:color w:val="000000"/>
                <w:sz w:val="24"/>
                <w:szCs w:val="24"/>
              </w:rPr>
              <w:t>600522</w:t>
            </w:r>
          </w:p>
        </w:tc>
        <w:tc>
          <w:tcPr>
            <w:tcW w:w="1777" w:type="dxa"/>
            <w:vAlign w:val="center"/>
          </w:tcPr>
          <w:p w:rsidR="00C553CF" w:rsidRDefault="005823D6">
            <w:pPr>
              <w:jc w:val="center"/>
            </w:pPr>
            <w:r>
              <w:rPr>
                <w:color w:val="000000"/>
                <w:sz w:val="24"/>
                <w:szCs w:val="24"/>
              </w:rPr>
              <w:t>中天科技</w:t>
            </w:r>
          </w:p>
        </w:tc>
        <w:tc>
          <w:tcPr>
            <w:tcW w:w="1334" w:type="dxa"/>
            <w:vAlign w:val="center"/>
          </w:tcPr>
          <w:p w:rsidR="00C553CF" w:rsidRDefault="005823D6">
            <w:pPr>
              <w:jc w:val="right"/>
            </w:pPr>
            <w:r>
              <w:rPr>
                <w:color w:val="000000"/>
                <w:sz w:val="24"/>
                <w:szCs w:val="24"/>
              </w:rPr>
              <w:t>54,583,497</w:t>
            </w:r>
          </w:p>
        </w:tc>
        <w:tc>
          <w:tcPr>
            <w:tcW w:w="1924" w:type="dxa"/>
            <w:vAlign w:val="center"/>
          </w:tcPr>
          <w:p w:rsidR="00C553CF" w:rsidRDefault="005823D6">
            <w:pPr>
              <w:jc w:val="right"/>
            </w:pPr>
            <w:r>
              <w:rPr>
                <w:color w:val="000000"/>
                <w:sz w:val="24"/>
                <w:szCs w:val="24"/>
              </w:rPr>
              <w:t>591,685,107.48</w:t>
            </w:r>
          </w:p>
        </w:tc>
        <w:tc>
          <w:tcPr>
            <w:tcW w:w="1644" w:type="dxa"/>
            <w:vAlign w:val="center"/>
          </w:tcPr>
          <w:p w:rsidR="00C553CF" w:rsidRDefault="005823D6">
            <w:pPr>
              <w:jc w:val="right"/>
            </w:pPr>
            <w:r>
              <w:rPr>
                <w:color w:val="000000"/>
                <w:sz w:val="24"/>
                <w:szCs w:val="24"/>
              </w:rPr>
              <w:t>5.57</w:t>
            </w:r>
          </w:p>
        </w:tc>
      </w:tr>
      <w:tr w:rsidR="00C553CF">
        <w:trPr>
          <w:jc w:val="center"/>
        </w:trPr>
        <w:tc>
          <w:tcPr>
            <w:tcW w:w="855" w:type="dxa"/>
            <w:vAlign w:val="center"/>
          </w:tcPr>
          <w:p w:rsidR="00C553CF" w:rsidRDefault="005823D6">
            <w:pPr>
              <w:jc w:val="center"/>
            </w:pPr>
            <w:r>
              <w:rPr>
                <w:color w:val="000000"/>
                <w:sz w:val="24"/>
                <w:szCs w:val="24"/>
              </w:rPr>
              <w:lastRenderedPageBreak/>
              <w:t>7</w:t>
            </w:r>
          </w:p>
        </w:tc>
        <w:tc>
          <w:tcPr>
            <w:tcW w:w="1334" w:type="dxa"/>
            <w:vAlign w:val="center"/>
          </w:tcPr>
          <w:p w:rsidR="00C553CF" w:rsidRDefault="005823D6">
            <w:pPr>
              <w:jc w:val="center"/>
            </w:pPr>
            <w:r>
              <w:rPr>
                <w:color w:val="000000"/>
                <w:sz w:val="24"/>
                <w:szCs w:val="24"/>
              </w:rPr>
              <w:t>603816</w:t>
            </w:r>
          </w:p>
        </w:tc>
        <w:tc>
          <w:tcPr>
            <w:tcW w:w="1777" w:type="dxa"/>
            <w:vAlign w:val="center"/>
          </w:tcPr>
          <w:p w:rsidR="00C553CF" w:rsidRDefault="005823D6">
            <w:pPr>
              <w:jc w:val="center"/>
            </w:pPr>
            <w:r>
              <w:rPr>
                <w:color w:val="000000"/>
                <w:sz w:val="24"/>
                <w:szCs w:val="24"/>
              </w:rPr>
              <w:t>顾家家居</w:t>
            </w:r>
          </w:p>
        </w:tc>
        <w:tc>
          <w:tcPr>
            <w:tcW w:w="1334" w:type="dxa"/>
            <w:vAlign w:val="center"/>
          </w:tcPr>
          <w:p w:rsidR="00C553CF" w:rsidRDefault="005823D6">
            <w:pPr>
              <w:jc w:val="right"/>
            </w:pPr>
            <w:r>
              <w:rPr>
                <w:color w:val="000000"/>
                <w:sz w:val="24"/>
                <w:szCs w:val="24"/>
              </w:rPr>
              <w:t>7,446,871</w:t>
            </w:r>
          </w:p>
        </w:tc>
        <w:tc>
          <w:tcPr>
            <w:tcW w:w="1924" w:type="dxa"/>
            <w:vAlign w:val="center"/>
          </w:tcPr>
          <w:p w:rsidR="00C553CF" w:rsidRDefault="005823D6">
            <w:pPr>
              <w:jc w:val="right"/>
            </w:pPr>
            <w:r>
              <w:rPr>
                <w:color w:val="000000"/>
                <w:sz w:val="24"/>
                <w:szCs w:val="24"/>
              </w:rPr>
              <w:t>522,458,874.21</w:t>
            </w:r>
          </w:p>
        </w:tc>
        <w:tc>
          <w:tcPr>
            <w:tcW w:w="1644" w:type="dxa"/>
            <w:vAlign w:val="center"/>
          </w:tcPr>
          <w:p w:rsidR="00C553CF" w:rsidRDefault="005823D6">
            <w:pPr>
              <w:jc w:val="right"/>
            </w:pPr>
            <w:r>
              <w:rPr>
                <w:color w:val="000000"/>
                <w:sz w:val="24"/>
                <w:szCs w:val="24"/>
              </w:rPr>
              <w:t>4.92</w:t>
            </w:r>
          </w:p>
        </w:tc>
      </w:tr>
      <w:tr w:rsidR="00C553CF">
        <w:trPr>
          <w:jc w:val="center"/>
        </w:trPr>
        <w:tc>
          <w:tcPr>
            <w:tcW w:w="855" w:type="dxa"/>
            <w:vAlign w:val="center"/>
          </w:tcPr>
          <w:p w:rsidR="00C553CF" w:rsidRDefault="005823D6">
            <w:pPr>
              <w:jc w:val="center"/>
            </w:pPr>
            <w:r>
              <w:rPr>
                <w:color w:val="000000"/>
                <w:sz w:val="24"/>
                <w:szCs w:val="24"/>
              </w:rPr>
              <w:t>8</w:t>
            </w:r>
          </w:p>
        </w:tc>
        <w:tc>
          <w:tcPr>
            <w:tcW w:w="1334" w:type="dxa"/>
            <w:vAlign w:val="center"/>
          </w:tcPr>
          <w:p w:rsidR="00C553CF" w:rsidRDefault="005823D6">
            <w:pPr>
              <w:jc w:val="center"/>
            </w:pPr>
            <w:r>
              <w:rPr>
                <w:color w:val="000000"/>
                <w:sz w:val="24"/>
                <w:szCs w:val="24"/>
              </w:rPr>
              <w:t>002493</w:t>
            </w:r>
          </w:p>
        </w:tc>
        <w:tc>
          <w:tcPr>
            <w:tcW w:w="1777" w:type="dxa"/>
            <w:vAlign w:val="center"/>
          </w:tcPr>
          <w:p w:rsidR="00C553CF" w:rsidRDefault="005823D6">
            <w:pPr>
              <w:jc w:val="center"/>
            </w:pPr>
            <w:r>
              <w:rPr>
                <w:color w:val="000000"/>
                <w:sz w:val="24"/>
                <w:szCs w:val="24"/>
              </w:rPr>
              <w:t>荣盛石化</w:t>
            </w:r>
          </w:p>
        </w:tc>
        <w:tc>
          <w:tcPr>
            <w:tcW w:w="1334" w:type="dxa"/>
            <w:vAlign w:val="center"/>
          </w:tcPr>
          <w:p w:rsidR="00C553CF" w:rsidRDefault="005823D6">
            <w:pPr>
              <w:jc w:val="right"/>
            </w:pPr>
            <w:r>
              <w:rPr>
                <w:color w:val="000000"/>
                <w:sz w:val="24"/>
                <w:szCs w:val="24"/>
              </w:rPr>
              <w:t>16,639,129</w:t>
            </w:r>
          </w:p>
        </w:tc>
        <w:tc>
          <w:tcPr>
            <w:tcW w:w="1924" w:type="dxa"/>
            <w:vAlign w:val="center"/>
          </w:tcPr>
          <w:p w:rsidR="00C553CF" w:rsidRDefault="005823D6">
            <w:pPr>
              <w:jc w:val="right"/>
            </w:pPr>
            <w:r>
              <w:rPr>
                <w:color w:val="000000"/>
                <w:sz w:val="24"/>
                <w:szCs w:val="24"/>
              </w:rPr>
              <w:t>459,406,351.69</w:t>
            </w:r>
          </w:p>
        </w:tc>
        <w:tc>
          <w:tcPr>
            <w:tcW w:w="1644" w:type="dxa"/>
            <w:vAlign w:val="center"/>
          </w:tcPr>
          <w:p w:rsidR="00C553CF" w:rsidRDefault="005823D6">
            <w:pPr>
              <w:jc w:val="right"/>
            </w:pPr>
            <w:r>
              <w:rPr>
                <w:color w:val="000000"/>
                <w:sz w:val="24"/>
                <w:szCs w:val="24"/>
              </w:rPr>
              <w:t>4.33</w:t>
            </w:r>
          </w:p>
        </w:tc>
      </w:tr>
      <w:tr w:rsidR="00C553CF">
        <w:trPr>
          <w:jc w:val="center"/>
        </w:trPr>
        <w:tc>
          <w:tcPr>
            <w:tcW w:w="855" w:type="dxa"/>
            <w:vAlign w:val="center"/>
          </w:tcPr>
          <w:p w:rsidR="00C553CF" w:rsidRDefault="005823D6">
            <w:pPr>
              <w:jc w:val="center"/>
            </w:pPr>
            <w:r>
              <w:rPr>
                <w:color w:val="000000"/>
                <w:sz w:val="24"/>
                <w:szCs w:val="24"/>
              </w:rPr>
              <w:t>9</w:t>
            </w:r>
          </w:p>
        </w:tc>
        <w:tc>
          <w:tcPr>
            <w:tcW w:w="1334" w:type="dxa"/>
            <w:vAlign w:val="center"/>
          </w:tcPr>
          <w:p w:rsidR="00C553CF" w:rsidRDefault="005823D6">
            <w:pPr>
              <w:jc w:val="center"/>
            </w:pPr>
            <w:r>
              <w:rPr>
                <w:color w:val="000000"/>
                <w:sz w:val="24"/>
                <w:szCs w:val="24"/>
              </w:rPr>
              <w:t>002050</w:t>
            </w:r>
          </w:p>
        </w:tc>
        <w:tc>
          <w:tcPr>
            <w:tcW w:w="1777" w:type="dxa"/>
            <w:vAlign w:val="center"/>
          </w:tcPr>
          <w:p w:rsidR="00C553CF" w:rsidRDefault="005823D6">
            <w:pPr>
              <w:jc w:val="center"/>
            </w:pPr>
            <w:r>
              <w:rPr>
                <w:color w:val="000000"/>
                <w:sz w:val="24"/>
                <w:szCs w:val="24"/>
              </w:rPr>
              <w:t>三花智控</w:t>
            </w:r>
          </w:p>
        </w:tc>
        <w:tc>
          <w:tcPr>
            <w:tcW w:w="1334" w:type="dxa"/>
            <w:vAlign w:val="center"/>
          </w:tcPr>
          <w:p w:rsidR="00C553CF" w:rsidRDefault="005823D6">
            <w:pPr>
              <w:jc w:val="right"/>
            </w:pPr>
            <w:r>
              <w:rPr>
                <w:color w:val="000000"/>
                <w:sz w:val="24"/>
                <w:szCs w:val="24"/>
              </w:rPr>
              <w:t>17,915,123</w:t>
            </w:r>
          </w:p>
        </w:tc>
        <w:tc>
          <w:tcPr>
            <w:tcW w:w="1924" w:type="dxa"/>
            <w:vAlign w:val="center"/>
          </w:tcPr>
          <w:p w:rsidR="00C553CF" w:rsidRDefault="005823D6">
            <w:pPr>
              <w:jc w:val="right"/>
            </w:pPr>
            <w:r>
              <w:rPr>
                <w:color w:val="000000"/>
                <w:sz w:val="24"/>
                <w:szCs w:val="24"/>
              </w:rPr>
              <w:t>441,607,781.95</w:t>
            </w:r>
          </w:p>
        </w:tc>
        <w:tc>
          <w:tcPr>
            <w:tcW w:w="1644" w:type="dxa"/>
            <w:vAlign w:val="center"/>
          </w:tcPr>
          <w:p w:rsidR="00C553CF" w:rsidRDefault="005823D6">
            <w:pPr>
              <w:jc w:val="right"/>
            </w:pPr>
            <w:r>
              <w:rPr>
                <w:color w:val="000000"/>
                <w:sz w:val="24"/>
                <w:szCs w:val="24"/>
              </w:rPr>
              <w:t>4.16</w:t>
            </w:r>
          </w:p>
        </w:tc>
      </w:tr>
      <w:tr w:rsidR="00C553CF">
        <w:trPr>
          <w:jc w:val="center"/>
        </w:trPr>
        <w:tc>
          <w:tcPr>
            <w:tcW w:w="855" w:type="dxa"/>
            <w:vAlign w:val="center"/>
          </w:tcPr>
          <w:p w:rsidR="00C553CF" w:rsidRDefault="005823D6">
            <w:pPr>
              <w:jc w:val="center"/>
            </w:pPr>
            <w:r>
              <w:rPr>
                <w:color w:val="000000"/>
                <w:sz w:val="24"/>
                <w:szCs w:val="24"/>
              </w:rPr>
              <w:t>10</w:t>
            </w:r>
          </w:p>
        </w:tc>
        <w:tc>
          <w:tcPr>
            <w:tcW w:w="1334" w:type="dxa"/>
            <w:vAlign w:val="center"/>
          </w:tcPr>
          <w:p w:rsidR="00C553CF" w:rsidRDefault="005823D6">
            <w:pPr>
              <w:jc w:val="center"/>
            </w:pPr>
            <w:r>
              <w:rPr>
                <w:color w:val="000000"/>
                <w:sz w:val="24"/>
                <w:szCs w:val="24"/>
              </w:rPr>
              <w:t>603517</w:t>
            </w:r>
          </w:p>
        </w:tc>
        <w:tc>
          <w:tcPr>
            <w:tcW w:w="1777" w:type="dxa"/>
            <w:vAlign w:val="center"/>
          </w:tcPr>
          <w:p w:rsidR="00C553CF" w:rsidRDefault="005823D6">
            <w:pPr>
              <w:jc w:val="center"/>
            </w:pPr>
            <w:r>
              <w:rPr>
                <w:color w:val="000000"/>
                <w:sz w:val="24"/>
                <w:szCs w:val="24"/>
              </w:rPr>
              <w:t>绝味食品</w:t>
            </w:r>
          </w:p>
        </w:tc>
        <w:tc>
          <w:tcPr>
            <w:tcW w:w="1334" w:type="dxa"/>
            <w:vAlign w:val="center"/>
          </w:tcPr>
          <w:p w:rsidR="00C553CF" w:rsidRDefault="005823D6">
            <w:pPr>
              <w:jc w:val="right"/>
            </w:pPr>
            <w:r>
              <w:rPr>
                <w:color w:val="000000"/>
                <w:sz w:val="24"/>
                <w:szCs w:val="24"/>
              </w:rPr>
              <w:t>5,511,878</w:t>
            </w:r>
          </w:p>
        </w:tc>
        <w:tc>
          <w:tcPr>
            <w:tcW w:w="1924" w:type="dxa"/>
            <w:vAlign w:val="center"/>
          </w:tcPr>
          <w:p w:rsidR="00C553CF" w:rsidRDefault="005823D6">
            <w:pPr>
              <w:jc w:val="right"/>
            </w:pPr>
            <w:r>
              <w:rPr>
                <w:color w:val="000000"/>
                <w:sz w:val="24"/>
                <w:szCs w:val="24"/>
              </w:rPr>
              <w:t>427,391,020.12</w:t>
            </w:r>
          </w:p>
        </w:tc>
        <w:tc>
          <w:tcPr>
            <w:tcW w:w="1644" w:type="dxa"/>
            <w:vAlign w:val="center"/>
          </w:tcPr>
          <w:p w:rsidR="00C553CF" w:rsidRDefault="005823D6">
            <w:pPr>
              <w:jc w:val="right"/>
            </w:pPr>
            <w:r>
              <w:rPr>
                <w:color w:val="000000"/>
                <w:sz w:val="24"/>
                <w:szCs w:val="24"/>
              </w:rPr>
              <w:t>4.02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6,217,398.00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0.06</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6,217,398.00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553CF">
        <w:trPr>
          <w:jc w:val="center"/>
        </w:trPr>
        <w:tc>
          <w:tcPr>
            <w:tcW w:w="850" w:type="dxa"/>
            <w:vAlign w:val="center"/>
          </w:tcPr>
          <w:p w:rsidR="00C553CF" w:rsidRDefault="005823D6">
            <w:pPr>
              <w:jc w:val="center"/>
            </w:pPr>
            <w:r>
              <w:rPr>
                <w:color w:val="000000"/>
                <w:sz w:val="24"/>
                <w:szCs w:val="24"/>
              </w:rPr>
              <w:t>1</w:t>
            </w:r>
          </w:p>
        </w:tc>
        <w:tc>
          <w:tcPr>
            <w:tcW w:w="1475" w:type="dxa"/>
            <w:vAlign w:val="center"/>
          </w:tcPr>
          <w:p w:rsidR="00C553CF" w:rsidRDefault="005823D6">
            <w:pPr>
              <w:jc w:val="center"/>
            </w:pPr>
            <w:r>
              <w:rPr>
                <w:color w:val="000000"/>
                <w:sz w:val="24"/>
                <w:szCs w:val="24"/>
              </w:rPr>
              <w:t>110069</w:t>
            </w:r>
          </w:p>
        </w:tc>
        <w:tc>
          <w:tcPr>
            <w:tcW w:w="1769" w:type="dxa"/>
            <w:vAlign w:val="center"/>
          </w:tcPr>
          <w:p w:rsidR="00C553CF" w:rsidRDefault="005823D6">
            <w:pPr>
              <w:jc w:val="center"/>
            </w:pPr>
            <w:r>
              <w:rPr>
                <w:color w:val="000000"/>
                <w:sz w:val="24"/>
                <w:szCs w:val="24"/>
              </w:rPr>
              <w:t>瀚蓝转债</w:t>
            </w:r>
          </w:p>
        </w:tc>
        <w:tc>
          <w:tcPr>
            <w:tcW w:w="1387" w:type="dxa"/>
            <w:vAlign w:val="center"/>
          </w:tcPr>
          <w:p w:rsidR="00C553CF" w:rsidRDefault="005823D6">
            <w:pPr>
              <w:jc w:val="right"/>
            </w:pPr>
            <w:r>
              <w:rPr>
                <w:color w:val="000000"/>
                <w:sz w:val="24"/>
                <w:szCs w:val="24"/>
              </w:rPr>
              <w:t>46,520</w:t>
            </w:r>
          </w:p>
        </w:tc>
        <w:tc>
          <w:tcPr>
            <w:tcW w:w="2150" w:type="dxa"/>
            <w:vAlign w:val="center"/>
          </w:tcPr>
          <w:p w:rsidR="00C553CF" w:rsidRDefault="005823D6">
            <w:pPr>
              <w:jc w:val="right"/>
            </w:pPr>
            <w:r>
              <w:rPr>
                <w:color w:val="000000"/>
                <w:sz w:val="24"/>
                <w:szCs w:val="24"/>
              </w:rPr>
              <w:t>6,217,398.00</w:t>
            </w:r>
          </w:p>
        </w:tc>
        <w:tc>
          <w:tcPr>
            <w:tcW w:w="1237" w:type="dxa"/>
            <w:vAlign w:val="center"/>
          </w:tcPr>
          <w:p w:rsidR="00C553CF" w:rsidRDefault="005823D6">
            <w:pPr>
              <w:jc w:val="right"/>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2,184,272.37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228,461,250.96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134,554.26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11,410,199.83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242,190,277.42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C553CF">
        <w:trPr>
          <w:jc w:val="center"/>
        </w:trPr>
        <w:tc>
          <w:tcPr>
            <w:tcW w:w="1883" w:type="dxa"/>
            <w:vAlign w:val="center"/>
          </w:tcPr>
          <w:p w:rsidR="00C553CF" w:rsidRDefault="005823D6">
            <w:pPr>
              <w:jc w:val="center"/>
            </w:pPr>
            <w:r>
              <w:rPr>
                <w:color w:val="000000"/>
                <w:sz w:val="24"/>
                <w:szCs w:val="24"/>
              </w:rPr>
              <w:t>1</w:t>
            </w:r>
          </w:p>
        </w:tc>
        <w:tc>
          <w:tcPr>
            <w:tcW w:w="1801" w:type="dxa"/>
            <w:vAlign w:val="center"/>
          </w:tcPr>
          <w:p w:rsidR="00C553CF" w:rsidRDefault="005823D6">
            <w:pPr>
              <w:jc w:val="center"/>
            </w:pPr>
            <w:r>
              <w:rPr>
                <w:color w:val="000000"/>
                <w:sz w:val="24"/>
                <w:szCs w:val="24"/>
              </w:rPr>
              <w:t>110069</w:t>
            </w:r>
          </w:p>
        </w:tc>
        <w:tc>
          <w:tcPr>
            <w:tcW w:w="1727" w:type="dxa"/>
            <w:vAlign w:val="center"/>
          </w:tcPr>
          <w:p w:rsidR="00C553CF" w:rsidRDefault="005823D6">
            <w:pPr>
              <w:jc w:val="center"/>
            </w:pPr>
            <w:r>
              <w:rPr>
                <w:color w:val="000000"/>
                <w:sz w:val="24"/>
                <w:szCs w:val="24"/>
              </w:rPr>
              <w:t>瀚蓝转债</w:t>
            </w:r>
          </w:p>
        </w:tc>
        <w:tc>
          <w:tcPr>
            <w:tcW w:w="1768" w:type="dxa"/>
            <w:vAlign w:val="center"/>
          </w:tcPr>
          <w:p w:rsidR="00C553CF" w:rsidRDefault="005823D6">
            <w:pPr>
              <w:jc w:val="right"/>
            </w:pPr>
            <w:r>
              <w:rPr>
                <w:color w:val="000000"/>
                <w:sz w:val="24"/>
                <w:szCs w:val="24"/>
              </w:rPr>
              <w:t>6,217,398.00</w:t>
            </w:r>
          </w:p>
        </w:tc>
        <w:tc>
          <w:tcPr>
            <w:tcW w:w="1689" w:type="dxa"/>
            <w:vAlign w:val="center"/>
          </w:tcPr>
          <w:p w:rsidR="00C553CF" w:rsidRDefault="005823D6">
            <w:pPr>
              <w:jc w:val="right"/>
            </w:pPr>
            <w:r>
              <w:rPr>
                <w:color w:val="000000"/>
                <w:sz w:val="24"/>
                <w:szCs w:val="24"/>
              </w:rPr>
              <w:t>0.06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553CF">
        <w:trPr>
          <w:jc w:val="center"/>
        </w:trPr>
        <w:tc>
          <w:tcPr>
            <w:tcW w:w="1129" w:type="dxa"/>
            <w:vAlign w:val="center"/>
          </w:tcPr>
          <w:p w:rsidR="00C553CF" w:rsidRDefault="005823D6">
            <w:pPr>
              <w:jc w:val="center"/>
            </w:pPr>
            <w:r>
              <w:rPr>
                <w:color w:val="000000"/>
                <w:sz w:val="24"/>
                <w:szCs w:val="24"/>
              </w:rPr>
              <w:t>1</w:t>
            </w:r>
          </w:p>
        </w:tc>
        <w:tc>
          <w:tcPr>
            <w:tcW w:w="1356" w:type="dxa"/>
            <w:vAlign w:val="center"/>
          </w:tcPr>
          <w:p w:rsidR="00C553CF" w:rsidRDefault="005823D6">
            <w:pPr>
              <w:jc w:val="center"/>
            </w:pPr>
            <w:r>
              <w:rPr>
                <w:color w:val="000000"/>
                <w:sz w:val="24"/>
                <w:szCs w:val="24"/>
              </w:rPr>
              <w:t>603816</w:t>
            </w:r>
          </w:p>
        </w:tc>
        <w:tc>
          <w:tcPr>
            <w:tcW w:w="1355" w:type="dxa"/>
            <w:vAlign w:val="center"/>
          </w:tcPr>
          <w:p w:rsidR="00C553CF" w:rsidRDefault="005823D6">
            <w:pPr>
              <w:jc w:val="center"/>
            </w:pPr>
            <w:r>
              <w:rPr>
                <w:color w:val="000000"/>
                <w:sz w:val="24"/>
                <w:szCs w:val="24"/>
              </w:rPr>
              <w:t>顾家家居</w:t>
            </w:r>
          </w:p>
        </w:tc>
        <w:tc>
          <w:tcPr>
            <w:tcW w:w="1880" w:type="dxa"/>
            <w:vAlign w:val="center"/>
          </w:tcPr>
          <w:p w:rsidR="00C553CF" w:rsidRDefault="005823D6">
            <w:pPr>
              <w:jc w:val="right"/>
            </w:pPr>
            <w:r>
              <w:rPr>
                <w:color w:val="000000"/>
                <w:sz w:val="24"/>
                <w:szCs w:val="24"/>
              </w:rPr>
              <w:t>138,400,000.00</w:t>
            </w:r>
          </w:p>
        </w:tc>
        <w:tc>
          <w:tcPr>
            <w:tcW w:w="1724" w:type="dxa"/>
            <w:vAlign w:val="center"/>
          </w:tcPr>
          <w:p w:rsidR="00C553CF" w:rsidRDefault="005823D6">
            <w:pPr>
              <w:jc w:val="right"/>
            </w:pPr>
            <w:r>
              <w:rPr>
                <w:color w:val="000000"/>
                <w:sz w:val="24"/>
                <w:szCs w:val="24"/>
              </w:rPr>
              <w:t>1.30</w:t>
            </w:r>
          </w:p>
        </w:tc>
        <w:tc>
          <w:tcPr>
            <w:tcW w:w="1424" w:type="dxa"/>
            <w:vAlign w:val="center"/>
          </w:tcPr>
          <w:p w:rsidR="00C553CF" w:rsidRDefault="005823D6">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8,149,813,215.66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824,208,247.75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1,775,323,422.82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7,198,698,040.59</w:t>
            </w:r>
          </w:p>
        </w:tc>
      </w:tr>
    </w:tbl>
    <w:p w:rsidR="00C553CF" w:rsidRDefault="005823D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553CF" w:rsidRDefault="005823D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、中国证监会准予交银施罗德内核驱动混合型证券投资基金募集注册的文件；</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、《交银施罗德内核驱动混合型证券投资基金基金合同》；</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、《交银施罗德内核驱动混合型证券投资基金招募说明书》；</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、《交银施罗德内核驱动混合型证券投资基金托管协议》；</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、关于申请募集注册交银施罗德内核驱动混合型证券投资基金的法律意见书；</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553CF" w:rsidRDefault="005823D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、报告期内交银施罗德内核驱动混合型证券投资基金在指定报刊上各项公告的原稿。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553CF" w:rsidRDefault="005823D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D6" w:rsidRDefault="005823D6" w:rsidP="00876D65">
      <w:r>
        <w:separator/>
      </w:r>
    </w:p>
  </w:endnote>
  <w:endnote w:type="continuationSeparator" w:id="0">
    <w:p w:rsidR="005823D6" w:rsidRDefault="005823D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E2E5F">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E2E5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D6" w:rsidRDefault="005823D6" w:rsidP="00876D65">
      <w:r>
        <w:separator/>
      </w:r>
    </w:p>
  </w:footnote>
  <w:footnote w:type="continuationSeparator" w:id="0">
    <w:p w:rsidR="005823D6" w:rsidRDefault="005823D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交银施罗德内核驱动混合型证券投资基金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3D6"/>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2E5F"/>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53CF"/>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1034-C441-4B60-8499-DA1027116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Pages>
  <Words>1096</Words>
  <Characters>6251</Characters>
  <Application>Microsoft Office Word</Application>
  <DocSecurity>0</DocSecurity>
  <Lines>52</Lines>
  <Paragraphs>14</Paragraphs>
  <ScaleCrop>false</ScaleCrop>
  <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602</cp:revision>
  <dcterms:created xsi:type="dcterms:W3CDTF">2012-10-16T06:07:00Z</dcterms:created>
  <dcterms:modified xsi:type="dcterms:W3CDTF">2021-01-15T01:27:00Z</dcterms:modified>
</cp:coreProperties>
</file>