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交银施罗德中高等级信用债债券型证券投资基金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3272E" w:rsidRDefault="00D85B3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交银中高等级信用债债券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519717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7</w:t>
            </w:r>
            <w:r w:rsidRPr="00414345">
              <w:rPr>
                <w:color w:val="000000"/>
                <w:kern w:val="0"/>
                <w:sz w:val="24"/>
                <w:szCs w:val="24"/>
              </w:rPr>
              <w:t>月</w:t>
            </w:r>
            <w:r w:rsidRPr="00414345">
              <w:rPr>
                <w:color w:val="000000"/>
                <w:kern w:val="0"/>
                <w:sz w:val="24"/>
                <w:szCs w:val="24"/>
              </w:rPr>
              <w:t>28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3,006,589,909.63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本基金主要投资于中高等级信用债，力争持续稳定地实现超越业绩比较基准的投资回报。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中债高信用等级债券财富指数收益率</w:t>
            </w:r>
            <w:r w:rsidRPr="00414345">
              <w:rPr>
                <w:color w:val="000000"/>
                <w:kern w:val="0"/>
                <w:sz w:val="24"/>
                <w:szCs w:val="24"/>
              </w:rPr>
              <w:t>×95%</w:t>
            </w:r>
            <w:r w:rsidRPr="00414345">
              <w:rPr>
                <w:color w:val="000000"/>
                <w:kern w:val="0"/>
                <w:sz w:val="24"/>
                <w:szCs w:val="24"/>
              </w:rPr>
              <w:t>＋人民币银行活期存款利率（税后）</w:t>
            </w:r>
            <w:r w:rsidRPr="00414345">
              <w:rPr>
                <w:color w:val="000000"/>
                <w:kern w:val="0"/>
                <w:sz w:val="24"/>
                <w:szCs w:val="24"/>
              </w:rPr>
              <w:t>×5%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85B31" w:rsidRPr="00414345" w:rsidTr="00D85B3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85B31" w:rsidRPr="00414345" w:rsidTr="00D85B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20,146,059.90</w:t>
            </w:r>
          </w:p>
        </w:tc>
      </w:tr>
      <w:tr w:rsidR="00D85B31" w:rsidRPr="00414345" w:rsidTr="00D85B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32,788,475.62</w:t>
            </w:r>
          </w:p>
        </w:tc>
      </w:tr>
      <w:tr w:rsidR="00D85B31" w:rsidRPr="00414345" w:rsidTr="00D85B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0.0109</w:t>
            </w:r>
          </w:p>
        </w:tc>
      </w:tr>
      <w:tr w:rsidR="00D85B31" w:rsidRPr="00414345" w:rsidTr="00D85B3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3,046,607,442.76</w:t>
            </w:r>
          </w:p>
        </w:tc>
      </w:tr>
      <w:tr w:rsidR="00D85B31" w:rsidRPr="00414345" w:rsidTr="00D85B3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1.0133</w:t>
            </w:r>
          </w:p>
        </w:tc>
      </w:tr>
    </w:tbl>
    <w:p w:rsidR="00C47B84" w:rsidRPr="00C47B84" w:rsidRDefault="00D85B31" w:rsidP="00C47B84">
      <w:pPr>
        <w:autoSpaceDE w:val="0"/>
        <w:autoSpaceDN w:val="0"/>
        <w:adjustRightInd w:val="0"/>
        <w:spacing w:before="29" w:line="288" w:lineRule="auto"/>
        <w:jc w:val="left"/>
        <w:rPr>
          <w:rFonts w:hint="eastAsia"/>
          <w:color w:val="000000"/>
          <w:sz w:val="24"/>
          <w:szCs w:val="24"/>
        </w:rPr>
      </w:pPr>
      <w:r>
        <w:rPr>
          <w:color w:val="000000"/>
          <w:sz w:val="24"/>
          <w:szCs w:val="24"/>
        </w:rPr>
        <w:t>注：</w:t>
      </w:r>
      <w:r w:rsidR="00C47B84" w:rsidRPr="00C47B84">
        <w:rPr>
          <w:rFonts w:hint="eastAsia"/>
          <w:color w:val="000000"/>
          <w:sz w:val="24"/>
          <w:szCs w:val="24"/>
        </w:rPr>
        <w:t>1</w:t>
      </w:r>
      <w:r w:rsidR="00C47B84" w:rsidRPr="00C47B84">
        <w:rPr>
          <w:rFonts w:hint="eastAsia"/>
          <w:color w:val="000000"/>
          <w:sz w:val="24"/>
          <w:szCs w:val="24"/>
        </w:rPr>
        <w:t>、上述基金业绩指标不包括持有人认购或交易基金的各项费用，计入费用后的实际收益水平要低于所列数字。</w:t>
      </w:r>
      <w:r w:rsidR="00C47B84" w:rsidRPr="00C47B84">
        <w:rPr>
          <w:rFonts w:hint="eastAsia"/>
          <w:color w:val="000000"/>
          <w:sz w:val="24"/>
          <w:szCs w:val="24"/>
        </w:rPr>
        <w:t xml:space="preserve">  </w:t>
      </w:r>
    </w:p>
    <w:p w:rsidR="004061AC" w:rsidRPr="00414345" w:rsidRDefault="00C47B84" w:rsidP="00C47B84">
      <w:pPr>
        <w:autoSpaceDE w:val="0"/>
        <w:autoSpaceDN w:val="0"/>
        <w:adjustRightInd w:val="0"/>
        <w:spacing w:before="29" w:line="288" w:lineRule="auto"/>
        <w:jc w:val="left"/>
        <w:rPr>
          <w:color w:val="000000"/>
          <w:sz w:val="24"/>
          <w:szCs w:val="24"/>
        </w:rPr>
      </w:pPr>
      <w:r w:rsidRPr="00C47B84">
        <w:rPr>
          <w:rFonts w:hint="eastAsia"/>
          <w:color w:val="000000"/>
          <w:sz w:val="24"/>
          <w:szCs w:val="24"/>
        </w:rPr>
        <w:t>2</w:t>
      </w:r>
      <w:r w:rsidRPr="00C47B84">
        <w:rPr>
          <w:rFonts w:hint="eastAsia"/>
          <w:color w:val="000000"/>
          <w:sz w:val="24"/>
          <w:szCs w:val="24"/>
        </w:rPr>
        <w:t>、本期已实现收益指基金本期利息收入、投资收益、其他收入（不含公允价值变动收益）扣除相关费用后的余额，本期利润为本期已实现收益加上本期公允价值变动收益。</w:t>
      </w: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3272E">
        <w:trPr>
          <w:jc w:val="center"/>
        </w:trPr>
        <w:tc>
          <w:tcPr>
            <w:tcW w:w="1701" w:type="dxa"/>
            <w:vAlign w:val="center"/>
          </w:tcPr>
          <w:p w:rsidR="0083272E" w:rsidRDefault="00D85B31">
            <w:pPr>
              <w:jc w:val="left"/>
            </w:pPr>
            <w:r>
              <w:rPr>
                <w:color w:val="000000"/>
                <w:sz w:val="24"/>
                <w:szCs w:val="24"/>
              </w:rPr>
              <w:t>过去三个月</w:t>
            </w:r>
          </w:p>
        </w:tc>
        <w:tc>
          <w:tcPr>
            <w:tcW w:w="1045" w:type="dxa"/>
            <w:vAlign w:val="center"/>
          </w:tcPr>
          <w:p w:rsidR="0083272E" w:rsidRDefault="00D85B31">
            <w:pPr>
              <w:jc w:val="center"/>
            </w:pPr>
            <w:r>
              <w:rPr>
                <w:color w:val="000000"/>
                <w:sz w:val="24"/>
                <w:szCs w:val="24"/>
              </w:rPr>
              <w:t>1.09%</w:t>
            </w:r>
          </w:p>
        </w:tc>
        <w:tc>
          <w:tcPr>
            <w:tcW w:w="1344" w:type="dxa"/>
            <w:vAlign w:val="center"/>
          </w:tcPr>
          <w:p w:rsidR="0083272E" w:rsidRDefault="00D85B31">
            <w:pPr>
              <w:jc w:val="center"/>
            </w:pPr>
            <w:r>
              <w:rPr>
                <w:color w:val="000000"/>
                <w:sz w:val="24"/>
                <w:szCs w:val="24"/>
              </w:rPr>
              <w:t>0.03%</w:t>
            </w:r>
          </w:p>
        </w:tc>
        <w:tc>
          <w:tcPr>
            <w:tcW w:w="1194" w:type="dxa"/>
            <w:vAlign w:val="center"/>
          </w:tcPr>
          <w:p w:rsidR="0083272E" w:rsidRDefault="00D85B31" w:rsidP="00D85B31">
            <w:pPr>
              <w:jc w:val="center"/>
            </w:pPr>
            <w:r>
              <w:rPr>
                <w:color w:val="000000"/>
                <w:sz w:val="24"/>
                <w:szCs w:val="24"/>
              </w:rPr>
              <w:t>0.78%</w:t>
            </w:r>
          </w:p>
        </w:tc>
        <w:tc>
          <w:tcPr>
            <w:tcW w:w="1492" w:type="dxa"/>
            <w:vAlign w:val="center"/>
          </w:tcPr>
          <w:p w:rsidR="0083272E" w:rsidRDefault="00D85B31">
            <w:pPr>
              <w:jc w:val="center"/>
            </w:pPr>
            <w:r>
              <w:rPr>
                <w:color w:val="000000"/>
                <w:sz w:val="24"/>
                <w:szCs w:val="24"/>
              </w:rPr>
              <w:t>0.04%</w:t>
            </w:r>
          </w:p>
        </w:tc>
        <w:tc>
          <w:tcPr>
            <w:tcW w:w="1194" w:type="dxa"/>
            <w:vAlign w:val="center"/>
          </w:tcPr>
          <w:p w:rsidR="0083272E" w:rsidRDefault="00D85B31">
            <w:pPr>
              <w:jc w:val="center"/>
            </w:pPr>
            <w:r>
              <w:rPr>
                <w:color w:val="000000"/>
                <w:sz w:val="24"/>
                <w:szCs w:val="24"/>
              </w:rPr>
              <w:t>0.31%</w:t>
            </w:r>
          </w:p>
        </w:tc>
        <w:tc>
          <w:tcPr>
            <w:tcW w:w="898" w:type="dxa"/>
            <w:vAlign w:val="center"/>
          </w:tcPr>
          <w:p w:rsidR="0083272E" w:rsidRDefault="00D85B31">
            <w:pPr>
              <w:jc w:val="center"/>
            </w:pPr>
            <w:r>
              <w:rPr>
                <w:color w:val="000000"/>
                <w:sz w:val="24"/>
                <w:szCs w:val="24"/>
              </w:rPr>
              <w:t>-0.01%</w:t>
            </w:r>
          </w:p>
        </w:tc>
      </w:tr>
      <w:tr w:rsidR="0083272E">
        <w:trPr>
          <w:jc w:val="center"/>
        </w:trPr>
        <w:tc>
          <w:tcPr>
            <w:tcW w:w="1701" w:type="dxa"/>
            <w:vAlign w:val="center"/>
          </w:tcPr>
          <w:p w:rsidR="0083272E" w:rsidRDefault="00D85B31">
            <w:pPr>
              <w:jc w:val="left"/>
            </w:pPr>
            <w:r>
              <w:rPr>
                <w:color w:val="000000"/>
                <w:sz w:val="24"/>
                <w:szCs w:val="24"/>
              </w:rPr>
              <w:t>自基金合同生效至今</w:t>
            </w:r>
          </w:p>
        </w:tc>
        <w:tc>
          <w:tcPr>
            <w:tcW w:w="1045" w:type="dxa"/>
            <w:vAlign w:val="center"/>
          </w:tcPr>
          <w:p w:rsidR="0083272E" w:rsidRDefault="00D85B31">
            <w:pPr>
              <w:jc w:val="center"/>
            </w:pPr>
            <w:r>
              <w:rPr>
                <w:color w:val="000000"/>
                <w:sz w:val="24"/>
                <w:szCs w:val="24"/>
              </w:rPr>
              <w:t>1.33%</w:t>
            </w:r>
          </w:p>
        </w:tc>
        <w:tc>
          <w:tcPr>
            <w:tcW w:w="1344" w:type="dxa"/>
            <w:vAlign w:val="center"/>
          </w:tcPr>
          <w:p w:rsidR="0083272E" w:rsidRDefault="00D85B31">
            <w:pPr>
              <w:jc w:val="center"/>
            </w:pPr>
            <w:r>
              <w:rPr>
                <w:color w:val="000000"/>
                <w:sz w:val="24"/>
                <w:szCs w:val="24"/>
              </w:rPr>
              <w:t>0.02%</w:t>
            </w:r>
          </w:p>
        </w:tc>
        <w:tc>
          <w:tcPr>
            <w:tcW w:w="1194" w:type="dxa"/>
            <w:vAlign w:val="center"/>
          </w:tcPr>
          <w:p w:rsidR="0083272E" w:rsidRDefault="00D85B31">
            <w:pPr>
              <w:jc w:val="center"/>
            </w:pPr>
            <w:r>
              <w:rPr>
                <w:color w:val="000000"/>
                <w:sz w:val="24"/>
                <w:szCs w:val="24"/>
              </w:rPr>
              <w:t>1.</w:t>
            </w:r>
            <w:r>
              <w:rPr>
                <w:rFonts w:hint="eastAsia"/>
                <w:color w:val="000000"/>
                <w:sz w:val="24"/>
                <w:szCs w:val="24"/>
              </w:rPr>
              <w:t>10</w:t>
            </w:r>
            <w:r>
              <w:rPr>
                <w:color w:val="000000"/>
                <w:sz w:val="24"/>
                <w:szCs w:val="24"/>
              </w:rPr>
              <w:t>%</w:t>
            </w:r>
          </w:p>
        </w:tc>
        <w:tc>
          <w:tcPr>
            <w:tcW w:w="1492" w:type="dxa"/>
            <w:vAlign w:val="center"/>
          </w:tcPr>
          <w:p w:rsidR="0083272E" w:rsidRDefault="00D85B31">
            <w:pPr>
              <w:jc w:val="center"/>
            </w:pPr>
            <w:r>
              <w:rPr>
                <w:color w:val="000000"/>
                <w:sz w:val="24"/>
                <w:szCs w:val="24"/>
              </w:rPr>
              <w:t>0.03%</w:t>
            </w:r>
          </w:p>
        </w:tc>
        <w:tc>
          <w:tcPr>
            <w:tcW w:w="1194" w:type="dxa"/>
            <w:vAlign w:val="center"/>
          </w:tcPr>
          <w:p w:rsidR="0083272E" w:rsidRDefault="00D85B31">
            <w:pPr>
              <w:jc w:val="center"/>
            </w:pPr>
            <w:r>
              <w:rPr>
                <w:color w:val="000000"/>
                <w:sz w:val="24"/>
                <w:szCs w:val="24"/>
              </w:rPr>
              <w:t>0.2</w:t>
            </w:r>
            <w:r>
              <w:rPr>
                <w:rFonts w:hint="eastAsia"/>
                <w:color w:val="000000"/>
                <w:sz w:val="24"/>
                <w:szCs w:val="24"/>
              </w:rPr>
              <w:t>3</w:t>
            </w:r>
            <w:r>
              <w:rPr>
                <w:color w:val="000000"/>
                <w:sz w:val="24"/>
                <w:szCs w:val="24"/>
              </w:rPr>
              <w:t>%</w:t>
            </w:r>
          </w:p>
        </w:tc>
        <w:tc>
          <w:tcPr>
            <w:tcW w:w="898" w:type="dxa"/>
            <w:vAlign w:val="center"/>
          </w:tcPr>
          <w:p w:rsidR="0083272E" w:rsidRDefault="00D85B31">
            <w:pPr>
              <w:jc w:val="center"/>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交银施罗德中高等级信用债债券型证券投资基金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注：本基金由交银施罗德理财</w:t>
      </w:r>
      <w:r w:rsidRPr="00414345">
        <w:rPr>
          <w:color w:val="000000"/>
          <w:sz w:val="24"/>
          <w:szCs w:val="24"/>
        </w:rPr>
        <w:t>21</w:t>
      </w:r>
      <w:r w:rsidRPr="00414345">
        <w:rPr>
          <w:color w:val="000000"/>
          <w:sz w:val="24"/>
          <w:szCs w:val="24"/>
        </w:rPr>
        <w:t>天债券型证券投资基金转型而来。基金转型日为</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28</w:t>
      </w:r>
      <w:r w:rsidRPr="00414345">
        <w:rPr>
          <w:color w:val="000000"/>
          <w:sz w:val="24"/>
          <w:szCs w:val="24"/>
        </w:rPr>
        <w:t>日。本基金基金合同生效日为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28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3272E">
        <w:trPr>
          <w:jc w:val="center"/>
        </w:trPr>
        <w:tc>
          <w:tcPr>
            <w:tcW w:w="846" w:type="dxa"/>
            <w:vAlign w:val="center"/>
          </w:tcPr>
          <w:p w:rsidR="0083272E" w:rsidRDefault="00D85B31">
            <w:pPr>
              <w:jc w:val="center"/>
            </w:pPr>
            <w:r>
              <w:rPr>
                <w:color w:val="000000"/>
                <w:sz w:val="24"/>
                <w:szCs w:val="24"/>
              </w:rPr>
              <w:t>黄莹洁</w:t>
            </w:r>
          </w:p>
        </w:tc>
        <w:tc>
          <w:tcPr>
            <w:tcW w:w="845" w:type="dxa"/>
            <w:vAlign w:val="center"/>
          </w:tcPr>
          <w:p w:rsidR="0083272E" w:rsidRDefault="00D85B31">
            <w:pPr>
              <w:jc w:val="center"/>
            </w:pPr>
            <w:r>
              <w:rPr>
                <w:color w:val="000000"/>
                <w:sz w:val="24"/>
                <w:szCs w:val="24"/>
              </w:rPr>
              <w:t>交银丰享收益债券、交银活期通货币、交银天利宝</w:t>
            </w:r>
            <w:r>
              <w:rPr>
                <w:color w:val="000000"/>
                <w:sz w:val="24"/>
                <w:szCs w:val="24"/>
              </w:rPr>
              <w:lastRenderedPageBreak/>
              <w:t>货币、交银裕隆纯债债券、交银天益宝货币、交银境尚收益债券、交银稳鑫短债债券、交银稳利中短债债券、交银中高等级信用债债券的基金经理</w:t>
            </w:r>
          </w:p>
          <w:p w:rsidR="0083272E" w:rsidRDefault="0083272E">
            <w:pPr>
              <w:jc w:val="center"/>
            </w:pPr>
          </w:p>
        </w:tc>
        <w:tc>
          <w:tcPr>
            <w:tcW w:w="1549" w:type="dxa"/>
            <w:vAlign w:val="center"/>
          </w:tcPr>
          <w:p w:rsidR="0083272E" w:rsidRDefault="00D85B31">
            <w:pPr>
              <w:jc w:val="center"/>
            </w:pPr>
            <w:r>
              <w:rPr>
                <w:color w:val="000000"/>
                <w:sz w:val="24"/>
                <w:szCs w:val="24"/>
              </w:rPr>
              <w:lastRenderedPageBreak/>
              <w:t>2020-07-28</w:t>
            </w:r>
          </w:p>
        </w:tc>
        <w:tc>
          <w:tcPr>
            <w:tcW w:w="1548" w:type="dxa"/>
            <w:vAlign w:val="center"/>
          </w:tcPr>
          <w:p w:rsidR="0083272E" w:rsidRDefault="00D85B31">
            <w:pPr>
              <w:jc w:val="center"/>
            </w:pPr>
            <w:r>
              <w:rPr>
                <w:color w:val="000000"/>
                <w:sz w:val="24"/>
                <w:szCs w:val="24"/>
              </w:rPr>
              <w:t>-</w:t>
            </w:r>
          </w:p>
        </w:tc>
        <w:tc>
          <w:tcPr>
            <w:tcW w:w="1407" w:type="dxa"/>
            <w:vAlign w:val="center"/>
          </w:tcPr>
          <w:p w:rsidR="0083272E" w:rsidRDefault="00D85B31">
            <w:pPr>
              <w:jc w:val="center"/>
            </w:pPr>
            <w:r>
              <w:rPr>
                <w:color w:val="000000"/>
                <w:sz w:val="24"/>
                <w:szCs w:val="24"/>
              </w:rPr>
              <w:t>12</w:t>
            </w:r>
            <w:r>
              <w:rPr>
                <w:color w:val="000000"/>
                <w:sz w:val="24"/>
                <w:szCs w:val="24"/>
              </w:rPr>
              <w:t>年</w:t>
            </w:r>
          </w:p>
        </w:tc>
        <w:tc>
          <w:tcPr>
            <w:tcW w:w="2673" w:type="dxa"/>
            <w:vAlign w:val="center"/>
          </w:tcPr>
          <w:p w:rsidR="0083272E" w:rsidRDefault="00D85B31">
            <w:r>
              <w:rPr>
                <w:color w:val="000000"/>
                <w:sz w:val="24"/>
                <w:szCs w:val="24"/>
              </w:rPr>
              <w:t>黄莹洁女士，香港大学工商管理硕士、北京大学经济学、管理学双学士。历任中海基金管理有限公司交易员。</w:t>
            </w:r>
            <w:r>
              <w:rPr>
                <w:color w:val="000000"/>
                <w:sz w:val="24"/>
                <w:szCs w:val="24"/>
              </w:rPr>
              <w:t>2012</w:t>
            </w:r>
            <w:r>
              <w:rPr>
                <w:color w:val="000000"/>
                <w:sz w:val="24"/>
                <w:szCs w:val="24"/>
              </w:rPr>
              <w:t>年加入交银施罗德基金管理有限公司，历任中央交易室交易员。</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25</w:t>
            </w:r>
            <w:r>
              <w:rPr>
                <w:color w:val="000000"/>
                <w:sz w:val="24"/>
                <w:szCs w:val="24"/>
              </w:rPr>
              <w:t>日至</w:t>
            </w:r>
            <w:r>
              <w:rPr>
                <w:color w:val="000000"/>
                <w:sz w:val="24"/>
                <w:szCs w:val="24"/>
              </w:rPr>
              <w:t>2018</w:t>
            </w:r>
            <w:r>
              <w:rPr>
                <w:color w:val="000000"/>
                <w:sz w:val="24"/>
                <w:szCs w:val="24"/>
              </w:rPr>
              <w:t>年</w:t>
            </w:r>
            <w:r>
              <w:rPr>
                <w:color w:val="000000"/>
                <w:sz w:val="24"/>
                <w:szCs w:val="24"/>
              </w:rPr>
              <w:t>3</w:t>
            </w:r>
            <w:r>
              <w:rPr>
                <w:color w:val="000000"/>
                <w:sz w:val="24"/>
                <w:szCs w:val="24"/>
              </w:rPr>
              <w:t>月</w:t>
            </w:r>
            <w:r>
              <w:rPr>
                <w:color w:val="000000"/>
                <w:sz w:val="24"/>
                <w:szCs w:val="24"/>
              </w:rPr>
              <w:t>18</w:t>
            </w:r>
            <w:r>
              <w:rPr>
                <w:color w:val="000000"/>
                <w:sz w:val="24"/>
                <w:szCs w:val="24"/>
              </w:rPr>
              <w:t>日担任交银施罗</w:t>
            </w:r>
            <w:r>
              <w:rPr>
                <w:color w:val="000000"/>
                <w:sz w:val="24"/>
                <w:szCs w:val="24"/>
              </w:rPr>
              <w:lastRenderedPageBreak/>
              <w:t>德丰泽收益债券型证券投资基金的基金经理。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27</w:t>
            </w:r>
            <w:r>
              <w:rPr>
                <w:color w:val="000000"/>
                <w:sz w:val="24"/>
                <w:szCs w:val="24"/>
              </w:rPr>
              <w:t>日至</w:t>
            </w:r>
            <w:r>
              <w:rPr>
                <w:color w:val="000000"/>
                <w:sz w:val="24"/>
                <w:szCs w:val="24"/>
              </w:rPr>
              <w:t>2019</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日担任交银施罗德货币市场证券投资基金、交银施罗德现金宝货币市场基金的基金经理。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日至</w:t>
            </w:r>
            <w:r>
              <w:rPr>
                <w:color w:val="000000"/>
                <w:sz w:val="24"/>
                <w:szCs w:val="24"/>
              </w:rPr>
              <w:t>2019</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日担任交银施罗德天鑫宝货币市场基金的基金经理。</w:t>
            </w:r>
            <w:r>
              <w:rPr>
                <w:color w:val="000000"/>
                <w:sz w:val="24"/>
                <w:szCs w:val="24"/>
              </w:rPr>
              <w:t>2015</w:t>
            </w:r>
            <w:r>
              <w:rPr>
                <w:color w:val="000000"/>
                <w:sz w:val="24"/>
                <w:szCs w:val="24"/>
              </w:rPr>
              <w:t>年</w:t>
            </w:r>
            <w:r>
              <w:rPr>
                <w:color w:val="000000"/>
                <w:sz w:val="24"/>
                <w:szCs w:val="24"/>
              </w:rPr>
              <w:t>12</w:t>
            </w:r>
            <w:r>
              <w:rPr>
                <w:color w:val="000000"/>
                <w:sz w:val="24"/>
                <w:szCs w:val="24"/>
              </w:rPr>
              <w:t>月</w:t>
            </w:r>
            <w:r>
              <w:rPr>
                <w:color w:val="000000"/>
                <w:sz w:val="24"/>
                <w:szCs w:val="24"/>
              </w:rPr>
              <w:t>29</w:t>
            </w:r>
            <w:r>
              <w:rPr>
                <w:color w:val="000000"/>
                <w:sz w:val="24"/>
                <w:szCs w:val="24"/>
              </w:rPr>
              <w:t>日至</w:t>
            </w:r>
            <w:r>
              <w:rPr>
                <w:color w:val="000000"/>
                <w:sz w:val="24"/>
                <w:szCs w:val="24"/>
              </w:rPr>
              <w:t>2019</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日担任交银施罗德裕通纯债债券型证券投资基金的基金经理。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27</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27</w:t>
            </w:r>
            <w:r>
              <w:rPr>
                <w:color w:val="000000"/>
                <w:sz w:val="24"/>
                <w:szCs w:val="24"/>
              </w:rPr>
              <w:t>日担任转型前的交银施罗德理财</w:t>
            </w:r>
            <w:r>
              <w:rPr>
                <w:color w:val="000000"/>
                <w:sz w:val="24"/>
                <w:szCs w:val="24"/>
              </w:rPr>
              <w:t>21</w:t>
            </w:r>
            <w:r>
              <w:rPr>
                <w:color w:val="000000"/>
                <w:sz w:val="24"/>
                <w:szCs w:val="24"/>
              </w:rPr>
              <w:t>天债券型证券投资基金的基金经理。</w:t>
            </w:r>
          </w:p>
          <w:p w:rsidR="0083272E" w:rsidRDefault="0083272E"/>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3272E" w:rsidRDefault="00D85B3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w:t>
      </w:r>
      <w:r>
        <w:rPr>
          <w:color w:val="000000"/>
          <w:sz w:val="24"/>
          <w:szCs w:val="24"/>
        </w:rPr>
        <w:lastRenderedPageBreak/>
        <w:t>平，旗下所管理的所有资产组合，包括证券投资基金和私募资产管理计划均严格遵循制度进行公平交易。</w:t>
      </w:r>
    </w:p>
    <w:p w:rsidR="0083272E" w:rsidRDefault="00D85B3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83272E" w:rsidRDefault="00D85B3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3272E" w:rsidRDefault="00D85B31">
      <w:pPr>
        <w:spacing w:before="29" w:line="288" w:lineRule="auto"/>
        <w:ind w:firstLineChars="200" w:firstLine="480"/>
        <w:rPr>
          <w:color w:val="000000"/>
          <w:sz w:val="24"/>
          <w:szCs w:val="24"/>
        </w:rPr>
      </w:pPr>
      <w:r>
        <w:rPr>
          <w:color w:val="000000"/>
          <w:sz w:val="24"/>
          <w:szCs w:val="24"/>
        </w:rPr>
        <w:t>本报告期内，债券市场收益率先在经济数据透露出</w:t>
      </w:r>
      <w:r>
        <w:rPr>
          <w:color w:val="000000"/>
          <w:sz w:val="24"/>
          <w:szCs w:val="24"/>
        </w:rPr>
        <w:t>“</w:t>
      </w:r>
      <w:r>
        <w:rPr>
          <w:color w:val="000000"/>
          <w:sz w:val="24"/>
          <w:szCs w:val="24"/>
        </w:rPr>
        <w:t>结构隐忧</w:t>
      </w:r>
      <w:r>
        <w:rPr>
          <w:color w:val="000000"/>
          <w:sz w:val="24"/>
          <w:szCs w:val="24"/>
        </w:rPr>
        <w:t>”</w:t>
      </w:r>
      <w:r>
        <w:rPr>
          <w:color w:val="000000"/>
          <w:sz w:val="24"/>
          <w:szCs w:val="24"/>
        </w:rPr>
        <w:t>和四季度供需结构优化的双重作用下，小幅下行。之后央行重提总闸门引发货币政策进一步收紧的预期，叠加部分信用债违约风险事件，信用债和短久期利率债经历了大幅下跌。</w:t>
      </w:r>
      <w:r>
        <w:rPr>
          <w:color w:val="000000"/>
          <w:sz w:val="24"/>
          <w:szCs w:val="24"/>
        </w:rPr>
        <w:t>11</w:t>
      </w:r>
      <w:r>
        <w:rPr>
          <w:color w:val="000000"/>
          <w:sz w:val="24"/>
          <w:szCs w:val="24"/>
        </w:rPr>
        <w:t>月下旬随着央行超预期投放流动性，经济工作会议精神明确不会</w:t>
      </w:r>
      <w:r>
        <w:rPr>
          <w:color w:val="000000"/>
          <w:sz w:val="24"/>
          <w:szCs w:val="24"/>
        </w:rPr>
        <w:t>“</w:t>
      </w:r>
      <w:r>
        <w:rPr>
          <w:color w:val="000000"/>
          <w:sz w:val="24"/>
          <w:szCs w:val="24"/>
        </w:rPr>
        <w:t>急转弯</w:t>
      </w:r>
      <w:r>
        <w:rPr>
          <w:color w:val="000000"/>
          <w:sz w:val="24"/>
          <w:szCs w:val="24"/>
        </w:rPr>
        <w:t>”</w:t>
      </w:r>
      <w:r>
        <w:rPr>
          <w:color w:val="000000"/>
          <w:sz w:val="24"/>
          <w:szCs w:val="24"/>
        </w:rPr>
        <w:t>，债券市场在配置力量带动下，收益率转而下行。</w:t>
      </w:r>
    </w:p>
    <w:p w:rsidR="0083272E" w:rsidRDefault="00D85B31">
      <w:pPr>
        <w:spacing w:before="29" w:line="288" w:lineRule="auto"/>
        <w:ind w:firstLineChars="200" w:firstLine="480"/>
        <w:rPr>
          <w:color w:val="000000"/>
          <w:sz w:val="24"/>
          <w:szCs w:val="24"/>
        </w:rPr>
      </w:pPr>
      <w:r>
        <w:rPr>
          <w:color w:val="000000"/>
          <w:sz w:val="24"/>
          <w:szCs w:val="24"/>
        </w:rPr>
        <w:t>由于央行</w:t>
      </w:r>
      <w:r>
        <w:rPr>
          <w:color w:val="000000"/>
          <w:sz w:val="24"/>
          <w:szCs w:val="24"/>
        </w:rPr>
        <w:t>MLF</w:t>
      </w:r>
      <w:r>
        <w:rPr>
          <w:color w:val="000000"/>
          <w:sz w:val="24"/>
          <w:szCs w:val="24"/>
        </w:rPr>
        <w:t>的超额投放和年底大量的跨年公开市场操作，资金面年底前呈现宽松态势，股份制存款存单收益率也在</w:t>
      </w:r>
      <w:r>
        <w:rPr>
          <w:color w:val="000000"/>
          <w:sz w:val="24"/>
          <w:szCs w:val="24"/>
        </w:rPr>
        <w:t>11</w:t>
      </w:r>
      <w:r>
        <w:rPr>
          <w:color w:val="000000"/>
          <w:sz w:val="24"/>
          <w:szCs w:val="24"/>
        </w:rPr>
        <w:t>月底最高达到</w:t>
      </w:r>
      <w:r>
        <w:rPr>
          <w:color w:val="000000"/>
          <w:sz w:val="24"/>
          <w:szCs w:val="24"/>
        </w:rPr>
        <w:t>3.2%</w:t>
      </w:r>
      <w:r>
        <w:rPr>
          <w:color w:val="000000"/>
          <w:sz w:val="24"/>
          <w:szCs w:val="24"/>
        </w:rPr>
        <w:t>附近见顶后，出现明显的下行，年底下至</w:t>
      </w:r>
      <w:r>
        <w:rPr>
          <w:color w:val="000000"/>
          <w:sz w:val="24"/>
          <w:szCs w:val="24"/>
        </w:rPr>
        <w:t>2.6%</w:t>
      </w:r>
      <w:r>
        <w:rPr>
          <w:color w:val="000000"/>
          <w:sz w:val="24"/>
          <w:szCs w:val="24"/>
        </w:rPr>
        <w:t>附近。</w:t>
      </w:r>
    </w:p>
    <w:p w:rsidR="0083272E" w:rsidRDefault="00D85B31">
      <w:pPr>
        <w:spacing w:before="29" w:line="288" w:lineRule="auto"/>
        <w:ind w:firstLineChars="200" w:firstLine="480"/>
        <w:rPr>
          <w:color w:val="000000"/>
          <w:sz w:val="24"/>
          <w:szCs w:val="24"/>
        </w:rPr>
      </w:pPr>
      <w:r>
        <w:rPr>
          <w:color w:val="000000"/>
          <w:sz w:val="24"/>
          <w:szCs w:val="24"/>
        </w:rPr>
        <w:t>基金操作方面，本基金以中低久期和高等级信用债配置为主，同时根据市场情况，适当参与利率债波段操作，为组合增厚收益。</w:t>
      </w:r>
    </w:p>
    <w:p w:rsidR="0083272E" w:rsidRDefault="00D85B31">
      <w:pPr>
        <w:spacing w:before="29" w:line="288" w:lineRule="auto"/>
        <w:ind w:firstLineChars="200" w:firstLine="480"/>
        <w:rPr>
          <w:color w:val="000000"/>
          <w:sz w:val="24"/>
          <w:szCs w:val="24"/>
        </w:rPr>
      </w:pPr>
      <w:r>
        <w:rPr>
          <w:color w:val="000000"/>
          <w:sz w:val="24"/>
          <w:szCs w:val="24"/>
        </w:rPr>
        <w:t>展望</w:t>
      </w:r>
      <w:r>
        <w:rPr>
          <w:color w:val="000000"/>
          <w:sz w:val="24"/>
          <w:szCs w:val="24"/>
        </w:rPr>
        <w:t>2021</w:t>
      </w:r>
      <w:r>
        <w:rPr>
          <w:color w:val="000000"/>
          <w:sz w:val="24"/>
          <w:szCs w:val="24"/>
        </w:rPr>
        <w:t>年一季度，基本面延续边际改善趋势，债市核心交易要素还是资金面，在央行流动性呵护下此前超调的短债、中高等级信用债近期表现较好，需要关注通胀是否超预期上行从而引致货币政策的边际收紧。中期来看，经济依然延续改善，大宗价格明显上涨，债市仍然难现趋势性行情，但以社融见顶的逻辑推演来看，收益率已经接近顶部区域，大概率是一个磨顶的过程，但低等级信用债则需规避信用利差走扩的风险。债券的趋势性拐点则需要紧密跟踪信用收缩对实体经济的负反馈，以及海外供需缺口变</w:t>
      </w:r>
      <w:r>
        <w:rPr>
          <w:color w:val="000000"/>
          <w:sz w:val="24"/>
          <w:szCs w:val="24"/>
        </w:rPr>
        <w:lastRenderedPageBreak/>
        <w:t>化对我国出口的负面拖累。组合操作方面，组合仍将以中高等级信用债为底仓，根据对宏观经济、货币政策的判断，适时调整组合久期，采取票息策略为主的思路。在严控信用风险的基础上，对各类债券品种精耕细作，加强收益挖掘。同时，在融资成本相对较低的情况下，短端资金和资产收益利差空间仍然较为显著，我们会辅以合理杠杆水平以期增厚组合收益。</w:t>
      </w:r>
    </w:p>
    <w:p w:rsidR="0083272E" w:rsidRDefault="0083272E">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3,529,431,000.00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3,529,431,000.00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69,644.66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54,296,956.86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3,583,797,601.52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1,791,541,000.00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58.80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159,968,000.00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282,440,000.00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99,710,000.00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3.27</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1,061,980,000.00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34.86</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293,760,000.00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9.64</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3,529,431,000.00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115.85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w:t>
            </w:r>
            <w:r w:rsidRPr="00414345">
              <w:rPr>
                <w:color w:val="000000"/>
                <w:sz w:val="24"/>
                <w:szCs w:val="24"/>
              </w:rPr>
              <w:lastRenderedPageBreak/>
              <w:t>产净值比例</w:t>
            </w:r>
            <w:r w:rsidR="003B3494" w:rsidRPr="00414345">
              <w:rPr>
                <w:color w:val="000000"/>
                <w:sz w:val="24"/>
              </w:rPr>
              <w:t>（％）</w:t>
            </w:r>
          </w:p>
        </w:tc>
      </w:tr>
      <w:tr w:rsidR="0083272E">
        <w:trPr>
          <w:jc w:val="center"/>
        </w:trPr>
        <w:tc>
          <w:tcPr>
            <w:tcW w:w="850" w:type="dxa"/>
            <w:vAlign w:val="center"/>
          </w:tcPr>
          <w:p w:rsidR="0083272E" w:rsidRDefault="00D85B31">
            <w:pPr>
              <w:jc w:val="center"/>
            </w:pPr>
            <w:r>
              <w:rPr>
                <w:color w:val="000000"/>
                <w:sz w:val="24"/>
                <w:szCs w:val="24"/>
              </w:rPr>
              <w:lastRenderedPageBreak/>
              <w:t>1</w:t>
            </w:r>
          </w:p>
        </w:tc>
        <w:tc>
          <w:tcPr>
            <w:tcW w:w="1475" w:type="dxa"/>
            <w:vAlign w:val="center"/>
          </w:tcPr>
          <w:p w:rsidR="0083272E" w:rsidRDefault="00D85B31">
            <w:pPr>
              <w:jc w:val="center"/>
            </w:pPr>
            <w:r>
              <w:rPr>
                <w:color w:val="000000"/>
                <w:sz w:val="24"/>
                <w:szCs w:val="24"/>
              </w:rPr>
              <w:t>2028020</w:t>
            </w:r>
          </w:p>
        </w:tc>
        <w:tc>
          <w:tcPr>
            <w:tcW w:w="1769" w:type="dxa"/>
            <w:vAlign w:val="center"/>
          </w:tcPr>
          <w:p w:rsidR="0083272E" w:rsidRDefault="00D85B31">
            <w:pPr>
              <w:jc w:val="center"/>
            </w:pPr>
            <w:r>
              <w:rPr>
                <w:color w:val="000000"/>
                <w:sz w:val="24"/>
                <w:szCs w:val="24"/>
              </w:rPr>
              <w:t>20</w:t>
            </w:r>
            <w:r>
              <w:rPr>
                <w:color w:val="000000"/>
                <w:sz w:val="24"/>
                <w:szCs w:val="24"/>
              </w:rPr>
              <w:t>兴业银行小微债</w:t>
            </w:r>
            <w:r>
              <w:rPr>
                <w:color w:val="000000"/>
                <w:sz w:val="24"/>
                <w:szCs w:val="24"/>
              </w:rPr>
              <w:t>03</w:t>
            </w:r>
          </w:p>
        </w:tc>
        <w:tc>
          <w:tcPr>
            <w:tcW w:w="1387" w:type="dxa"/>
            <w:vAlign w:val="center"/>
          </w:tcPr>
          <w:p w:rsidR="0083272E" w:rsidRDefault="00D85B31">
            <w:pPr>
              <w:jc w:val="right"/>
            </w:pPr>
            <w:r>
              <w:rPr>
                <w:color w:val="000000"/>
                <w:sz w:val="24"/>
                <w:szCs w:val="24"/>
              </w:rPr>
              <w:t>3,000,000</w:t>
            </w:r>
          </w:p>
        </w:tc>
        <w:tc>
          <w:tcPr>
            <w:tcW w:w="2150" w:type="dxa"/>
            <w:vAlign w:val="center"/>
          </w:tcPr>
          <w:p w:rsidR="0083272E" w:rsidRDefault="00D85B31">
            <w:pPr>
              <w:jc w:val="right"/>
            </w:pPr>
            <w:r>
              <w:rPr>
                <w:color w:val="000000"/>
                <w:sz w:val="24"/>
                <w:szCs w:val="24"/>
              </w:rPr>
              <w:t>295,410,000.00</w:t>
            </w:r>
          </w:p>
        </w:tc>
        <w:tc>
          <w:tcPr>
            <w:tcW w:w="1237" w:type="dxa"/>
            <w:vAlign w:val="center"/>
          </w:tcPr>
          <w:p w:rsidR="0083272E" w:rsidRDefault="00D85B31">
            <w:pPr>
              <w:jc w:val="right"/>
            </w:pPr>
            <w:r>
              <w:rPr>
                <w:color w:val="000000"/>
                <w:sz w:val="24"/>
                <w:szCs w:val="24"/>
              </w:rPr>
              <w:t>9.70</w:t>
            </w:r>
          </w:p>
        </w:tc>
      </w:tr>
      <w:tr w:rsidR="0083272E">
        <w:trPr>
          <w:jc w:val="center"/>
        </w:trPr>
        <w:tc>
          <w:tcPr>
            <w:tcW w:w="850" w:type="dxa"/>
            <w:vAlign w:val="center"/>
          </w:tcPr>
          <w:p w:rsidR="0083272E" w:rsidRDefault="00D85B31">
            <w:pPr>
              <w:jc w:val="center"/>
            </w:pPr>
            <w:r>
              <w:rPr>
                <w:color w:val="000000"/>
                <w:sz w:val="24"/>
                <w:szCs w:val="24"/>
              </w:rPr>
              <w:t>2</w:t>
            </w:r>
          </w:p>
        </w:tc>
        <w:tc>
          <w:tcPr>
            <w:tcW w:w="1475" w:type="dxa"/>
            <w:vAlign w:val="center"/>
          </w:tcPr>
          <w:p w:rsidR="0083272E" w:rsidRDefault="00D85B31">
            <w:pPr>
              <w:jc w:val="center"/>
            </w:pPr>
            <w:r>
              <w:rPr>
                <w:color w:val="000000"/>
                <w:sz w:val="24"/>
                <w:szCs w:val="24"/>
              </w:rPr>
              <w:t>112012103</w:t>
            </w:r>
          </w:p>
        </w:tc>
        <w:tc>
          <w:tcPr>
            <w:tcW w:w="1769" w:type="dxa"/>
            <w:vAlign w:val="center"/>
          </w:tcPr>
          <w:p w:rsidR="0083272E" w:rsidRDefault="00D85B31">
            <w:pPr>
              <w:jc w:val="center"/>
            </w:pPr>
            <w:r>
              <w:rPr>
                <w:color w:val="000000"/>
                <w:sz w:val="24"/>
                <w:szCs w:val="24"/>
              </w:rPr>
              <w:t>20</w:t>
            </w:r>
            <w:r>
              <w:rPr>
                <w:color w:val="000000"/>
                <w:sz w:val="24"/>
                <w:szCs w:val="24"/>
              </w:rPr>
              <w:t>北京银行</w:t>
            </w:r>
            <w:r>
              <w:rPr>
                <w:color w:val="000000"/>
                <w:sz w:val="24"/>
                <w:szCs w:val="24"/>
              </w:rPr>
              <w:t>CD103</w:t>
            </w:r>
          </w:p>
        </w:tc>
        <w:tc>
          <w:tcPr>
            <w:tcW w:w="1387" w:type="dxa"/>
            <w:vAlign w:val="center"/>
          </w:tcPr>
          <w:p w:rsidR="0083272E" w:rsidRDefault="00D85B31">
            <w:pPr>
              <w:jc w:val="right"/>
            </w:pPr>
            <w:r>
              <w:rPr>
                <w:color w:val="000000"/>
                <w:sz w:val="24"/>
                <w:szCs w:val="24"/>
              </w:rPr>
              <w:t>3,000,000</w:t>
            </w:r>
          </w:p>
        </w:tc>
        <w:tc>
          <w:tcPr>
            <w:tcW w:w="2150" w:type="dxa"/>
            <w:vAlign w:val="center"/>
          </w:tcPr>
          <w:p w:rsidR="0083272E" w:rsidRDefault="00D85B31">
            <w:pPr>
              <w:jc w:val="right"/>
            </w:pPr>
            <w:r>
              <w:rPr>
                <w:color w:val="000000"/>
                <w:sz w:val="24"/>
                <w:szCs w:val="24"/>
              </w:rPr>
              <w:t>293,760,000.00</w:t>
            </w:r>
          </w:p>
        </w:tc>
        <w:tc>
          <w:tcPr>
            <w:tcW w:w="1237" w:type="dxa"/>
            <w:vAlign w:val="center"/>
          </w:tcPr>
          <w:p w:rsidR="0083272E" w:rsidRDefault="00D85B31">
            <w:pPr>
              <w:jc w:val="right"/>
            </w:pPr>
            <w:r>
              <w:rPr>
                <w:color w:val="000000"/>
                <w:sz w:val="24"/>
                <w:szCs w:val="24"/>
              </w:rPr>
              <w:t>9.64</w:t>
            </w:r>
          </w:p>
        </w:tc>
      </w:tr>
      <w:tr w:rsidR="0083272E">
        <w:trPr>
          <w:jc w:val="center"/>
        </w:trPr>
        <w:tc>
          <w:tcPr>
            <w:tcW w:w="850" w:type="dxa"/>
            <w:vAlign w:val="center"/>
          </w:tcPr>
          <w:p w:rsidR="0083272E" w:rsidRDefault="00D85B31">
            <w:pPr>
              <w:jc w:val="center"/>
            </w:pPr>
            <w:r>
              <w:rPr>
                <w:color w:val="000000"/>
                <w:sz w:val="24"/>
                <w:szCs w:val="24"/>
              </w:rPr>
              <w:t>3</w:t>
            </w:r>
          </w:p>
        </w:tc>
        <w:tc>
          <w:tcPr>
            <w:tcW w:w="1475" w:type="dxa"/>
            <w:vAlign w:val="center"/>
          </w:tcPr>
          <w:p w:rsidR="0083272E" w:rsidRDefault="00D85B31">
            <w:pPr>
              <w:jc w:val="center"/>
            </w:pPr>
            <w:r>
              <w:rPr>
                <w:color w:val="000000"/>
                <w:sz w:val="24"/>
                <w:szCs w:val="24"/>
              </w:rPr>
              <w:t>1628005</w:t>
            </w:r>
          </w:p>
        </w:tc>
        <w:tc>
          <w:tcPr>
            <w:tcW w:w="1769" w:type="dxa"/>
            <w:vAlign w:val="center"/>
          </w:tcPr>
          <w:p w:rsidR="0083272E" w:rsidRDefault="00D85B31">
            <w:pPr>
              <w:jc w:val="center"/>
            </w:pPr>
            <w:r>
              <w:rPr>
                <w:color w:val="000000"/>
                <w:sz w:val="24"/>
                <w:szCs w:val="24"/>
              </w:rPr>
              <w:t>16</w:t>
            </w:r>
            <w:r>
              <w:rPr>
                <w:color w:val="000000"/>
                <w:sz w:val="24"/>
                <w:szCs w:val="24"/>
              </w:rPr>
              <w:t>华夏银行</w:t>
            </w:r>
            <w:r>
              <w:rPr>
                <w:color w:val="000000"/>
                <w:sz w:val="24"/>
                <w:szCs w:val="24"/>
              </w:rPr>
              <w:t>02</w:t>
            </w:r>
          </w:p>
        </w:tc>
        <w:tc>
          <w:tcPr>
            <w:tcW w:w="1387" w:type="dxa"/>
            <w:vAlign w:val="center"/>
          </w:tcPr>
          <w:p w:rsidR="0083272E" w:rsidRDefault="00D85B31">
            <w:pPr>
              <w:jc w:val="right"/>
            </w:pPr>
            <w:r>
              <w:rPr>
                <w:color w:val="000000"/>
                <w:sz w:val="24"/>
                <w:szCs w:val="24"/>
              </w:rPr>
              <w:t>2,900,000</w:t>
            </w:r>
          </w:p>
        </w:tc>
        <w:tc>
          <w:tcPr>
            <w:tcW w:w="2150" w:type="dxa"/>
            <w:vAlign w:val="center"/>
          </w:tcPr>
          <w:p w:rsidR="0083272E" w:rsidRDefault="00D85B31">
            <w:pPr>
              <w:jc w:val="right"/>
            </w:pPr>
            <w:r>
              <w:rPr>
                <w:color w:val="000000"/>
                <w:sz w:val="24"/>
                <w:szCs w:val="24"/>
              </w:rPr>
              <w:t>291,943,000.00</w:t>
            </w:r>
          </w:p>
        </w:tc>
        <w:tc>
          <w:tcPr>
            <w:tcW w:w="1237" w:type="dxa"/>
            <w:vAlign w:val="center"/>
          </w:tcPr>
          <w:p w:rsidR="0083272E" w:rsidRDefault="00D85B31">
            <w:pPr>
              <w:jc w:val="right"/>
            </w:pPr>
            <w:r>
              <w:rPr>
                <w:color w:val="000000"/>
                <w:sz w:val="24"/>
                <w:szCs w:val="24"/>
              </w:rPr>
              <w:t>9.58</w:t>
            </w:r>
          </w:p>
        </w:tc>
      </w:tr>
      <w:tr w:rsidR="0083272E">
        <w:trPr>
          <w:jc w:val="center"/>
        </w:trPr>
        <w:tc>
          <w:tcPr>
            <w:tcW w:w="850" w:type="dxa"/>
            <w:vAlign w:val="center"/>
          </w:tcPr>
          <w:p w:rsidR="0083272E" w:rsidRDefault="00D85B31">
            <w:pPr>
              <w:jc w:val="center"/>
            </w:pPr>
            <w:r>
              <w:rPr>
                <w:color w:val="000000"/>
                <w:sz w:val="24"/>
                <w:szCs w:val="24"/>
              </w:rPr>
              <w:t>4</w:t>
            </w:r>
          </w:p>
        </w:tc>
        <w:tc>
          <w:tcPr>
            <w:tcW w:w="1475" w:type="dxa"/>
            <w:vAlign w:val="center"/>
          </w:tcPr>
          <w:p w:rsidR="0083272E" w:rsidRDefault="00D85B31">
            <w:pPr>
              <w:jc w:val="center"/>
            </w:pPr>
            <w:r>
              <w:rPr>
                <w:color w:val="000000"/>
                <w:sz w:val="24"/>
                <w:szCs w:val="24"/>
              </w:rPr>
              <w:t>2028007</w:t>
            </w:r>
          </w:p>
        </w:tc>
        <w:tc>
          <w:tcPr>
            <w:tcW w:w="1769" w:type="dxa"/>
            <w:vAlign w:val="center"/>
          </w:tcPr>
          <w:p w:rsidR="0083272E" w:rsidRDefault="00D85B31">
            <w:pPr>
              <w:jc w:val="center"/>
            </w:pPr>
            <w:r>
              <w:rPr>
                <w:color w:val="000000"/>
                <w:sz w:val="24"/>
                <w:szCs w:val="24"/>
              </w:rPr>
              <w:t>20</w:t>
            </w:r>
            <w:r>
              <w:rPr>
                <w:color w:val="000000"/>
                <w:sz w:val="24"/>
                <w:szCs w:val="24"/>
              </w:rPr>
              <w:t>中信银行小微债</w:t>
            </w:r>
            <w:r>
              <w:rPr>
                <w:color w:val="000000"/>
                <w:sz w:val="24"/>
                <w:szCs w:val="24"/>
              </w:rPr>
              <w:t>01</w:t>
            </w:r>
          </w:p>
        </w:tc>
        <w:tc>
          <w:tcPr>
            <w:tcW w:w="1387" w:type="dxa"/>
            <w:vAlign w:val="center"/>
          </w:tcPr>
          <w:p w:rsidR="0083272E" w:rsidRDefault="00D85B31">
            <w:pPr>
              <w:jc w:val="right"/>
            </w:pPr>
            <w:r>
              <w:rPr>
                <w:color w:val="000000"/>
                <w:sz w:val="24"/>
                <w:szCs w:val="24"/>
              </w:rPr>
              <w:t>2,900,000</w:t>
            </w:r>
          </w:p>
        </w:tc>
        <w:tc>
          <w:tcPr>
            <w:tcW w:w="2150" w:type="dxa"/>
            <w:vAlign w:val="center"/>
          </w:tcPr>
          <w:p w:rsidR="0083272E" w:rsidRDefault="00D85B31">
            <w:pPr>
              <w:jc w:val="right"/>
            </w:pPr>
            <w:r>
              <w:rPr>
                <w:color w:val="000000"/>
                <w:sz w:val="24"/>
                <w:szCs w:val="24"/>
              </w:rPr>
              <w:t>287,506,000.00</w:t>
            </w:r>
          </w:p>
        </w:tc>
        <w:tc>
          <w:tcPr>
            <w:tcW w:w="1237" w:type="dxa"/>
            <w:vAlign w:val="center"/>
          </w:tcPr>
          <w:p w:rsidR="0083272E" w:rsidRDefault="00D85B31">
            <w:pPr>
              <w:jc w:val="right"/>
            </w:pPr>
            <w:r>
              <w:rPr>
                <w:color w:val="000000"/>
                <w:sz w:val="24"/>
                <w:szCs w:val="24"/>
              </w:rPr>
              <w:t>9.44</w:t>
            </w:r>
          </w:p>
        </w:tc>
      </w:tr>
      <w:tr w:rsidR="0083272E">
        <w:trPr>
          <w:jc w:val="center"/>
        </w:trPr>
        <w:tc>
          <w:tcPr>
            <w:tcW w:w="850" w:type="dxa"/>
            <w:vAlign w:val="center"/>
          </w:tcPr>
          <w:p w:rsidR="0083272E" w:rsidRDefault="00D85B31">
            <w:pPr>
              <w:jc w:val="center"/>
            </w:pPr>
            <w:r>
              <w:rPr>
                <w:color w:val="000000"/>
                <w:sz w:val="24"/>
                <w:szCs w:val="24"/>
              </w:rPr>
              <w:t>5</w:t>
            </w:r>
          </w:p>
        </w:tc>
        <w:tc>
          <w:tcPr>
            <w:tcW w:w="1475" w:type="dxa"/>
            <w:vAlign w:val="center"/>
          </w:tcPr>
          <w:p w:rsidR="0083272E" w:rsidRDefault="00D85B31">
            <w:pPr>
              <w:jc w:val="center"/>
            </w:pPr>
            <w:r>
              <w:rPr>
                <w:color w:val="000000"/>
                <w:sz w:val="24"/>
                <w:szCs w:val="24"/>
              </w:rPr>
              <w:t>2028008</w:t>
            </w:r>
          </w:p>
        </w:tc>
        <w:tc>
          <w:tcPr>
            <w:tcW w:w="1769" w:type="dxa"/>
            <w:vAlign w:val="center"/>
          </w:tcPr>
          <w:p w:rsidR="0083272E" w:rsidRDefault="00D85B31">
            <w:pPr>
              <w:jc w:val="center"/>
            </w:pPr>
            <w:r>
              <w:rPr>
                <w:color w:val="000000"/>
                <w:sz w:val="24"/>
                <w:szCs w:val="24"/>
              </w:rPr>
              <w:t>20</w:t>
            </w:r>
            <w:r>
              <w:rPr>
                <w:color w:val="000000"/>
                <w:sz w:val="24"/>
                <w:szCs w:val="24"/>
              </w:rPr>
              <w:t>民生银行小微债</w:t>
            </w:r>
            <w:r>
              <w:rPr>
                <w:color w:val="000000"/>
                <w:sz w:val="24"/>
                <w:szCs w:val="24"/>
              </w:rPr>
              <w:t>01</w:t>
            </w:r>
          </w:p>
        </w:tc>
        <w:tc>
          <w:tcPr>
            <w:tcW w:w="1387" w:type="dxa"/>
            <w:vAlign w:val="center"/>
          </w:tcPr>
          <w:p w:rsidR="0083272E" w:rsidRDefault="00D85B31">
            <w:pPr>
              <w:jc w:val="right"/>
            </w:pPr>
            <w:r>
              <w:rPr>
                <w:color w:val="000000"/>
                <w:sz w:val="24"/>
                <w:szCs w:val="24"/>
              </w:rPr>
              <w:t>2,900,000</w:t>
            </w:r>
          </w:p>
        </w:tc>
        <w:tc>
          <w:tcPr>
            <w:tcW w:w="2150" w:type="dxa"/>
            <w:vAlign w:val="center"/>
          </w:tcPr>
          <w:p w:rsidR="0083272E" w:rsidRDefault="00D85B31">
            <w:pPr>
              <w:jc w:val="right"/>
            </w:pPr>
            <w:r>
              <w:rPr>
                <w:color w:val="000000"/>
                <w:sz w:val="24"/>
                <w:szCs w:val="24"/>
              </w:rPr>
              <w:t>287,477,000.00</w:t>
            </w:r>
          </w:p>
        </w:tc>
        <w:tc>
          <w:tcPr>
            <w:tcW w:w="1237" w:type="dxa"/>
            <w:vAlign w:val="center"/>
          </w:tcPr>
          <w:p w:rsidR="0083272E" w:rsidRDefault="00D85B31">
            <w:pPr>
              <w:jc w:val="right"/>
            </w:pPr>
            <w:r>
              <w:rPr>
                <w:color w:val="000000"/>
                <w:sz w:val="24"/>
                <w:szCs w:val="24"/>
              </w:rPr>
              <w:t>9.44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54,107,013.84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189,943.02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54,296,956.86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ED65B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3,006,216,953.54</w:t>
            </w:r>
          </w:p>
        </w:tc>
      </w:tr>
      <w:tr w:rsidR="004061AC" w:rsidRPr="00414345" w:rsidTr="00ED65B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961,032.30</w:t>
            </w:r>
          </w:p>
        </w:tc>
      </w:tr>
      <w:tr w:rsidR="004061AC" w:rsidRPr="00414345" w:rsidTr="00ED65B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588,076.21</w:t>
            </w:r>
          </w:p>
        </w:tc>
      </w:tr>
      <w:tr w:rsidR="004061AC" w:rsidRPr="00414345" w:rsidTr="00ED65B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134"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ED65B2">
        <w:trPr>
          <w:jc w:val="center"/>
        </w:trPr>
        <w:tc>
          <w:tcPr>
            <w:tcW w:w="47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134"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3,006,589,909.63</w:t>
            </w:r>
          </w:p>
        </w:tc>
      </w:tr>
    </w:tbl>
    <w:p w:rsidR="00ED65B2" w:rsidRPr="00ED65B2" w:rsidRDefault="00ED65B2" w:rsidP="00ED65B2">
      <w:pPr>
        <w:autoSpaceDE w:val="0"/>
        <w:autoSpaceDN w:val="0"/>
        <w:adjustRightInd w:val="0"/>
        <w:spacing w:before="29" w:line="288" w:lineRule="auto"/>
        <w:jc w:val="left"/>
        <w:rPr>
          <w:color w:val="000000"/>
          <w:sz w:val="24"/>
          <w:szCs w:val="24"/>
        </w:rPr>
      </w:pPr>
      <w:r w:rsidRPr="00ED65B2">
        <w:rPr>
          <w:rFonts w:hint="eastAsia"/>
          <w:color w:val="000000"/>
          <w:sz w:val="24"/>
          <w:szCs w:val="24"/>
        </w:rPr>
        <w:t>注：</w:t>
      </w:r>
      <w:r w:rsidRPr="00ED65B2">
        <w:rPr>
          <w:rFonts w:hint="eastAsia"/>
          <w:color w:val="000000"/>
          <w:sz w:val="24"/>
          <w:szCs w:val="24"/>
        </w:rPr>
        <w:t>1</w:t>
      </w:r>
      <w:r w:rsidRPr="00ED65B2">
        <w:rPr>
          <w:rFonts w:hint="eastAsia"/>
          <w:color w:val="000000"/>
          <w:sz w:val="24"/>
          <w:szCs w:val="24"/>
        </w:rPr>
        <w:t>、如果本报告期间发生转换入、红利再投业务，则总申购份额中包含该业务；</w:t>
      </w:r>
    </w:p>
    <w:p w:rsidR="00320E90" w:rsidRDefault="00ED65B2" w:rsidP="00ED65B2">
      <w:pPr>
        <w:autoSpaceDE w:val="0"/>
        <w:autoSpaceDN w:val="0"/>
        <w:adjustRightInd w:val="0"/>
        <w:spacing w:before="29" w:line="288" w:lineRule="auto"/>
        <w:jc w:val="left"/>
        <w:rPr>
          <w:color w:val="000000"/>
          <w:sz w:val="24"/>
          <w:szCs w:val="24"/>
        </w:rPr>
      </w:pPr>
      <w:r w:rsidRPr="00ED65B2">
        <w:rPr>
          <w:rFonts w:hint="eastAsia"/>
          <w:color w:val="000000"/>
          <w:sz w:val="24"/>
          <w:szCs w:val="24"/>
        </w:rPr>
        <w:t>2</w:t>
      </w:r>
      <w:r w:rsidRPr="00ED65B2">
        <w:rPr>
          <w:rFonts w:hint="eastAsia"/>
          <w:color w:val="000000"/>
          <w:sz w:val="24"/>
          <w:szCs w:val="24"/>
        </w:rPr>
        <w:t>、如果本报告期间发生转换出业务，则总赎回份额中包含该业务。</w:t>
      </w: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3272E">
        <w:tc>
          <w:tcPr>
            <w:tcW w:w="993" w:type="dxa"/>
            <w:vMerge w:val="restart"/>
          </w:tcPr>
          <w:p w:rsidR="0083272E" w:rsidRDefault="0083272E"/>
          <w:p w:rsidR="0083272E" w:rsidRDefault="00D85B31">
            <w:r>
              <w:rPr>
                <w:rFonts w:ascii="宋体" w:hAnsi="宋体" w:hint="eastAsia"/>
                <w:bCs/>
                <w:color w:val="000000"/>
                <w:kern w:val="0"/>
              </w:rPr>
              <w:t>机构</w:t>
            </w:r>
          </w:p>
        </w:tc>
        <w:tc>
          <w:tcPr>
            <w:tcW w:w="992" w:type="dxa"/>
            <w:vAlign w:val="center"/>
          </w:tcPr>
          <w:p w:rsidR="0083272E" w:rsidRDefault="00D85B31">
            <w:pPr>
              <w:jc w:val="center"/>
            </w:pPr>
            <w:r>
              <w:rPr>
                <w:rFonts w:ascii="宋体" w:hAnsi="宋体"/>
                <w:color w:val="000000"/>
                <w:kern w:val="0"/>
              </w:rPr>
              <w:t>1</w:t>
            </w:r>
          </w:p>
        </w:tc>
        <w:tc>
          <w:tcPr>
            <w:tcW w:w="1843" w:type="dxa"/>
            <w:vAlign w:val="center"/>
          </w:tcPr>
          <w:p w:rsidR="0083272E" w:rsidRDefault="00D85B31">
            <w:pPr>
              <w:jc w:val="center"/>
            </w:pPr>
            <w:r>
              <w:rPr>
                <w:rFonts w:ascii="宋体" w:hAnsi="宋体"/>
                <w:color w:val="000000"/>
                <w:kern w:val="0"/>
              </w:rPr>
              <w:t>2020/10/1-2020/12/31</w:t>
            </w:r>
          </w:p>
        </w:tc>
        <w:tc>
          <w:tcPr>
            <w:tcW w:w="851" w:type="dxa"/>
            <w:vAlign w:val="center"/>
          </w:tcPr>
          <w:p w:rsidR="0083272E" w:rsidRDefault="00D85B31">
            <w:pPr>
              <w:jc w:val="center"/>
            </w:pPr>
            <w:r>
              <w:rPr>
                <w:rFonts w:ascii="宋体" w:hAnsi="宋体"/>
                <w:color w:val="000000"/>
                <w:kern w:val="0"/>
              </w:rPr>
              <w:t>2,998,800,479.81</w:t>
            </w:r>
          </w:p>
        </w:tc>
        <w:tc>
          <w:tcPr>
            <w:tcW w:w="850" w:type="dxa"/>
            <w:vAlign w:val="center"/>
          </w:tcPr>
          <w:p w:rsidR="0083272E" w:rsidRDefault="00D85B31">
            <w:pPr>
              <w:jc w:val="center"/>
            </w:pPr>
            <w:r>
              <w:rPr>
                <w:rFonts w:ascii="宋体" w:hAnsi="宋体"/>
                <w:color w:val="000000"/>
                <w:kern w:val="0"/>
              </w:rPr>
              <w:t>-</w:t>
            </w:r>
          </w:p>
        </w:tc>
        <w:tc>
          <w:tcPr>
            <w:tcW w:w="1134" w:type="dxa"/>
            <w:vAlign w:val="center"/>
          </w:tcPr>
          <w:p w:rsidR="0083272E" w:rsidRDefault="00D85B31">
            <w:pPr>
              <w:jc w:val="center"/>
            </w:pPr>
            <w:r>
              <w:rPr>
                <w:rFonts w:ascii="宋体" w:hAnsi="宋体"/>
                <w:color w:val="000000"/>
                <w:kern w:val="0"/>
              </w:rPr>
              <w:t>-</w:t>
            </w:r>
          </w:p>
        </w:tc>
        <w:tc>
          <w:tcPr>
            <w:tcW w:w="1419" w:type="dxa"/>
            <w:vAlign w:val="center"/>
          </w:tcPr>
          <w:p w:rsidR="0083272E" w:rsidRDefault="00D85B31">
            <w:pPr>
              <w:jc w:val="center"/>
            </w:pPr>
            <w:r>
              <w:rPr>
                <w:rFonts w:ascii="宋体" w:hAnsi="宋体"/>
                <w:color w:val="000000"/>
                <w:kern w:val="0"/>
              </w:rPr>
              <w:t>2,998,800,479.81</w:t>
            </w:r>
          </w:p>
        </w:tc>
        <w:tc>
          <w:tcPr>
            <w:tcW w:w="1130" w:type="dxa"/>
            <w:vAlign w:val="center"/>
          </w:tcPr>
          <w:p w:rsidR="0083272E" w:rsidRDefault="00D85B31">
            <w:pPr>
              <w:jc w:val="center"/>
            </w:pPr>
            <w:r>
              <w:rPr>
                <w:rFonts w:ascii="宋体" w:hAnsi="宋体"/>
                <w:color w:val="000000"/>
                <w:kern w:val="0"/>
              </w:rPr>
              <w:t>99.74%</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3272E" w:rsidRDefault="00D85B3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、中国证监会批准交银施罗德理财</w:t>
      </w:r>
      <w:r>
        <w:rPr>
          <w:color w:val="000000"/>
          <w:sz w:val="24"/>
          <w:szCs w:val="24"/>
        </w:rPr>
        <w:t>21</w:t>
      </w:r>
      <w:r>
        <w:rPr>
          <w:color w:val="000000"/>
          <w:sz w:val="24"/>
          <w:szCs w:val="24"/>
        </w:rPr>
        <w:t>天债券型证券投资基金募集的文件；</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、《交银施罗德中高等级信用债债券型证券投资基金基金合同》；</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、《交银施罗德中高等级信用债债券型证券投资基金招募说明书》；</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、《交银施罗德中高等级信用债债券型证券投资基金托管协议》；</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5</w:t>
      </w:r>
      <w:r>
        <w:rPr>
          <w:color w:val="000000"/>
          <w:sz w:val="24"/>
          <w:szCs w:val="24"/>
        </w:rPr>
        <w:t>、《交银施罗德理财</w:t>
      </w:r>
      <w:r>
        <w:rPr>
          <w:color w:val="000000"/>
          <w:sz w:val="24"/>
          <w:szCs w:val="24"/>
        </w:rPr>
        <w:t>21</w:t>
      </w:r>
      <w:r>
        <w:rPr>
          <w:color w:val="000000"/>
          <w:sz w:val="24"/>
          <w:szCs w:val="24"/>
        </w:rPr>
        <w:t>天债券型证券投资基金基金合同》；</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6</w:t>
      </w:r>
      <w:r>
        <w:rPr>
          <w:color w:val="000000"/>
          <w:sz w:val="24"/>
          <w:szCs w:val="24"/>
        </w:rPr>
        <w:t>、《交银施罗德理财</w:t>
      </w:r>
      <w:r>
        <w:rPr>
          <w:color w:val="000000"/>
          <w:sz w:val="24"/>
          <w:szCs w:val="24"/>
        </w:rPr>
        <w:t>21</w:t>
      </w:r>
      <w:r>
        <w:rPr>
          <w:color w:val="000000"/>
          <w:sz w:val="24"/>
          <w:szCs w:val="24"/>
        </w:rPr>
        <w:t>天债券型证券投资基金招募说明书》；</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7</w:t>
      </w:r>
      <w:r>
        <w:rPr>
          <w:color w:val="000000"/>
          <w:sz w:val="24"/>
          <w:szCs w:val="24"/>
        </w:rPr>
        <w:t>、《交银施罗德理财</w:t>
      </w:r>
      <w:r>
        <w:rPr>
          <w:color w:val="000000"/>
          <w:sz w:val="24"/>
          <w:szCs w:val="24"/>
        </w:rPr>
        <w:t>21</w:t>
      </w:r>
      <w:r>
        <w:rPr>
          <w:color w:val="000000"/>
          <w:sz w:val="24"/>
          <w:szCs w:val="24"/>
        </w:rPr>
        <w:t>天债券型证券投资基金托管协议》；</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8</w:t>
      </w:r>
      <w:r>
        <w:rPr>
          <w:color w:val="000000"/>
          <w:sz w:val="24"/>
          <w:szCs w:val="24"/>
        </w:rPr>
        <w:t>、基金管理人业务资格批件、营业执照；</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9</w:t>
      </w:r>
      <w:r>
        <w:rPr>
          <w:color w:val="000000"/>
          <w:sz w:val="24"/>
          <w:szCs w:val="24"/>
        </w:rPr>
        <w:t>、基金托管人业务资格批件、营业执照；</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10</w:t>
      </w:r>
      <w:r>
        <w:rPr>
          <w:color w:val="000000"/>
          <w:sz w:val="24"/>
          <w:szCs w:val="24"/>
        </w:rPr>
        <w:t>、关于申请募集交银施罗德理财</w:t>
      </w:r>
      <w:r>
        <w:rPr>
          <w:color w:val="000000"/>
          <w:sz w:val="24"/>
          <w:szCs w:val="24"/>
        </w:rPr>
        <w:t>21</w:t>
      </w:r>
      <w:r>
        <w:rPr>
          <w:color w:val="000000"/>
          <w:sz w:val="24"/>
          <w:szCs w:val="24"/>
        </w:rPr>
        <w:t>天债券型证券投资基金之法律意见书；</w:t>
      </w:r>
      <w:r>
        <w:rPr>
          <w:color w:val="000000"/>
          <w:sz w:val="24"/>
          <w:szCs w:val="24"/>
        </w:rPr>
        <w:t xml:space="preserve"> </w:t>
      </w:r>
    </w:p>
    <w:p w:rsidR="0083272E" w:rsidRDefault="00D85B31">
      <w:pPr>
        <w:spacing w:before="29" w:line="288" w:lineRule="auto"/>
        <w:ind w:firstLineChars="200" w:firstLine="480"/>
        <w:rPr>
          <w:color w:val="000000"/>
          <w:sz w:val="24"/>
          <w:szCs w:val="24"/>
        </w:rPr>
      </w:pPr>
      <w:r>
        <w:rPr>
          <w:color w:val="000000"/>
          <w:sz w:val="24"/>
          <w:szCs w:val="24"/>
        </w:rPr>
        <w:t>11</w:t>
      </w:r>
      <w:r>
        <w:rPr>
          <w:color w:val="000000"/>
          <w:sz w:val="24"/>
          <w:szCs w:val="24"/>
        </w:rPr>
        <w:t>、关于修改《交银施罗德理财</w:t>
      </w:r>
      <w:r>
        <w:rPr>
          <w:color w:val="000000"/>
          <w:sz w:val="24"/>
          <w:szCs w:val="24"/>
        </w:rPr>
        <w:t>21</w:t>
      </w:r>
      <w:r>
        <w:rPr>
          <w:color w:val="000000"/>
          <w:sz w:val="24"/>
          <w:szCs w:val="24"/>
        </w:rPr>
        <w:t>天债券型证券投资基金基金合同》的法律意见书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12</w:t>
      </w:r>
      <w:r w:rsidRPr="00414345">
        <w:rPr>
          <w:color w:val="000000"/>
          <w:sz w:val="24"/>
          <w:szCs w:val="24"/>
        </w:rPr>
        <w:t>、报告期内交银施罗德理财</w:t>
      </w:r>
      <w:r w:rsidRPr="00414345">
        <w:rPr>
          <w:color w:val="000000"/>
          <w:sz w:val="24"/>
          <w:szCs w:val="24"/>
        </w:rPr>
        <w:t>21</w:t>
      </w:r>
      <w:r w:rsidRPr="00414345">
        <w:rPr>
          <w:color w:val="000000"/>
          <w:sz w:val="24"/>
          <w:szCs w:val="24"/>
        </w:rPr>
        <w:t>天债券型证券投资基金、交银施罗德中高等级信用债债券型证券投资基金在指定报刊上各项公告的原稿。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3272E" w:rsidRDefault="00D85B3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C64" w:rsidRDefault="00167C64" w:rsidP="00876D65">
      <w:r>
        <w:separator/>
      </w:r>
    </w:p>
  </w:endnote>
  <w:endnote w:type="continuationSeparator" w:id="0">
    <w:p w:rsidR="00167C64" w:rsidRDefault="00167C6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47B84">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47B84">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C64" w:rsidRDefault="00167C64" w:rsidP="00876D65">
      <w:r>
        <w:separator/>
      </w:r>
    </w:p>
  </w:footnote>
  <w:footnote w:type="continuationSeparator" w:id="0">
    <w:p w:rsidR="00167C64" w:rsidRDefault="00167C6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交银施罗德中高等级信用债债券型证券投资基金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67C64"/>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751A3"/>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72E"/>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47B84"/>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5B31"/>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5B2"/>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82C2F-554B-452D-8FE0-41CCC4F71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12</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2021-01-18T09:06:00Z</dcterms:modified>
</cp:coreProperties>
</file>