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交银施罗德中债</w:t>
      </w:r>
      <w:r w:rsidRPr="005858C2">
        <w:rPr>
          <w:rFonts w:eastAsiaTheme="minorEastAsia"/>
          <w:b/>
          <w:sz w:val="36"/>
          <w:szCs w:val="36"/>
        </w:rPr>
        <w:t>1-3</w:t>
      </w:r>
      <w:r w:rsidRPr="005858C2">
        <w:rPr>
          <w:rFonts w:eastAsiaTheme="minorEastAsia"/>
          <w:b/>
          <w:sz w:val="36"/>
          <w:szCs w:val="36"/>
        </w:rPr>
        <w:t>年政策性金融债指数证券投资基金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二〇二一年一月二十一日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4810FF" w:rsidRDefault="0001216E">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4810FF" w:rsidRDefault="0001216E">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2021</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4810FF" w:rsidRDefault="0001216E">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4810FF" w:rsidRDefault="0001216E">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4810FF" w:rsidRDefault="0001216E">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交银中债</w:t>
            </w:r>
            <w:r w:rsidRPr="007F52FA">
              <w:rPr>
                <w:color w:val="000000"/>
                <w:kern w:val="0"/>
                <w:sz w:val="24"/>
              </w:rPr>
              <w:t>1-3</w:t>
            </w:r>
            <w:r w:rsidRPr="007F52FA">
              <w:rPr>
                <w:color w:val="000000"/>
                <w:kern w:val="0"/>
                <w:sz w:val="24"/>
              </w:rPr>
              <w:t>年政金债指数</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009315</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2020</w:t>
            </w:r>
            <w:r w:rsidRPr="007F52FA">
              <w:rPr>
                <w:color w:val="000000"/>
                <w:kern w:val="0"/>
                <w:sz w:val="24"/>
              </w:rPr>
              <w:t>年</w:t>
            </w:r>
            <w:r w:rsidRPr="007F52FA">
              <w:rPr>
                <w:color w:val="000000"/>
                <w:kern w:val="0"/>
                <w:sz w:val="24"/>
              </w:rPr>
              <w:t>8</w:t>
            </w:r>
            <w:r w:rsidRPr="007F52FA">
              <w:rPr>
                <w:color w:val="000000"/>
                <w:kern w:val="0"/>
                <w:sz w:val="24"/>
              </w:rPr>
              <w:t>月</w:t>
            </w:r>
            <w:r w:rsidRPr="007F52FA">
              <w:rPr>
                <w:color w:val="000000"/>
                <w:kern w:val="0"/>
                <w:sz w:val="24"/>
              </w:rPr>
              <w:t>20</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5,933,038,430.25</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本基金通过指数化投资，争取在扣除各项费用之前获得与标的指数相似的总回报，追求跟踪偏离度及跟踪误差的最小化。</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为指数基金，主要采用抽样复制和动态最优化的方法，投资于标的指数中具有代表性和流动性的成份券和备选成份券，或选择非成份券作为替代，构造与标的指数风险收益特征相似的资产组合，以实现对标的指数的有效跟踪。</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w:t>
            </w:r>
            <w:r w:rsidRPr="007F52FA">
              <w:rPr>
                <w:color w:val="000000"/>
                <w:kern w:val="0"/>
                <w:sz w:val="24"/>
              </w:rPr>
              <w:t>-1-3</w:t>
            </w:r>
            <w:r w:rsidRPr="007F52FA">
              <w:rPr>
                <w:color w:val="000000"/>
                <w:kern w:val="0"/>
                <w:sz w:val="24"/>
              </w:rPr>
              <w:t>年政策性金融债指数收益率</w:t>
            </w:r>
            <w:r w:rsidRPr="007F52FA">
              <w:rPr>
                <w:color w:val="000000"/>
                <w:kern w:val="0"/>
                <w:sz w:val="24"/>
              </w:rPr>
              <w:t>*95%+</w:t>
            </w:r>
            <w:r w:rsidRPr="007F52FA">
              <w:rPr>
                <w:color w:val="000000"/>
                <w:kern w:val="0"/>
                <w:sz w:val="24"/>
              </w:rPr>
              <w:t>银行活期存款利率（税后）</w:t>
            </w:r>
            <w:r w:rsidRPr="007F52FA">
              <w:rPr>
                <w:color w:val="000000"/>
                <w:kern w:val="0"/>
                <w:sz w:val="24"/>
              </w:rPr>
              <w:t xml:space="preserve">*5% </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本基金是一只债券型基金，其预期风险与预期收益高于货币市场基金，低于混合型基金和股票型基金。本基金为指数型基金，主要采用抽样复制和动态最优化的方法</w:t>
            </w:r>
            <w:r w:rsidRPr="007F52FA">
              <w:rPr>
                <w:color w:val="000000"/>
                <w:kern w:val="0"/>
                <w:sz w:val="24"/>
              </w:rPr>
              <w:lastRenderedPageBreak/>
              <w:t>跟踪标的指数的表现，具有与标的指数、以及标的指数所代表的债券市场相似的风险收益特征。</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交银中债</w:t>
            </w:r>
            <w:r w:rsidRPr="007F52FA">
              <w:rPr>
                <w:sz w:val="24"/>
              </w:rPr>
              <w:t>1-3</w:t>
            </w:r>
            <w:r w:rsidRPr="007F52FA">
              <w:rPr>
                <w:sz w:val="24"/>
              </w:rPr>
              <w:t>年政金债指数</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交银中债</w:t>
            </w:r>
            <w:r w:rsidRPr="007F52FA">
              <w:rPr>
                <w:sz w:val="24"/>
              </w:rPr>
              <w:t>1-3</w:t>
            </w:r>
            <w:r w:rsidRPr="007F52FA">
              <w:rPr>
                <w:sz w:val="24"/>
              </w:rPr>
              <w:t>年政金债指数</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009315</w:t>
            </w:r>
          </w:p>
        </w:tc>
        <w:tc>
          <w:tcPr>
            <w:tcW w:w="3048" w:type="dxa"/>
            <w:vAlign w:val="center"/>
          </w:tcPr>
          <w:p w:rsidR="00C23B30" w:rsidRPr="000E4C40" w:rsidRDefault="00C23B30" w:rsidP="00A52A9E">
            <w:pPr>
              <w:spacing w:before="29" w:line="288" w:lineRule="auto"/>
              <w:jc w:val="left"/>
              <w:rPr>
                <w:sz w:val="24"/>
              </w:rPr>
            </w:pPr>
            <w:r w:rsidRPr="000E4C40">
              <w:rPr>
                <w:sz w:val="24"/>
              </w:rPr>
              <w:t>009316</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5,933,038,430.25</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8A6A04">
        <w:trPr>
          <w:jc w:val="center"/>
        </w:trPr>
        <w:tc>
          <w:tcPr>
            <w:tcW w:w="3606"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52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8A6A04">
        <w:trPr>
          <w:jc w:val="center"/>
        </w:trPr>
        <w:tc>
          <w:tcPr>
            <w:tcW w:w="3606" w:type="dxa"/>
            <w:vMerge/>
            <w:vAlign w:val="center"/>
          </w:tcPr>
          <w:p w:rsidR="009E549D" w:rsidRPr="007F52FA" w:rsidRDefault="009E549D" w:rsidP="007C14DF">
            <w:pPr>
              <w:adjustRightInd w:val="0"/>
              <w:spacing w:before="29" w:line="288" w:lineRule="auto"/>
              <w:ind w:left="17"/>
              <w:jc w:val="center"/>
              <w:rPr>
                <w:kern w:val="0"/>
                <w:sz w:val="24"/>
              </w:rPr>
            </w:pPr>
          </w:p>
        </w:tc>
        <w:tc>
          <w:tcPr>
            <w:tcW w:w="263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交银中债</w:t>
            </w:r>
            <w:r w:rsidRPr="007F52FA">
              <w:rPr>
                <w:sz w:val="24"/>
              </w:rPr>
              <w:t>1-3</w:t>
            </w:r>
            <w:r w:rsidRPr="007F52FA">
              <w:rPr>
                <w:sz w:val="24"/>
              </w:rPr>
              <w:t>年政金债指数</w:t>
            </w:r>
            <w:r w:rsidRPr="007F52FA">
              <w:rPr>
                <w:sz w:val="24"/>
              </w:rPr>
              <w:t>A</w:t>
            </w:r>
          </w:p>
        </w:tc>
        <w:tc>
          <w:tcPr>
            <w:tcW w:w="263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交银中债</w:t>
            </w:r>
            <w:r w:rsidRPr="007F52FA">
              <w:rPr>
                <w:sz w:val="24"/>
              </w:rPr>
              <w:t>1-3</w:t>
            </w:r>
            <w:r w:rsidRPr="007F52FA">
              <w:rPr>
                <w:sz w:val="24"/>
              </w:rPr>
              <w:t>年政金债指数</w:t>
            </w:r>
            <w:r w:rsidRPr="007F52FA">
              <w:rPr>
                <w:sz w:val="24"/>
              </w:rPr>
              <w:t>C</w:t>
            </w:r>
          </w:p>
        </w:tc>
      </w:tr>
      <w:tr w:rsidR="005F293E" w:rsidRPr="007F52FA" w:rsidTr="008A6A04">
        <w:trPr>
          <w:jc w:val="center"/>
        </w:trPr>
        <w:tc>
          <w:tcPr>
            <w:tcW w:w="3606"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63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36,030,697.22</w:t>
            </w:r>
          </w:p>
        </w:tc>
        <w:tc>
          <w:tcPr>
            <w:tcW w:w="263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8A6A04">
        <w:trPr>
          <w:jc w:val="center"/>
        </w:trPr>
        <w:tc>
          <w:tcPr>
            <w:tcW w:w="3606"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63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56,802,297.22</w:t>
            </w:r>
          </w:p>
        </w:tc>
        <w:tc>
          <w:tcPr>
            <w:tcW w:w="263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8A6A04">
        <w:trPr>
          <w:jc w:val="center"/>
        </w:trPr>
        <w:tc>
          <w:tcPr>
            <w:tcW w:w="3606"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63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0.0116</w:t>
            </w:r>
          </w:p>
        </w:tc>
        <w:tc>
          <w:tcPr>
            <w:tcW w:w="263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8A6A04">
        <w:trPr>
          <w:jc w:val="center"/>
        </w:trPr>
        <w:tc>
          <w:tcPr>
            <w:tcW w:w="3606"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63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6,012,876,610.83</w:t>
            </w:r>
          </w:p>
        </w:tc>
        <w:tc>
          <w:tcPr>
            <w:tcW w:w="263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8A6A04">
        <w:trPr>
          <w:trHeight w:val="158"/>
          <w:jc w:val="center"/>
        </w:trPr>
        <w:tc>
          <w:tcPr>
            <w:tcW w:w="3606"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63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1.0135</w:t>
            </w:r>
          </w:p>
        </w:tc>
        <w:tc>
          <w:tcPr>
            <w:tcW w:w="263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1.0000</w:t>
            </w:r>
          </w:p>
        </w:tc>
      </w:tr>
    </w:tbl>
    <w:p w:rsidR="008A6A04" w:rsidRDefault="008A6A04" w:rsidP="008A6A04">
      <w:pPr>
        <w:autoSpaceDE w:val="0"/>
        <w:autoSpaceDN w:val="0"/>
        <w:adjustRightInd w:val="0"/>
        <w:spacing w:before="29" w:line="288" w:lineRule="auto"/>
        <w:jc w:val="left"/>
        <w:rPr>
          <w:rFonts w:eastAsiaTheme="minorEastAsia"/>
          <w:color w:val="000000"/>
          <w:sz w:val="24"/>
        </w:rPr>
      </w:pPr>
      <w:r>
        <w:rPr>
          <w:rFonts w:eastAsiaTheme="minorEastAsia" w:hint="eastAsia"/>
          <w:color w:val="000000"/>
          <w:sz w:val="24"/>
        </w:rPr>
        <w:t>注：</w:t>
      </w:r>
      <w:r>
        <w:rPr>
          <w:rFonts w:eastAsiaTheme="minorEastAsia"/>
          <w:color w:val="000000"/>
          <w:sz w:val="24"/>
        </w:rPr>
        <w:t>1</w:t>
      </w:r>
      <w:r>
        <w:rPr>
          <w:rFonts w:eastAsiaTheme="minorEastAsia" w:hint="eastAsia"/>
          <w:color w:val="000000"/>
          <w:sz w:val="24"/>
        </w:rPr>
        <w:t>、上述基金业绩指标不包括持有人认购或交易基金的各项费用，计入费用后的实际收益水平要低于所列数字；</w:t>
      </w:r>
    </w:p>
    <w:p w:rsidR="008A6A04" w:rsidRDefault="008A6A04" w:rsidP="008A6A0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hint="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Default="008A6A04" w:rsidP="008A6A04">
      <w:pPr>
        <w:autoSpaceDE w:val="0"/>
        <w:autoSpaceDN w:val="0"/>
        <w:adjustRightInd w:val="0"/>
        <w:spacing w:before="29" w:line="288" w:lineRule="auto"/>
        <w:ind w:firstLine="480"/>
        <w:jc w:val="left"/>
        <w:rPr>
          <w:rFonts w:eastAsiaTheme="minorEastAsia"/>
          <w:color w:val="000000"/>
          <w:sz w:val="24"/>
        </w:rPr>
      </w:pPr>
      <w:r>
        <w:rPr>
          <w:rFonts w:eastAsiaTheme="minorEastAsia"/>
          <w:color w:val="000000"/>
          <w:sz w:val="24"/>
        </w:rPr>
        <w:t>3</w:t>
      </w:r>
      <w:r>
        <w:rPr>
          <w:rFonts w:eastAsiaTheme="minorEastAsia" w:hint="eastAsia"/>
          <w:color w:val="000000"/>
          <w:sz w:val="24"/>
        </w:rPr>
        <w:t>、本基金</w:t>
      </w:r>
      <w:r>
        <w:rPr>
          <w:rFonts w:eastAsiaTheme="minorEastAsia"/>
          <w:color w:val="000000"/>
          <w:sz w:val="24"/>
        </w:rPr>
        <w:t>C</w:t>
      </w:r>
      <w:r>
        <w:rPr>
          <w:rFonts w:eastAsiaTheme="minorEastAsia" w:hint="eastAsia"/>
          <w:color w:val="000000"/>
          <w:sz w:val="24"/>
        </w:rPr>
        <w:t>类份额为</w:t>
      </w:r>
      <w:r>
        <w:rPr>
          <w:rFonts w:eastAsiaTheme="minorEastAsia"/>
          <w:color w:val="000000"/>
          <w:sz w:val="24"/>
        </w:rPr>
        <w:t>0</w:t>
      </w:r>
      <w:r>
        <w:rPr>
          <w:rFonts w:eastAsiaTheme="minorEastAsia" w:hint="eastAsia"/>
          <w:color w:val="000000"/>
          <w:sz w:val="24"/>
        </w:rPr>
        <w:t>。</w:t>
      </w:r>
    </w:p>
    <w:p w:rsidR="008A6A04" w:rsidRPr="007F52FA" w:rsidRDefault="008A6A04" w:rsidP="008A6A04">
      <w:pPr>
        <w:autoSpaceDE w:val="0"/>
        <w:autoSpaceDN w:val="0"/>
        <w:adjustRightInd w:val="0"/>
        <w:spacing w:before="29" w:line="288" w:lineRule="auto"/>
        <w:ind w:firstLine="480"/>
        <w:jc w:val="left"/>
        <w:rPr>
          <w:rFonts w:eastAsiaTheme="minorEastAsia" w:hint="eastAsia"/>
          <w:color w:val="000000"/>
          <w:kern w:val="0"/>
          <w:sz w:val="24"/>
        </w:rPr>
      </w:pPr>
      <w:bookmarkStart w:id="0" w:name="_GoBack"/>
      <w:bookmarkEnd w:id="0"/>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交银中债</w:t>
      </w:r>
      <w:r w:rsidR="00A5643A" w:rsidRPr="007F52FA">
        <w:rPr>
          <w:b/>
          <w:color w:val="000000"/>
          <w:kern w:val="0"/>
          <w:sz w:val="24"/>
        </w:rPr>
        <w:t>1-3</w:t>
      </w:r>
      <w:r w:rsidR="00A5643A" w:rsidRPr="007F52FA">
        <w:rPr>
          <w:b/>
          <w:color w:val="000000"/>
          <w:kern w:val="0"/>
          <w:sz w:val="24"/>
        </w:rPr>
        <w:t>年政金债指数</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254994">
        <w:trPr>
          <w:jc w:val="center"/>
        </w:trPr>
        <w:tc>
          <w:tcPr>
            <w:tcW w:w="1266"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254994">
        <w:trPr>
          <w:jc w:val="center"/>
        </w:trPr>
        <w:tc>
          <w:tcPr>
            <w:tcW w:w="1266" w:type="dxa"/>
            <w:vAlign w:val="center"/>
          </w:tcPr>
          <w:p w:rsidR="00254994" w:rsidRDefault="00254994" w:rsidP="00254994">
            <w:pPr>
              <w:jc w:val="left"/>
            </w:pPr>
            <w:r>
              <w:rPr>
                <w:color w:val="000000"/>
                <w:sz w:val="24"/>
              </w:rPr>
              <w:t>过去三个月</w:t>
            </w:r>
          </w:p>
        </w:tc>
        <w:tc>
          <w:tcPr>
            <w:tcW w:w="1267" w:type="dxa"/>
            <w:vAlign w:val="center"/>
          </w:tcPr>
          <w:p w:rsidR="00254994" w:rsidRDefault="00254994" w:rsidP="00254994">
            <w:pPr>
              <w:jc w:val="center"/>
            </w:pPr>
            <w:r>
              <w:rPr>
                <w:color w:val="000000"/>
                <w:sz w:val="24"/>
              </w:rPr>
              <w:t>1.10%</w:t>
            </w:r>
          </w:p>
        </w:tc>
        <w:tc>
          <w:tcPr>
            <w:tcW w:w="1267" w:type="dxa"/>
            <w:vAlign w:val="center"/>
          </w:tcPr>
          <w:p w:rsidR="00254994" w:rsidRDefault="00254994" w:rsidP="00254994">
            <w:pPr>
              <w:jc w:val="center"/>
            </w:pPr>
            <w:r>
              <w:rPr>
                <w:color w:val="000000"/>
                <w:sz w:val="24"/>
              </w:rPr>
              <w:t>0.03%</w:t>
            </w:r>
          </w:p>
        </w:tc>
        <w:tc>
          <w:tcPr>
            <w:tcW w:w="1267" w:type="dxa"/>
            <w:vAlign w:val="center"/>
          </w:tcPr>
          <w:p w:rsidR="00254994" w:rsidRDefault="00254994" w:rsidP="00254994">
            <w:pPr>
              <w:jc w:val="center"/>
            </w:pPr>
            <w:r>
              <w:rPr>
                <w:color w:val="000000"/>
                <w:sz w:val="24"/>
              </w:rPr>
              <w:t>1.17%</w:t>
            </w:r>
          </w:p>
        </w:tc>
        <w:tc>
          <w:tcPr>
            <w:tcW w:w="1267" w:type="dxa"/>
            <w:vAlign w:val="center"/>
          </w:tcPr>
          <w:p w:rsidR="00254994" w:rsidRDefault="00254994" w:rsidP="00254994">
            <w:pPr>
              <w:jc w:val="center"/>
            </w:pPr>
            <w:r>
              <w:rPr>
                <w:color w:val="000000"/>
                <w:sz w:val="24"/>
              </w:rPr>
              <w:t>0.03%</w:t>
            </w:r>
          </w:p>
        </w:tc>
        <w:tc>
          <w:tcPr>
            <w:tcW w:w="1267" w:type="dxa"/>
            <w:vAlign w:val="center"/>
          </w:tcPr>
          <w:p w:rsidR="00254994" w:rsidRDefault="00254994" w:rsidP="00254994">
            <w:pPr>
              <w:jc w:val="center"/>
            </w:pPr>
            <w:r>
              <w:rPr>
                <w:color w:val="000000"/>
                <w:sz w:val="24"/>
              </w:rPr>
              <w:t>-0.07%</w:t>
            </w:r>
          </w:p>
        </w:tc>
        <w:tc>
          <w:tcPr>
            <w:tcW w:w="1267" w:type="dxa"/>
            <w:vAlign w:val="center"/>
          </w:tcPr>
          <w:p w:rsidR="00254994" w:rsidRDefault="00254994" w:rsidP="00254994">
            <w:pPr>
              <w:jc w:val="center"/>
            </w:pPr>
            <w:r>
              <w:rPr>
                <w:color w:val="000000"/>
                <w:sz w:val="24"/>
              </w:rPr>
              <w:t>0.00%</w:t>
            </w:r>
          </w:p>
        </w:tc>
      </w:tr>
      <w:tr w:rsidR="00254994">
        <w:trPr>
          <w:jc w:val="center"/>
        </w:trPr>
        <w:tc>
          <w:tcPr>
            <w:tcW w:w="1266" w:type="dxa"/>
            <w:vAlign w:val="center"/>
          </w:tcPr>
          <w:p w:rsidR="00254994" w:rsidRDefault="00254994" w:rsidP="00254994">
            <w:pPr>
              <w:jc w:val="left"/>
            </w:pPr>
            <w:r>
              <w:rPr>
                <w:color w:val="000000"/>
                <w:sz w:val="24"/>
              </w:rPr>
              <w:t>自基金合同生效至今</w:t>
            </w:r>
          </w:p>
        </w:tc>
        <w:tc>
          <w:tcPr>
            <w:tcW w:w="1267" w:type="dxa"/>
            <w:vAlign w:val="center"/>
          </w:tcPr>
          <w:p w:rsidR="00254994" w:rsidRDefault="00254994" w:rsidP="00254994">
            <w:pPr>
              <w:jc w:val="center"/>
            </w:pPr>
            <w:r>
              <w:rPr>
                <w:color w:val="000000"/>
                <w:sz w:val="24"/>
              </w:rPr>
              <w:t>1.35%</w:t>
            </w:r>
          </w:p>
        </w:tc>
        <w:tc>
          <w:tcPr>
            <w:tcW w:w="1267" w:type="dxa"/>
            <w:vAlign w:val="center"/>
          </w:tcPr>
          <w:p w:rsidR="00254994" w:rsidRDefault="00254994" w:rsidP="00254994">
            <w:pPr>
              <w:jc w:val="center"/>
            </w:pPr>
            <w:r>
              <w:rPr>
                <w:color w:val="000000"/>
                <w:sz w:val="24"/>
              </w:rPr>
              <w:t>0.02%</w:t>
            </w:r>
          </w:p>
        </w:tc>
        <w:tc>
          <w:tcPr>
            <w:tcW w:w="1267" w:type="dxa"/>
            <w:vAlign w:val="center"/>
          </w:tcPr>
          <w:p w:rsidR="00254994" w:rsidRDefault="00254994" w:rsidP="00254994">
            <w:pPr>
              <w:jc w:val="center"/>
            </w:pPr>
            <w:r>
              <w:rPr>
                <w:color w:val="000000"/>
                <w:sz w:val="24"/>
              </w:rPr>
              <w:t>1.24%</w:t>
            </w:r>
          </w:p>
        </w:tc>
        <w:tc>
          <w:tcPr>
            <w:tcW w:w="1267" w:type="dxa"/>
            <w:vAlign w:val="center"/>
          </w:tcPr>
          <w:p w:rsidR="00254994" w:rsidRDefault="00254994" w:rsidP="00254994">
            <w:pPr>
              <w:jc w:val="center"/>
            </w:pPr>
            <w:r>
              <w:rPr>
                <w:color w:val="000000"/>
                <w:sz w:val="24"/>
              </w:rPr>
              <w:t>0.03%</w:t>
            </w:r>
          </w:p>
        </w:tc>
        <w:tc>
          <w:tcPr>
            <w:tcW w:w="1267" w:type="dxa"/>
            <w:vAlign w:val="center"/>
          </w:tcPr>
          <w:p w:rsidR="00254994" w:rsidRDefault="00254994" w:rsidP="00254994">
            <w:pPr>
              <w:jc w:val="center"/>
            </w:pPr>
            <w:r>
              <w:rPr>
                <w:color w:val="000000"/>
                <w:sz w:val="24"/>
              </w:rPr>
              <w:t>0.11%</w:t>
            </w:r>
          </w:p>
        </w:tc>
        <w:tc>
          <w:tcPr>
            <w:tcW w:w="1267" w:type="dxa"/>
            <w:vAlign w:val="center"/>
          </w:tcPr>
          <w:p w:rsidR="00254994" w:rsidRDefault="00254994" w:rsidP="00254994">
            <w:pPr>
              <w:jc w:val="center"/>
            </w:pPr>
            <w:r>
              <w:rPr>
                <w:color w:val="000000"/>
                <w:sz w:val="24"/>
              </w:rPr>
              <w:t>-0.01%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交银中债</w:t>
      </w:r>
      <w:r w:rsidR="00FE7FBD" w:rsidRPr="007F52FA">
        <w:rPr>
          <w:b/>
          <w:color w:val="000000"/>
          <w:kern w:val="0"/>
          <w:sz w:val="24"/>
        </w:rPr>
        <w:t>1-3</w:t>
      </w:r>
      <w:r w:rsidR="00FE7FBD" w:rsidRPr="007F52FA">
        <w:rPr>
          <w:b/>
          <w:color w:val="000000"/>
          <w:kern w:val="0"/>
          <w:sz w:val="24"/>
        </w:rPr>
        <w:t>年政金债指数</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810FF">
        <w:trPr>
          <w:jc w:val="center"/>
        </w:trPr>
        <w:tc>
          <w:tcPr>
            <w:tcW w:w="1266" w:type="dxa"/>
            <w:vAlign w:val="center"/>
          </w:tcPr>
          <w:p w:rsidR="004810FF" w:rsidRDefault="0001216E">
            <w:pPr>
              <w:jc w:val="left"/>
            </w:pPr>
            <w:r>
              <w:rPr>
                <w:color w:val="000000"/>
                <w:sz w:val="24"/>
              </w:rPr>
              <w:t>过去三个月</w:t>
            </w:r>
          </w:p>
        </w:tc>
        <w:tc>
          <w:tcPr>
            <w:tcW w:w="1267" w:type="dxa"/>
            <w:vAlign w:val="center"/>
          </w:tcPr>
          <w:p w:rsidR="004810FF" w:rsidRDefault="0001216E">
            <w:pPr>
              <w:jc w:val="center"/>
            </w:pPr>
            <w:r>
              <w:rPr>
                <w:color w:val="000000"/>
                <w:sz w:val="24"/>
              </w:rPr>
              <w:t>-</w:t>
            </w:r>
          </w:p>
        </w:tc>
        <w:tc>
          <w:tcPr>
            <w:tcW w:w="1267" w:type="dxa"/>
            <w:vAlign w:val="center"/>
          </w:tcPr>
          <w:p w:rsidR="004810FF" w:rsidRDefault="0001216E">
            <w:pPr>
              <w:jc w:val="center"/>
            </w:pPr>
            <w:r>
              <w:rPr>
                <w:color w:val="000000"/>
                <w:sz w:val="24"/>
              </w:rPr>
              <w:t>-</w:t>
            </w:r>
          </w:p>
        </w:tc>
        <w:tc>
          <w:tcPr>
            <w:tcW w:w="1267" w:type="dxa"/>
            <w:vAlign w:val="center"/>
          </w:tcPr>
          <w:p w:rsidR="004810FF" w:rsidRDefault="0001216E">
            <w:pPr>
              <w:jc w:val="center"/>
            </w:pPr>
            <w:r>
              <w:rPr>
                <w:color w:val="000000"/>
                <w:sz w:val="24"/>
              </w:rPr>
              <w:t>-</w:t>
            </w:r>
          </w:p>
        </w:tc>
        <w:tc>
          <w:tcPr>
            <w:tcW w:w="1267" w:type="dxa"/>
            <w:vAlign w:val="center"/>
          </w:tcPr>
          <w:p w:rsidR="004810FF" w:rsidRDefault="0001216E">
            <w:pPr>
              <w:jc w:val="center"/>
            </w:pPr>
            <w:r>
              <w:rPr>
                <w:color w:val="000000"/>
                <w:sz w:val="24"/>
              </w:rPr>
              <w:t>-</w:t>
            </w:r>
          </w:p>
        </w:tc>
        <w:tc>
          <w:tcPr>
            <w:tcW w:w="1267" w:type="dxa"/>
            <w:vAlign w:val="center"/>
          </w:tcPr>
          <w:p w:rsidR="004810FF" w:rsidRDefault="0001216E">
            <w:pPr>
              <w:jc w:val="center"/>
            </w:pPr>
            <w:r>
              <w:rPr>
                <w:color w:val="000000"/>
                <w:sz w:val="24"/>
              </w:rPr>
              <w:t>-</w:t>
            </w:r>
          </w:p>
        </w:tc>
        <w:tc>
          <w:tcPr>
            <w:tcW w:w="1267" w:type="dxa"/>
            <w:vAlign w:val="center"/>
          </w:tcPr>
          <w:p w:rsidR="004810FF" w:rsidRDefault="0001216E">
            <w:pPr>
              <w:jc w:val="center"/>
            </w:pPr>
            <w:r>
              <w:rPr>
                <w:color w:val="000000"/>
                <w:sz w:val="24"/>
              </w:rPr>
              <w:t>-</w:t>
            </w:r>
          </w:p>
        </w:tc>
      </w:tr>
      <w:tr w:rsidR="004810FF">
        <w:trPr>
          <w:jc w:val="center"/>
        </w:trPr>
        <w:tc>
          <w:tcPr>
            <w:tcW w:w="1266" w:type="dxa"/>
            <w:vAlign w:val="center"/>
          </w:tcPr>
          <w:p w:rsidR="004810FF" w:rsidRDefault="0001216E">
            <w:pPr>
              <w:jc w:val="left"/>
            </w:pPr>
            <w:r>
              <w:rPr>
                <w:color w:val="000000"/>
                <w:sz w:val="24"/>
              </w:rPr>
              <w:t>自基金合同生效至今</w:t>
            </w:r>
          </w:p>
        </w:tc>
        <w:tc>
          <w:tcPr>
            <w:tcW w:w="1267" w:type="dxa"/>
            <w:vAlign w:val="center"/>
          </w:tcPr>
          <w:p w:rsidR="004810FF" w:rsidRDefault="0001216E">
            <w:pPr>
              <w:jc w:val="center"/>
            </w:pPr>
            <w:r>
              <w:rPr>
                <w:color w:val="000000"/>
                <w:sz w:val="24"/>
              </w:rPr>
              <w:t>-</w:t>
            </w:r>
          </w:p>
        </w:tc>
        <w:tc>
          <w:tcPr>
            <w:tcW w:w="1267" w:type="dxa"/>
            <w:vAlign w:val="center"/>
          </w:tcPr>
          <w:p w:rsidR="004810FF" w:rsidRDefault="0001216E">
            <w:pPr>
              <w:jc w:val="center"/>
            </w:pPr>
            <w:r>
              <w:rPr>
                <w:color w:val="000000"/>
                <w:sz w:val="24"/>
              </w:rPr>
              <w:t>-</w:t>
            </w:r>
          </w:p>
        </w:tc>
        <w:tc>
          <w:tcPr>
            <w:tcW w:w="1267" w:type="dxa"/>
            <w:vAlign w:val="center"/>
          </w:tcPr>
          <w:p w:rsidR="004810FF" w:rsidRDefault="0001216E">
            <w:pPr>
              <w:jc w:val="center"/>
            </w:pPr>
            <w:r>
              <w:rPr>
                <w:color w:val="000000"/>
                <w:sz w:val="24"/>
              </w:rPr>
              <w:t>-</w:t>
            </w:r>
          </w:p>
        </w:tc>
        <w:tc>
          <w:tcPr>
            <w:tcW w:w="1267" w:type="dxa"/>
            <w:vAlign w:val="center"/>
          </w:tcPr>
          <w:p w:rsidR="004810FF" w:rsidRDefault="0001216E">
            <w:pPr>
              <w:jc w:val="center"/>
            </w:pPr>
            <w:r>
              <w:rPr>
                <w:color w:val="000000"/>
                <w:sz w:val="24"/>
              </w:rPr>
              <w:t>-</w:t>
            </w:r>
          </w:p>
        </w:tc>
        <w:tc>
          <w:tcPr>
            <w:tcW w:w="1267" w:type="dxa"/>
            <w:vAlign w:val="center"/>
          </w:tcPr>
          <w:p w:rsidR="004810FF" w:rsidRDefault="0001216E">
            <w:pPr>
              <w:jc w:val="center"/>
            </w:pPr>
            <w:r>
              <w:rPr>
                <w:color w:val="000000"/>
                <w:sz w:val="24"/>
              </w:rPr>
              <w:t>-</w:t>
            </w:r>
          </w:p>
        </w:tc>
        <w:tc>
          <w:tcPr>
            <w:tcW w:w="1267" w:type="dxa"/>
            <w:vAlign w:val="center"/>
          </w:tcPr>
          <w:p w:rsidR="004810FF" w:rsidRDefault="0001216E">
            <w:pPr>
              <w:jc w:val="center"/>
            </w:pPr>
            <w:r>
              <w:rPr>
                <w:color w:val="000000"/>
                <w:sz w:val="24"/>
              </w:rPr>
              <w:t>-</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交银施罗德中债</w:t>
      </w:r>
      <w:r w:rsidRPr="007F52FA">
        <w:rPr>
          <w:color w:val="000000"/>
          <w:sz w:val="24"/>
        </w:rPr>
        <w:t>1-3</w:t>
      </w:r>
      <w:r w:rsidRPr="007F52FA">
        <w:rPr>
          <w:color w:val="000000"/>
          <w:sz w:val="24"/>
        </w:rPr>
        <w:t>年政策性金融债指数证券投资基金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2020</w:t>
      </w:r>
      <w:r w:rsidR="00D04410" w:rsidRPr="007F52FA">
        <w:rPr>
          <w:rFonts w:ascii="Times New Roman" w:hAnsi="Times New Roman"/>
          <w:sz w:val="24"/>
          <w:szCs w:val="24"/>
        </w:rPr>
        <w:t>年</w:t>
      </w:r>
      <w:r w:rsidR="00D04410" w:rsidRPr="007F52FA">
        <w:rPr>
          <w:rFonts w:ascii="Times New Roman" w:hAnsi="Times New Roman"/>
          <w:sz w:val="24"/>
          <w:szCs w:val="24"/>
        </w:rPr>
        <w:t>8</w:t>
      </w:r>
      <w:r w:rsidR="00D04410" w:rsidRPr="007F52FA">
        <w:rPr>
          <w:rFonts w:ascii="Times New Roman" w:hAnsi="Times New Roman"/>
          <w:sz w:val="24"/>
          <w:szCs w:val="24"/>
        </w:rPr>
        <w:t>月</w:t>
      </w:r>
      <w:r w:rsidR="00D04410" w:rsidRPr="007F52FA">
        <w:rPr>
          <w:rFonts w:ascii="Times New Roman" w:hAnsi="Times New Roman"/>
          <w:sz w:val="24"/>
          <w:szCs w:val="24"/>
        </w:rPr>
        <w:t>20</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交银中债</w:t>
      </w:r>
      <w:r w:rsidR="0042785F" w:rsidRPr="007F52FA">
        <w:rPr>
          <w:color w:val="000000"/>
          <w:sz w:val="24"/>
        </w:rPr>
        <w:t>1-3</w:t>
      </w:r>
      <w:r w:rsidR="0042785F" w:rsidRPr="007F52FA">
        <w:rPr>
          <w:color w:val="000000"/>
          <w:sz w:val="24"/>
        </w:rPr>
        <w:t>年政金债指数</w:t>
      </w:r>
      <w:r w:rsidR="0042785F" w:rsidRPr="007F52FA">
        <w:rPr>
          <w:color w:val="000000"/>
          <w:sz w:val="24"/>
        </w:rPr>
        <w:t>A</w:t>
      </w:r>
    </w:p>
    <w:p w:rsidR="00807B81" w:rsidRPr="007F52FA" w:rsidRDefault="00254994"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14:anchorId="77359E7C" wp14:editId="5F0DF28E">
            <wp:extent cx="5731510" cy="3356610"/>
            <wp:effectExtent l="0" t="0" r="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2020</w:t>
      </w:r>
      <w:r w:rsidRPr="007F52FA">
        <w:rPr>
          <w:color w:val="000000"/>
          <w:sz w:val="24"/>
        </w:rPr>
        <w:t>年</w:t>
      </w:r>
      <w:r w:rsidRPr="007F52FA">
        <w:rPr>
          <w:color w:val="000000"/>
          <w:sz w:val="24"/>
        </w:rPr>
        <w:t>8</w:t>
      </w:r>
      <w:r w:rsidRPr="007F52FA">
        <w:rPr>
          <w:color w:val="000000"/>
          <w:sz w:val="24"/>
        </w:rPr>
        <w:t>月</w:t>
      </w:r>
      <w:r w:rsidRPr="007F52FA">
        <w:rPr>
          <w:color w:val="000000"/>
          <w:sz w:val="24"/>
        </w:rPr>
        <w:t>20</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2020</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日，本基金尚处于建仓期。</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交银中债</w:t>
      </w:r>
      <w:r w:rsidR="00FE7FBD" w:rsidRPr="007F52FA">
        <w:rPr>
          <w:color w:val="000000"/>
          <w:sz w:val="24"/>
        </w:rPr>
        <w:t>1-3</w:t>
      </w:r>
      <w:r w:rsidR="00FE7FBD" w:rsidRPr="007F52FA">
        <w:rPr>
          <w:color w:val="000000"/>
          <w:sz w:val="24"/>
        </w:rPr>
        <w:t>年政金债指数</w:t>
      </w:r>
      <w:r w:rsidR="00FE7FBD" w:rsidRPr="007F52FA">
        <w:rPr>
          <w:color w:val="000000"/>
          <w:sz w:val="24"/>
        </w:rPr>
        <w:t>C</w:t>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4810FF">
        <w:trPr>
          <w:jc w:val="center"/>
        </w:trPr>
        <w:tc>
          <w:tcPr>
            <w:tcW w:w="946" w:type="dxa"/>
            <w:vAlign w:val="center"/>
          </w:tcPr>
          <w:p w:rsidR="004810FF" w:rsidRDefault="0001216E">
            <w:pPr>
              <w:jc w:val="center"/>
            </w:pPr>
            <w:r>
              <w:rPr>
                <w:color w:val="000000"/>
                <w:sz w:val="24"/>
              </w:rPr>
              <w:t>季参平</w:t>
            </w:r>
          </w:p>
        </w:tc>
        <w:tc>
          <w:tcPr>
            <w:tcW w:w="924" w:type="dxa"/>
            <w:vAlign w:val="center"/>
          </w:tcPr>
          <w:p w:rsidR="004810FF" w:rsidRDefault="0001216E">
            <w:pPr>
              <w:jc w:val="center"/>
            </w:pPr>
            <w:r>
              <w:rPr>
                <w:color w:val="000000"/>
                <w:sz w:val="24"/>
              </w:rPr>
              <w:t>交银货币、交银裕通纯债债券、交银现金宝货币、交银天鑫宝货币、交银裕祥纯债债券、交银中债</w:t>
            </w:r>
            <w:r>
              <w:rPr>
                <w:color w:val="000000"/>
                <w:sz w:val="24"/>
              </w:rPr>
              <w:t>1-3</w:t>
            </w:r>
            <w:r>
              <w:rPr>
                <w:color w:val="000000"/>
                <w:sz w:val="24"/>
              </w:rPr>
              <w:t>年政金债指数的基金经理</w:t>
            </w:r>
          </w:p>
        </w:tc>
        <w:tc>
          <w:tcPr>
            <w:tcW w:w="1202" w:type="dxa"/>
            <w:vAlign w:val="center"/>
          </w:tcPr>
          <w:p w:rsidR="004810FF" w:rsidRDefault="0001216E">
            <w:pPr>
              <w:jc w:val="center"/>
            </w:pPr>
            <w:r>
              <w:rPr>
                <w:color w:val="000000"/>
                <w:sz w:val="24"/>
              </w:rPr>
              <w:t>2020-08-20</w:t>
            </w:r>
          </w:p>
        </w:tc>
        <w:tc>
          <w:tcPr>
            <w:tcW w:w="1300" w:type="dxa"/>
            <w:vAlign w:val="center"/>
          </w:tcPr>
          <w:p w:rsidR="004810FF" w:rsidRDefault="0001216E">
            <w:pPr>
              <w:jc w:val="center"/>
            </w:pPr>
            <w:r>
              <w:rPr>
                <w:color w:val="000000"/>
                <w:sz w:val="24"/>
              </w:rPr>
              <w:t>-</w:t>
            </w:r>
          </w:p>
        </w:tc>
        <w:tc>
          <w:tcPr>
            <w:tcW w:w="1245" w:type="dxa"/>
            <w:vAlign w:val="center"/>
          </w:tcPr>
          <w:p w:rsidR="004810FF" w:rsidRDefault="0001216E">
            <w:pPr>
              <w:jc w:val="center"/>
            </w:pPr>
            <w:r>
              <w:rPr>
                <w:color w:val="000000"/>
                <w:sz w:val="24"/>
              </w:rPr>
              <w:t>8</w:t>
            </w:r>
            <w:r>
              <w:rPr>
                <w:color w:val="000000"/>
                <w:sz w:val="24"/>
              </w:rPr>
              <w:t>年</w:t>
            </w:r>
          </w:p>
        </w:tc>
        <w:tc>
          <w:tcPr>
            <w:tcW w:w="3251" w:type="dxa"/>
            <w:vAlign w:val="center"/>
          </w:tcPr>
          <w:p w:rsidR="004810FF" w:rsidRDefault="0001216E">
            <w:r>
              <w:rPr>
                <w:color w:val="000000"/>
                <w:sz w:val="24"/>
              </w:rPr>
              <w:t>季参平先生，美国密歇根大学金融工程硕士、对外经济贸易大学经济学学士。</w:t>
            </w:r>
            <w:r>
              <w:rPr>
                <w:color w:val="000000"/>
                <w:sz w:val="24"/>
              </w:rPr>
              <w:t>2012</w:t>
            </w:r>
            <w:r>
              <w:rPr>
                <w:color w:val="000000"/>
                <w:sz w:val="24"/>
              </w:rPr>
              <w:t>年</w:t>
            </w:r>
            <w:r>
              <w:rPr>
                <w:color w:val="000000"/>
                <w:sz w:val="24"/>
              </w:rPr>
              <w:t>3</w:t>
            </w:r>
            <w:r>
              <w:rPr>
                <w:color w:val="000000"/>
                <w:sz w:val="24"/>
              </w:rPr>
              <w:t>月至</w:t>
            </w:r>
            <w:r>
              <w:rPr>
                <w:color w:val="000000"/>
                <w:sz w:val="24"/>
              </w:rPr>
              <w:t>2017</w:t>
            </w:r>
            <w:r>
              <w:rPr>
                <w:color w:val="000000"/>
                <w:sz w:val="24"/>
              </w:rPr>
              <w:t>年</w:t>
            </w:r>
            <w:r>
              <w:rPr>
                <w:color w:val="000000"/>
                <w:sz w:val="24"/>
              </w:rPr>
              <w:t>7</w:t>
            </w:r>
            <w:r>
              <w:rPr>
                <w:color w:val="000000"/>
                <w:sz w:val="24"/>
              </w:rPr>
              <w:t>月任瑞士银行外汇和利率交易员、联席董事。</w:t>
            </w:r>
            <w:r>
              <w:rPr>
                <w:color w:val="000000"/>
                <w:sz w:val="24"/>
              </w:rPr>
              <w:t>2017</w:t>
            </w:r>
            <w:r>
              <w:rPr>
                <w:color w:val="000000"/>
                <w:sz w:val="24"/>
              </w:rPr>
              <w:t>年加入交银施罗德基金管理有限公司，历任基金经理助理。</w:t>
            </w:r>
            <w:r>
              <w:rPr>
                <w:color w:val="000000"/>
                <w:sz w:val="24"/>
              </w:rPr>
              <w:t>2019</w:t>
            </w:r>
            <w:r>
              <w:rPr>
                <w:color w:val="000000"/>
                <w:sz w:val="24"/>
              </w:rPr>
              <w:t>年</w:t>
            </w:r>
            <w:r>
              <w:rPr>
                <w:color w:val="000000"/>
                <w:sz w:val="24"/>
              </w:rPr>
              <w:t>7</w:t>
            </w:r>
            <w:r>
              <w:rPr>
                <w:color w:val="000000"/>
                <w:sz w:val="24"/>
              </w:rPr>
              <w:t>月</w:t>
            </w:r>
            <w:r>
              <w:rPr>
                <w:color w:val="000000"/>
                <w:sz w:val="24"/>
              </w:rPr>
              <w:t>26</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18</w:t>
            </w:r>
            <w:r>
              <w:rPr>
                <w:color w:val="000000"/>
                <w:sz w:val="24"/>
              </w:rPr>
              <w:t>日担任交银施罗德天运宝货币市场基金的基金经理。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4810FF" w:rsidRDefault="0001216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4810FF" w:rsidRDefault="0001216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4810FF" w:rsidRDefault="0001216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4810FF" w:rsidRDefault="0001216E">
      <w:pPr>
        <w:spacing w:before="29" w:line="288" w:lineRule="auto"/>
        <w:ind w:firstLineChars="200" w:firstLine="480"/>
        <w:rPr>
          <w:color w:val="000000"/>
          <w:sz w:val="24"/>
        </w:rPr>
      </w:pPr>
      <w:r>
        <w:rPr>
          <w:color w:val="000000"/>
          <w:sz w:val="24"/>
        </w:rPr>
        <w:t>2020</w:t>
      </w:r>
      <w:r>
        <w:rPr>
          <w:color w:val="000000"/>
          <w:sz w:val="24"/>
        </w:rPr>
        <w:t>年四季度债券收益率呈现出十月震荡、十一月上行触顶以及十二月快速下行的格局，总体来看债券市场在四季度的表现具备结构性行情特征。具体来看，十月受央行重提总闸门引发货币政策进一步收紧的预期，收益率振荡小幅上行，一年国债收益率上行</w:t>
      </w:r>
      <w:r>
        <w:rPr>
          <w:color w:val="000000"/>
          <w:sz w:val="24"/>
        </w:rPr>
        <w:t>8BP</w:t>
      </w:r>
      <w:r>
        <w:rPr>
          <w:color w:val="000000"/>
          <w:sz w:val="24"/>
        </w:rPr>
        <w:t>至</w:t>
      </w:r>
      <w:r>
        <w:rPr>
          <w:color w:val="000000"/>
          <w:sz w:val="24"/>
        </w:rPr>
        <w:t>2.73%</w:t>
      </w:r>
      <w:r>
        <w:rPr>
          <w:color w:val="000000"/>
          <w:sz w:val="24"/>
        </w:rPr>
        <w:t>，十年国债收益率上行</w:t>
      </w:r>
      <w:r>
        <w:rPr>
          <w:color w:val="000000"/>
          <w:sz w:val="24"/>
        </w:rPr>
        <w:t>3BP</w:t>
      </w:r>
      <w:r>
        <w:rPr>
          <w:color w:val="000000"/>
          <w:sz w:val="24"/>
        </w:rPr>
        <w:t>至</w:t>
      </w:r>
      <w:r>
        <w:rPr>
          <w:color w:val="000000"/>
          <w:sz w:val="24"/>
        </w:rPr>
        <w:t>3.18%</w:t>
      </w:r>
      <w:r>
        <w:rPr>
          <w:color w:val="000000"/>
          <w:sz w:val="24"/>
        </w:rPr>
        <w:t>，收益率曲线平坦化。十一月，部分信用债违约事件引发流动性冲击，收益率上行，</w:t>
      </w:r>
      <w:r>
        <w:rPr>
          <w:color w:val="000000"/>
          <w:sz w:val="24"/>
        </w:rPr>
        <w:t>19</w:t>
      </w:r>
      <w:r>
        <w:rPr>
          <w:color w:val="000000"/>
          <w:sz w:val="24"/>
        </w:rPr>
        <w:t>日十年国债收益率上行至</w:t>
      </w:r>
      <w:r>
        <w:rPr>
          <w:color w:val="000000"/>
          <w:sz w:val="24"/>
        </w:rPr>
        <w:t>3.35%</w:t>
      </w:r>
      <w:r>
        <w:rPr>
          <w:color w:val="000000"/>
          <w:sz w:val="24"/>
        </w:rPr>
        <w:t>的月内高点，随后金融稳定发展委员会召开会议稳定市场情绪、交易所市场</w:t>
      </w:r>
      <w:r>
        <w:rPr>
          <w:color w:val="000000"/>
          <w:sz w:val="24"/>
        </w:rPr>
        <w:t>GC007</w:t>
      </w:r>
      <w:r>
        <w:rPr>
          <w:color w:val="000000"/>
          <w:sz w:val="24"/>
        </w:rPr>
        <w:t>在</w:t>
      </w:r>
      <w:r>
        <w:rPr>
          <w:color w:val="000000"/>
          <w:sz w:val="24"/>
        </w:rPr>
        <w:t>2.40%</w:t>
      </w:r>
      <w:r>
        <w:rPr>
          <w:color w:val="000000"/>
          <w:sz w:val="24"/>
        </w:rPr>
        <w:t>的水平持续供给放量成交、</w:t>
      </w:r>
      <w:r>
        <w:rPr>
          <w:color w:val="000000"/>
          <w:sz w:val="24"/>
        </w:rPr>
        <w:t>30</w:t>
      </w:r>
      <w:r>
        <w:rPr>
          <w:color w:val="000000"/>
          <w:sz w:val="24"/>
        </w:rPr>
        <w:t>日央行再次超预期投放</w:t>
      </w:r>
      <w:r>
        <w:rPr>
          <w:color w:val="000000"/>
          <w:sz w:val="24"/>
        </w:rPr>
        <w:t>2000</w:t>
      </w:r>
      <w:r>
        <w:rPr>
          <w:color w:val="000000"/>
          <w:sz w:val="24"/>
        </w:rPr>
        <w:t>亿</w:t>
      </w:r>
      <w:r>
        <w:rPr>
          <w:color w:val="000000"/>
          <w:sz w:val="24"/>
        </w:rPr>
        <w:t>MLF</w:t>
      </w:r>
      <w:r>
        <w:rPr>
          <w:color w:val="000000"/>
          <w:sz w:val="24"/>
        </w:rPr>
        <w:t>，开启了四季度债券收益率最大的下行周期。十二月，中央经济工作会议召开，确定了宏观政策不会</w:t>
      </w:r>
      <w:r>
        <w:rPr>
          <w:color w:val="000000"/>
          <w:sz w:val="24"/>
        </w:rPr>
        <w:t>“</w:t>
      </w:r>
      <w:r>
        <w:rPr>
          <w:color w:val="000000"/>
          <w:sz w:val="24"/>
        </w:rPr>
        <w:t>急转弯</w:t>
      </w:r>
      <w:r>
        <w:rPr>
          <w:color w:val="000000"/>
          <w:sz w:val="24"/>
        </w:rPr>
        <w:t>”</w:t>
      </w:r>
      <w:r>
        <w:rPr>
          <w:color w:val="000000"/>
          <w:sz w:val="24"/>
        </w:rPr>
        <w:t>，债券市场在宽松的资金水平、年末配置力量的引导下，收益率持续下行。截至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日，在报告期内，十年国债收益率下行约</w:t>
      </w:r>
      <w:r>
        <w:rPr>
          <w:color w:val="000000"/>
          <w:sz w:val="24"/>
        </w:rPr>
        <w:t>1BP</w:t>
      </w:r>
      <w:r>
        <w:rPr>
          <w:color w:val="000000"/>
          <w:sz w:val="24"/>
        </w:rPr>
        <w:t>至</w:t>
      </w:r>
      <w:r>
        <w:rPr>
          <w:color w:val="000000"/>
          <w:sz w:val="24"/>
        </w:rPr>
        <w:t>3.14%</w:t>
      </w:r>
      <w:r>
        <w:rPr>
          <w:color w:val="000000"/>
          <w:sz w:val="24"/>
        </w:rPr>
        <w:t>，十年国开收益率下行约</w:t>
      </w:r>
      <w:r>
        <w:rPr>
          <w:color w:val="000000"/>
          <w:sz w:val="24"/>
        </w:rPr>
        <w:t>19BP</w:t>
      </w:r>
      <w:r>
        <w:rPr>
          <w:color w:val="000000"/>
          <w:sz w:val="24"/>
        </w:rPr>
        <w:t>至</w:t>
      </w:r>
      <w:r>
        <w:rPr>
          <w:color w:val="000000"/>
          <w:sz w:val="24"/>
        </w:rPr>
        <w:t>3.53%</w:t>
      </w:r>
      <w:r>
        <w:rPr>
          <w:color w:val="000000"/>
          <w:sz w:val="24"/>
        </w:rPr>
        <w:t>。</w:t>
      </w:r>
    </w:p>
    <w:p w:rsidR="004810FF" w:rsidRDefault="0001216E">
      <w:pPr>
        <w:spacing w:before="29" w:line="288" w:lineRule="auto"/>
        <w:ind w:firstLineChars="200" w:firstLine="480"/>
        <w:rPr>
          <w:color w:val="000000"/>
          <w:sz w:val="24"/>
        </w:rPr>
      </w:pPr>
      <w:r>
        <w:rPr>
          <w:color w:val="000000"/>
          <w:sz w:val="24"/>
        </w:rPr>
        <w:t>组合是跟踪指数表现的指数基金，本报告期内，组合继续做好指数跟踪，根据组合规模变动和指数关键指标变动，动态调整组合券种配置，控制组合与跟踪指数的偏离。</w:t>
      </w:r>
    </w:p>
    <w:p w:rsidR="004810FF" w:rsidRDefault="0001216E">
      <w:pPr>
        <w:spacing w:before="29" w:line="288" w:lineRule="auto"/>
        <w:ind w:firstLineChars="200" w:firstLine="480"/>
        <w:rPr>
          <w:color w:val="000000"/>
          <w:sz w:val="24"/>
        </w:rPr>
      </w:pPr>
      <w:r>
        <w:rPr>
          <w:color w:val="000000"/>
          <w:sz w:val="24"/>
        </w:rPr>
        <w:t>展望</w:t>
      </w:r>
      <w:r>
        <w:rPr>
          <w:color w:val="000000"/>
          <w:sz w:val="24"/>
        </w:rPr>
        <w:t>2021</w:t>
      </w:r>
      <w:r>
        <w:rPr>
          <w:color w:val="000000"/>
          <w:sz w:val="24"/>
        </w:rPr>
        <w:t>年一季度，我们将密切关注短期跨年投放的超额流动性的回笼情况以及春节前央行的再次投放操作，观察信用债违约事件后续对信用市场一级发行的负面影响是否逐步被消化，并对强劲的国内经济复苏情况进行持续跟踪。我们认为，在中央经济工作会议提出的货币政策灵活精准、合理适度的基调下，短期的银行间狭义流动性仍然具有不确定性。</w:t>
      </w:r>
      <w:r>
        <w:rPr>
          <w:color w:val="000000"/>
          <w:sz w:val="24"/>
        </w:rPr>
        <w:t>2021</w:t>
      </w:r>
      <w:r>
        <w:rPr>
          <w:color w:val="000000"/>
          <w:sz w:val="24"/>
        </w:rPr>
        <w:t>年一季度的债券市场存在波动性，我们建议对债券保持乐观心态，采取灵活的久期策略，维持票息策略和杠杆策略。</w:t>
      </w:r>
    </w:p>
    <w:p w:rsidR="00952A72" w:rsidRPr="007F52FA" w:rsidRDefault="00323F25" w:rsidP="007C14DF">
      <w:pPr>
        <w:spacing w:before="29" w:line="288" w:lineRule="auto"/>
        <w:ind w:firstLineChars="200" w:firstLine="480"/>
        <w:rPr>
          <w:color w:val="000000"/>
          <w:sz w:val="24"/>
        </w:rPr>
      </w:pPr>
      <w:r w:rsidRPr="007F52FA">
        <w:rPr>
          <w:color w:val="000000"/>
          <w:sz w:val="24"/>
        </w:rPr>
        <w:t>操作策略方面，组合将根据指数动态进行复制调整，尽力保证在组合与指数偏离的可控制范围内，通过优化组合持仓以期增厚基金的收益水平。</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5,249,470,000.00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84.00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5,249,470,000.00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84.00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837,000,000.00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13.39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13,368,360.81</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0.21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149,539,708.34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2.39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6,249,378,069.15</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110,385,000.00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5,139,085,000.00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85.47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5,139,085,000.00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85.47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5,249,470,000.00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87.30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4810FF">
        <w:trPr>
          <w:jc w:val="center"/>
        </w:trPr>
        <w:tc>
          <w:tcPr>
            <w:tcW w:w="1075" w:type="dxa"/>
            <w:vAlign w:val="center"/>
          </w:tcPr>
          <w:p w:rsidR="004810FF" w:rsidRDefault="0001216E">
            <w:pPr>
              <w:jc w:val="center"/>
            </w:pPr>
            <w:r>
              <w:rPr>
                <w:color w:val="000000"/>
                <w:sz w:val="24"/>
              </w:rPr>
              <w:t>1</w:t>
            </w:r>
          </w:p>
        </w:tc>
        <w:tc>
          <w:tcPr>
            <w:tcW w:w="1533" w:type="dxa"/>
            <w:vAlign w:val="center"/>
          </w:tcPr>
          <w:p w:rsidR="004810FF" w:rsidRDefault="0001216E">
            <w:pPr>
              <w:jc w:val="center"/>
            </w:pPr>
            <w:r>
              <w:rPr>
                <w:color w:val="000000"/>
                <w:sz w:val="24"/>
              </w:rPr>
              <w:t>190407</w:t>
            </w:r>
          </w:p>
        </w:tc>
        <w:tc>
          <w:tcPr>
            <w:tcW w:w="1533" w:type="dxa"/>
            <w:vAlign w:val="center"/>
          </w:tcPr>
          <w:p w:rsidR="004810FF" w:rsidRDefault="0001216E">
            <w:pPr>
              <w:jc w:val="center"/>
            </w:pPr>
            <w:r>
              <w:rPr>
                <w:color w:val="000000"/>
                <w:sz w:val="24"/>
              </w:rPr>
              <w:t>19</w:t>
            </w:r>
            <w:r>
              <w:rPr>
                <w:color w:val="000000"/>
                <w:sz w:val="24"/>
              </w:rPr>
              <w:t>农发</w:t>
            </w:r>
            <w:r>
              <w:rPr>
                <w:color w:val="000000"/>
                <w:sz w:val="24"/>
              </w:rPr>
              <w:t>07</w:t>
            </w:r>
          </w:p>
        </w:tc>
        <w:tc>
          <w:tcPr>
            <w:tcW w:w="1394" w:type="dxa"/>
            <w:vAlign w:val="center"/>
          </w:tcPr>
          <w:p w:rsidR="004810FF" w:rsidRDefault="0001216E">
            <w:pPr>
              <w:jc w:val="right"/>
            </w:pPr>
            <w:r>
              <w:rPr>
                <w:color w:val="000000"/>
                <w:sz w:val="24"/>
              </w:rPr>
              <w:t>5,500,000</w:t>
            </w:r>
          </w:p>
        </w:tc>
        <w:tc>
          <w:tcPr>
            <w:tcW w:w="1944" w:type="dxa"/>
            <w:vAlign w:val="center"/>
          </w:tcPr>
          <w:p w:rsidR="004810FF" w:rsidRDefault="0001216E">
            <w:pPr>
              <w:jc w:val="right"/>
            </w:pPr>
            <w:r>
              <w:rPr>
                <w:color w:val="000000"/>
                <w:sz w:val="24"/>
              </w:rPr>
              <w:t>551,980,000.00</w:t>
            </w:r>
          </w:p>
        </w:tc>
        <w:tc>
          <w:tcPr>
            <w:tcW w:w="1389" w:type="dxa"/>
            <w:vAlign w:val="center"/>
          </w:tcPr>
          <w:p w:rsidR="004810FF" w:rsidRDefault="0001216E">
            <w:pPr>
              <w:jc w:val="right"/>
            </w:pPr>
            <w:r>
              <w:rPr>
                <w:color w:val="000000"/>
                <w:sz w:val="24"/>
              </w:rPr>
              <w:t>9.18</w:t>
            </w:r>
          </w:p>
        </w:tc>
      </w:tr>
      <w:tr w:rsidR="004810FF">
        <w:trPr>
          <w:jc w:val="center"/>
        </w:trPr>
        <w:tc>
          <w:tcPr>
            <w:tcW w:w="1075" w:type="dxa"/>
            <w:vAlign w:val="center"/>
          </w:tcPr>
          <w:p w:rsidR="004810FF" w:rsidRDefault="0001216E">
            <w:pPr>
              <w:jc w:val="center"/>
            </w:pPr>
            <w:r>
              <w:rPr>
                <w:color w:val="000000"/>
                <w:sz w:val="24"/>
              </w:rPr>
              <w:t>2</w:t>
            </w:r>
          </w:p>
        </w:tc>
        <w:tc>
          <w:tcPr>
            <w:tcW w:w="1533" w:type="dxa"/>
            <w:vAlign w:val="center"/>
          </w:tcPr>
          <w:p w:rsidR="004810FF" w:rsidRDefault="0001216E">
            <w:pPr>
              <w:jc w:val="center"/>
            </w:pPr>
            <w:r>
              <w:rPr>
                <w:color w:val="000000"/>
                <w:sz w:val="24"/>
              </w:rPr>
              <w:t>190214</w:t>
            </w:r>
          </w:p>
        </w:tc>
        <w:tc>
          <w:tcPr>
            <w:tcW w:w="1533" w:type="dxa"/>
            <w:vAlign w:val="center"/>
          </w:tcPr>
          <w:p w:rsidR="004810FF" w:rsidRDefault="0001216E">
            <w:pPr>
              <w:jc w:val="center"/>
            </w:pPr>
            <w:r>
              <w:rPr>
                <w:color w:val="000000"/>
                <w:sz w:val="24"/>
              </w:rPr>
              <w:t>19</w:t>
            </w:r>
            <w:r>
              <w:rPr>
                <w:color w:val="000000"/>
                <w:sz w:val="24"/>
              </w:rPr>
              <w:t>国开</w:t>
            </w:r>
            <w:r>
              <w:rPr>
                <w:color w:val="000000"/>
                <w:sz w:val="24"/>
              </w:rPr>
              <w:t>14</w:t>
            </w:r>
          </w:p>
        </w:tc>
        <w:tc>
          <w:tcPr>
            <w:tcW w:w="1394" w:type="dxa"/>
            <w:vAlign w:val="center"/>
          </w:tcPr>
          <w:p w:rsidR="004810FF" w:rsidRDefault="0001216E">
            <w:pPr>
              <w:jc w:val="right"/>
            </w:pPr>
            <w:r>
              <w:rPr>
                <w:color w:val="000000"/>
                <w:sz w:val="24"/>
              </w:rPr>
              <w:t>5,500,000</w:t>
            </w:r>
          </w:p>
        </w:tc>
        <w:tc>
          <w:tcPr>
            <w:tcW w:w="1944" w:type="dxa"/>
            <w:vAlign w:val="center"/>
          </w:tcPr>
          <w:p w:rsidR="004810FF" w:rsidRDefault="0001216E">
            <w:pPr>
              <w:jc w:val="right"/>
            </w:pPr>
            <w:r>
              <w:rPr>
                <w:color w:val="000000"/>
                <w:sz w:val="24"/>
              </w:rPr>
              <w:t>551,045,000.00</w:t>
            </w:r>
          </w:p>
        </w:tc>
        <w:tc>
          <w:tcPr>
            <w:tcW w:w="1389" w:type="dxa"/>
            <w:vAlign w:val="center"/>
          </w:tcPr>
          <w:p w:rsidR="004810FF" w:rsidRDefault="0001216E">
            <w:pPr>
              <w:jc w:val="right"/>
            </w:pPr>
            <w:r>
              <w:rPr>
                <w:color w:val="000000"/>
                <w:sz w:val="24"/>
              </w:rPr>
              <w:t>9.16</w:t>
            </w:r>
          </w:p>
        </w:tc>
      </w:tr>
      <w:tr w:rsidR="004810FF">
        <w:trPr>
          <w:jc w:val="center"/>
        </w:trPr>
        <w:tc>
          <w:tcPr>
            <w:tcW w:w="1075" w:type="dxa"/>
            <w:vAlign w:val="center"/>
          </w:tcPr>
          <w:p w:rsidR="004810FF" w:rsidRDefault="0001216E">
            <w:pPr>
              <w:jc w:val="center"/>
            </w:pPr>
            <w:r>
              <w:rPr>
                <w:color w:val="000000"/>
                <w:sz w:val="24"/>
              </w:rPr>
              <w:t>3</w:t>
            </w:r>
          </w:p>
        </w:tc>
        <w:tc>
          <w:tcPr>
            <w:tcW w:w="1533" w:type="dxa"/>
            <w:vAlign w:val="center"/>
          </w:tcPr>
          <w:p w:rsidR="004810FF" w:rsidRDefault="0001216E">
            <w:pPr>
              <w:jc w:val="center"/>
            </w:pPr>
            <w:r>
              <w:rPr>
                <w:color w:val="000000"/>
                <w:sz w:val="24"/>
              </w:rPr>
              <w:t>200312</w:t>
            </w:r>
          </w:p>
        </w:tc>
        <w:tc>
          <w:tcPr>
            <w:tcW w:w="1533" w:type="dxa"/>
            <w:vAlign w:val="center"/>
          </w:tcPr>
          <w:p w:rsidR="004810FF" w:rsidRDefault="0001216E">
            <w:pPr>
              <w:jc w:val="center"/>
            </w:pPr>
            <w:r>
              <w:rPr>
                <w:color w:val="000000"/>
                <w:sz w:val="24"/>
              </w:rPr>
              <w:t>20</w:t>
            </w:r>
            <w:r>
              <w:rPr>
                <w:color w:val="000000"/>
                <w:sz w:val="24"/>
              </w:rPr>
              <w:t>进出</w:t>
            </w:r>
            <w:r>
              <w:rPr>
                <w:color w:val="000000"/>
                <w:sz w:val="24"/>
              </w:rPr>
              <w:t>12</w:t>
            </w:r>
          </w:p>
        </w:tc>
        <w:tc>
          <w:tcPr>
            <w:tcW w:w="1394" w:type="dxa"/>
            <w:vAlign w:val="center"/>
          </w:tcPr>
          <w:p w:rsidR="004810FF" w:rsidRDefault="0001216E">
            <w:pPr>
              <w:jc w:val="right"/>
            </w:pPr>
            <w:r>
              <w:rPr>
                <w:color w:val="000000"/>
                <w:sz w:val="24"/>
              </w:rPr>
              <w:t>5,300,000</w:t>
            </w:r>
          </w:p>
        </w:tc>
        <w:tc>
          <w:tcPr>
            <w:tcW w:w="1944" w:type="dxa"/>
            <w:vAlign w:val="center"/>
          </w:tcPr>
          <w:p w:rsidR="004810FF" w:rsidRDefault="0001216E">
            <w:pPr>
              <w:jc w:val="right"/>
            </w:pPr>
            <w:r>
              <w:rPr>
                <w:color w:val="000000"/>
                <w:sz w:val="24"/>
              </w:rPr>
              <w:t>530,954,000.00</w:t>
            </w:r>
          </w:p>
        </w:tc>
        <w:tc>
          <w:tcPr>
            <w:tcW w:w="1389" w:type="dxa"/>
            <w:vAlign w:val="center"/>
          </w:tcPr>
          <w:p w:rsidR="004810FF" w:rsidRDefault="0001216E">
            <w:pPr>
              <w:jc w:val="right"/>
            </w:pPr>
            <w:r>
              <w:rPr>
                <w:color w:val="000000"/>
                <w:sz w:val="24"/>
              </w:rPr>
              <w:t>8.83</w:t>
            </w:r>
          </w:p>
        </w:tc>
      </w:tr>
      <w:tr w:rsidR="004810FF">
        <w:trPr>
          <w:jc w:val="center"/>
        </w:trPr>
        <w:tc>
          <w:tcPr>
            <w:tcW w:w="1075" w:type="dxa"/>
            <w:vAlign w:val="center"/>
          </w:tcPr>
          <w:p w:rsidR="004810FF" w:rsidRDefault="0001216E">
            <w:pPr>
              <w:jc w:val="center"/>
            </w:pPr>
            <w:r>
              <w:rPr>
                <w:color w:val="000000"/>
                <w:sz w:val="24"/>
              </w:rPr>
              <w:t>4</w:t>
            </w:r>
          </w:p>
        </w:tc>
        <w:tc>
          <w:tcPr>
            <w:tcW w:w="1533" w:type="dxa"/>
            <w:vAlign w:val="center"/>
          </w:tcPr>
          <w:p w:rsidR="004810FF" w:rsidRDefault="0001216E">
            <w:pPr>
              <w:jc w:val="center"/>
            </w:pPr>
            <w:r>
              <w:rPr>
                <w:color w:val="000000"/>
                <w:sz w:val="24"/>
              </w:rPr>
              <w:t>190308</w:t>
            </w:r>
          </w:p>
        </w:tc>
        <w:tc>
          <w:tcPr>
            <w:tcW w:w="1533" w:type="dxa"/>
            <w:vAlign w:val="center"/>
          </w:tcPr>
          <w:p w:rsidR="004810FF" w:rsidRDefault="0001216E">
            <w:pPr>
              <w:jc w:val="center"/>
            </w:pPr>
            <w:r>
              <w:rPr>
                <w:color w:val="000000"/>
                <w:sz w:val="24"/>
              </w:rPr>
              <w:t>19</w:t>
            </w:r>
            <w:r>
              <w:rPr>
                <w:color w:val="000000"/>
                <w:sz w:val="24"/>
              </w:rPr>
              <w:t>进出</w:t>
            </w:r>
            <w:r>
              <w:rPr>
                <w:color w:val="000000"/>
                <w:sz w:val="24"/>
              </w:rPr>
              <w:t>08</w:t>
            </w:r>
          </w:p>
        </w:tc>
        <w:tc>
          <w:tcPr>
            <w:tcW w:w="1394" w:type="dxa"/>
            <w:vAlign w:val="center"/>
          </w:tcPr>
          <w:p w:rsidR="004810FF" w:rsidRDefault="0001216E">
            <w:pPr>
              <w:jc w:val="right"/>
            </w:pPr>
            <w:r>
              <w:rPr>
                <w:color w:val="000000"/>
                <w:sz w:val="24"/>
              </w:rPr>
              <w:t>5,000,000</w:t>
            </w:r>
          </w:p>
        </w:tc>
        <w:tc>
          <w:tcPr>
            <w:tcW w:w="1944" w:type="dxa"/>
            <w:vAlign w:val="center"/>
          </w:tcPr>
          <w:p w:rsidR="004810FF" w:rsidRDefault="0001216E">
            <w:pPr>
              <w:jc w:val="right"/>
            </w:pPr>
            <w:r>
              <w:rPr>
                <w:color w:val="000000"/>
                <w:sz w:val="24"/>
              </w:rPr>
              <w:t>503,350,000.00</w:t>
            </w:r>
          </w:p>
        </w:tc>
        <w:tc>
          <w:tcPr>
            <w:tcW w:w="1389" w:type="dxa"/>
            <w:vAlign w:val="center"/>
          </w:tcPr>
          <w:p w:rsidR="004810FF" w:rsidRDefault="0001216E">
            <w:pPr>
              <w:jc w:val="right"/>
            </w:pPr>
            <w:r>
              <w:rPr>
                <w:color w:val="000000"/>
                <w:sz w:val="24"/>
              </w:rPr>
              <w:t>8.37</w:t>
            </w:r>
          </w:p>
        </w:tc>
      </w:tr>
      <w:tr w:rsidR="004810FF">
        <w:trPr>
          <w:jc w:val="center"/>
        </w:trPr>
        <w:tc>
          <w:tcPr>
            <w:tcW w:w="1075" w:type="dxa"/>
            <w:vAlign w:val="center"/>
          </w:tcPr>
          <w:p w:rsidR="004810FF" w:rsidRDefault="0001216E">
            <w:pPr>
              <w:jc w:val="center"/>
            </w:pPr>
            <w:r>
              <w:rPr>
                <w:color w:val="000000"/>
                <w:sz w:val="24"/>
              </w:rPr>
              <w:t>5</w:t>
            </w:r>
          </w:p>
        </w:tc>
        <w:tc>
          <w:tcPr>
            <w:tcW w:w="1533" w:type="dxa"/>
            <w:vAlign w:val="center"/>
          </w:tcPr>
          <w:p w:rsidR="004810FF" w:rsidRDefault="0001216E">
            <w:pPr>
              <w:jc w:val="center"/>
            </w:pPr>
            <w:r>
              <w:rPr>
                <w:color w:val="000000"/>
                <w:sz w:val="24"/>
              </w:rPr>
              <w:t>170309</w:t>
            </w:r>
          </w:p>
        </w:tc>
        <w:tc>
          <w:tcPr>
            <w:tcW w:w="1533" w:type="dxa"/>
            <w:vAlign w:val="center"/>
          </w:tcPr>
          <w:p w:rsidR="004810FF" w:rsidRDefault="0001216E">
            <w:pPr>
              <w:jc w:val="center"/>
            </w:pPr>
            <w:r>
              <w:rPr>
                <w:color w:val="000000"/>
                <w:sz w:val="24"/>
              </w:rPr>
              <w:t>17</w:t>
            </w:r>
            <w:r>
              <w:rPr>
                <w:color w:val="000000"/>
                <w:sz w:val="24"/>
              </w:rPr>
              <w:t>进出</w:t>
            </w:r>
            <w:r>
              <w:rPr>
                <w:color w:val="000000"/>
                <w:sz w:val="24"/>
              </w:rPr>
              <w:t>09</w:t>
            </w:r>
          </w:p>
        </w:tc>
        <w:tc>
          <w:tcPr>
            <w:tcW w:w="1394" w:type="dxa"/>
            <w:vAlign w:val="center"/>
          </w:tcPr>
          <w:p w:rsidR="004810FF" w:rsidRDefault="0001216E">
            <w:pPr>
              <w:jc w:val="right"/>
            </w:pPr>
            <w:r>
              <w:rPr>
                <w:color w:val="000000"/>
                <w:sz w:val="24"/>
              </w:rPr>
              <w:t>3,800,000</w:t>
            </w:r>
          </w:p>
        </w:tc>
        <w:tc>
          <w:tcPr>
            <w:tcW w:w="1944" w:type="dxa"/>
            <w:vAlign w:val="center"/>
          </w:tcPr>
          <w:p w:rsidR="004810FF" w:rsidRDefault="0001216E">
            <w:pPr>
              <w:jc w:val="right"/>
            </w:pPr>
            <w:r>
              <w:rPr>
                <w:color w:val="000000"/>
                <w:sz w:val="24"/>
              </w:rPr>
              <w:t>386,878,000.00</w:t>
            </w:r>
          </w:p>
        </w:tc>
        <w:tc>
          <w:tcPr>
            <w:tcW w:w="1389" w:type="dxa"/>
            <w:vAlign w:val="center"/>
          </w:tcPr>
          <w:p w:rsidR="004810FF" w:rsidRDefault="0001216E">
            <w:pPr>
              <w:jc w:val="right"/>
            </w:pPr>
            <w:r>
              <w:rPr>
                <w:color w:val="000000"/>
                <w:sz w:val="24"/>
              </w:rPr>
              <w:t>6.43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01216E" w:rsidRPr="007F52FA" w:rsidRDefault="0001216E" w:rsidP="007C14DF">
      <w:pPr>
        <w:autoSpaceDE w:val="0"/>
        <w:autoSpaceDN w:val="0"/>
        <w:adjustRightInd w:val="0"/>
        <w:spacing w:before="29" w:line="288" w:lineRule="auto"/>
        <w:jc w:val="left"/>
        <w:rPr>
          <w:color w:val="00000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885AD9">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5"/>
        <w:gridCol w:w="2774"/>
        <w:gridCol w:w="4849"/>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71,022,733.01</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78,516,975.33</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149,539,708.34</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交银中债</w:t>
            </w:r>
            <w:r w:rsidRPr="007F52FA">
              <w:rPr>
                <w:rFonts w:eastAsiaTheme="minorEastAsia"/>
                <w:sz w:val="24"/>
              </w:rPr>
              <w:t>1-3</w:t>
            </w:r>
            <w:r w:rsidRPr="007F52FA">
              <w:rPr>
                <w:rFonts w:eastAsiaTheme="minorEastAsia"/>
                <w:sz w:val="24"/>
              </w:rPr>
              <w:t>年政金债指数</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交银中债</w:t>
            </w:r>
            <w:r w:rsidRPr="007F52FA">
              <w:rPr>
                <w:rFonts w:eastAsiaTheme="minorEastAsia"/>
                <w:sz w:val="24"/>
              </w:rPr>
              <w:t>1-3</w:t>
            </w:r>
            <w:r w:rsidRPr="007F52FA">
              <w:rPr>
                <w:rFonts w:eastAsiaTheme="minorEastAsia"/>
                <w:sz w:val="24"/>
              </w:rPr>
              <w:t>年政金债指数</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5,299,991,489.98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1,783,041,940.21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1,149,994,999.94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5,933,038,430.25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bl>
    <w:p w:rsidR="004810FF" w:rsidRDefault="0001216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4810FF">
        <w:tc>
          <w:tcPr>
            <w:tcW w:w="992" w:type="dxa"/>
            <w:vMerge w:val="restart"/>
          </w:tcPr>
          <w:p w:rsidR="004810FF" w:rsidRDefault="004810FF"/>
          <w:p w:rsidR="004810FF" w:rsidRDefault="0001216E">
            <w:r>
              <w:rPr>
                <w:rFonts w:ascii="宋体" w:hAnsi="宋体" w:hint="eastAsia"/>
                <w:bCs/>
                <w:color w:val="000000"/>
                <w:kern w:val="0"/>
                <w:szCs w:val="21"/>
              </w:rPr>
              <w:t>机构</w:t>
            </w:r>
          </w:p>
        </w:tc>
        <w:tc>
          <w:tcPr>
            <w:tcW w:w="991" w:type="dxa"/>
            <w:vAlign w:val="center"/>
          </w:tcPr>
          <w:p w:rsidR="004810FF" w:rsidRDefault="0001216E">
            <w:pPr>
              <w:jc w:val="center"/>
            </w:pPr>
            <w:r>
              <w:rPr>
                <w:rFonts w:ascii="宋体" w:hAnsi="宋体" w:hint="eastAsia"/>
                <w:color w:val="000000"/>
                <w:kern w:val="0"/>
                <w:szCs w:val="21"/>
              </w:rPr>
              <w:t>1</w:t>
            </w:r>
          </w:p>
        </w:tc>
        <w:tc>
          <w:tcPr>
            <w:tcW w:w="1843" w:type="dxa"/>
            <w:vAlign w:val="center"/>
          </w:tcPr>
          <w:p w:rsidR="004810FF" w:rsidRDefault="0001216E">
            <w:pPr>
              <w:jc w:val="center"/>
            </w:pPr>
            <w:r>
              <w:rPr>
                <w:rFonts w:ascii="宋体" w:hAnsi="宋体" w:hint="eastAsia"/>
                <w:color w:val="000000"/>
                <w:kern w:val="0"/>
                <w:szCs w:val="21"/>
              </w:rPr>
              <w:t>2020/10/1-2020/12/31</w:t>
            </w:r>
          </w:p>
        </w:tc>
        <w:tc>
          <w:tcPr>
            <w:tcW w:w="851" w:type="dxa"/>
            <w:vAlign w:val="center"/>
          </w:tcPr>
          <w:p w:rsidR="004810FF" w:rsidRDefault="0001216E">
            <w:pPr>
              <w:jc w:val="center"/>
            </w:pPr>
            <w:r>
              <w:rPr>
                <w:rFonts w:ascii="宋体" w:hAnsi="宋体" w:hint="eastAsia"/>
                <w:color w:val="000000"/>
                <w:kern w:val="0"/>
                <w:szCs w:val="21"/>
              </w:rPr>
              <w:t>999,999,000.00</w:t>
            </w:r>
          </w:p>
        </w:tc>
        <w:tc>
          <w:tcPr>
            <w:tcW w:w="850" w:type="dxa"/>
            <w:vAlign w:val="center"/>
          </w:tcPr>
          <w:p w:rsidR="004810FF" w:rsidRDefault="0001216E">
            <w:pPr>
              <w:jc w:val="center"/>
            </w:pPr>
            <w:r>
              <w:rPr>
                <w:rFonts w:ascii="宋体" w:hAnsi="宋体" w:hint="eastAsia"/>
                <w:color w:val="000000"/>
                <w:kern w:val="0"/>
                <w:szCs w:val="21"/>
              </w:rPr>
              <w:t>-</w:t>
            </w:r>
          </w:p>
        </w:tc>
        <w:tc>
          <w:tcPr>
            <w:tcW w:w="1134" w:type="dxa"/>
            <w:vAlign w:val="center"/>
          </w:tcPr>
          <w:p w:rsidR="004810FF" w:rsidRDefault="0001216E">
            <w:pPr>
              <w:jc w:val="center"/>
            </w:pPr>
            <w:r>
              <w:rPr>
                <w:rFonts w:ascii="宋体" w:hAnsi="宋体" w:hint="eastAsia"/>
                <w:color w:val="000000"/>
                <w:kern w:val="0"/>
                <w:szCs w:val="21"/>
              </w:rPr>
              <w:t>-</w:t>
            </w:r>
          </w:p>
        </w:tc>
        <w:tc>
          <w:tcPr>
            <w:tcW w:w="1419" w:type="dxa"/>
            <w:vAlign w:val="center"/>
          </w:tcPr>
          <w:p w:rsidR="004810FF" w:rsidRDefault="0001216E">
            <w:pPr>
              <w:jc w:val="center"/>
            </w:pPr>
            <w:r>
              <w:rPr>
                <w:rFonts w:ascii="宋体" w:hAnsi="宋体" w:hint="eastAsia"/>
                <w:color w:val="000000"/>
                <w:kern w:val="0"/>
                <w:szCs w:val="21"/>
              </w:rPr>
              <w:t>999,999,000.00</w:t>
            </w:r>
          </w:p>
        </w:tc>
        <w:tc>
          <w:tcPr>
            <w:tcW w:w="1130" w:type="dxa"/>
            <w:vAlign w:val="center"/>
          </w:tcPr>
          <w:p w:rsidR="004810FF" w:rsidRDefault="0001216E">
            <w:pPr>
              <w:jc w:val="center"/>
            </w:pPr>
            <w:r>
              <w:rPr>
                <w:rFonts w:ascii="宋体" w:hAnsi="宋体" w:hint="eastAsia"/>
                <w:color w:val="000000"/>
                <w:kern w:val="0"/>
                <w:szCs w:val="21"/>
              </w:rPr>
              <w:t>16.85%</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4810FF" w:rsidRDefault="0001216E">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、中国证监会准予交银施罗德中债</w:t>
      </w:r>
      <w:r>
        <w:rPr>
          <w:rFonts w:eastAsiaTheme="minorEastAsia"/>
          <w:color w:val="000000"/>
          <w:sz w:val="24"/>
        </w:rPr>
        <w:t>1-3</w:t>
      </w:r>
      <w:r>
        <w:rPr>
          <w:rFonts w:eastAsiaTheme="minorEastAsia"/>
          <w:color w:val="000000"/>
          <w:sz w:val="24"/>
        </w:rPr>
        <w:t>年政策性金融债指数证券投资基金募集注册的文件；</w:t>
      </w:r>
      <w:r>
        <w:rPr>
          <w:rFonts w:eastAsiaTheme="minorEastAsia"/>
          <w:color w:val="000000"/>
          <w:sz w:val="24"/>
        </w:rPr>
        <w:t xml:space="preserve"> </w:t>
      </w:r>
    </w:p>
    <w:p w:rsidR="004810FF" w:rsidRDefault="0001216E">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、《交银施罗德中债</w:t>
      </w:r>
      <w:r>
        <w:rPr>
          <w:rFonts w:eastAsiaTheme="minorEastAsia"/>
          <w:color w:val="000000"/>
          <w:sz w:val="24"/>
        </w:rPr>
        <w:t>1-3</w:t>
      </w:r>
      <w:r>
        <w:rPr>
          <w:rFonts w:eastAsiaTheme="minorEastAsia"/>
          <w:color w:val="000000"/>
          <w:sz w:val="24"/>
        </w:rPr>
        <w:t>年政策性金融债指数证券投资基金基金合同》；</w:t>
      </w:r>
      <w:r>
        <w:rPr>
          <w:rFonts w:eastAsiaTheme="minorEastAsia"/>
          <w:color w:val="000000"/>
          <w:sz w:val="24"/>
        </w:rPr>
        <w:t xml:space="preserve"> </w:t>
      </w:r>
    </w:p>
    <w:p w:rsidR="004810FF" w:rsidRDefault="0001216E">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、《交银施罗德中债</w:t>
      </w:r>
      <w:r>
        <w:rPr>
          <w:rFonts w:eastAsiaTheme="minorEastAsia"/>
          <w:color w:val="000000"/>
          <w:sz w:val="24"/>
        </w:rPr>
        <w:t>1-3</w:t>
      </w:r>
      <w:r>
        <w:rPr>
          <w:rFonts w:eastAsiaTheme="minorEastAsia"/>
          <w:color w:val="000000"/>
          <w:sz w:val="24"/>
        </w:rPr>
        <w:t>年政策性金融债指数证券投资基金招募说明书》；</w:t>
      </w:r>
      <w:r>
        <w:rPr>
          <w:rFonts w:eastAsiaTheme="minorEastAsia"/>
          <w:color w:val="000000"/>
          <w:sz w:val="24"/>
        </w:rPr>
        <w:t xml:space="preserve"> </w:t>
      </w:r>
    </w:p>
    <w:p w:rsidR="004810FF" w:rsidRDefault="0001216E">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、《交银施罗德中债</w:t>
      </w:r>
      <w:r>
        <w:rPr>
          <w:rFonts w:eastAsiaTheme="minorEastAsia"/>
          <w:color w:val="000000"/>
          <w:sz w:val="24"/>
        </w:rPr>
        <w:t>1-3</w:t>
      </w:r>
      <w:r>
        <w:rPr>
          <w:rFonts w:eastAsiaTheme="minorEastAsia"/>
          <w:color w:val="000000"/>
          <w:sz w:val="24"/>
        </w:rPr>
        <w:t>年政策性金融债指数证券投资基金托管协议》；</w:t>
      </w:r>
      <w:r>
        <w:rPr>
          <w:rFonts w:eastAsiaTheme="minorEastAsia"/>
          <w:color w:val="000000"/>
          <w:sz w:val="24"/>
        </w:rPr>
        <w:t xml:space="preserve"> </w:t>
      </w:r>
    </w:p>
    <w:p w:rsidR="004810FF" w:rsidRDefault="0001216E">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、关于申请募集注册交银施罗德中债</w:t>
      </w:r>
      <w:r>
        <w:rPr>
          <w:rFonts w:eastAsiaTheme="minorEastAsia"/>
          <w:color w:val="000000"/>
          <w:sz w:val="24"/>
        </w:rPr>
        <w:t>1-3</w:t>
      </w:r>
      <w:r>
        <w:rPr>
          <w:rFonts w:eastAsiaTheme="minorEastAsia"/>
          <w:color w:val="000000"/>
          <w:sz w:val="24"/>
        </w:rPr>
        <w:t>年政策性金融债指数证券投资基金的法律意见书；</w:t>
      </w:r>
      <w:r>
        <w:rPr>
          <w:rFonts w:eastAsiaTheme="minorEastAsia"/>
          <w:color w:val="000000"/>
          <w:sz w:val="24"/>
        </w:rPr>
        <w:t xml:space="preserve"> </w:t>
      </w:r>
    </w:p>
    <w:p w:rsidR="004810FF" w:rsidRDefault="0001216E">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4810FF" w:rsidRDefault="0001216E">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、报告期内交银施罗德中债</w:t>
      </w:r>
      <w:r w:rsidRPr="007F52FA">
        <w:rPr>
          <w:rFonts w:eastAsiaTheme="minorEastAsia"/>
          <w:color w:val="000000"/>
          <w:sz w:val="24"/>
        </w:rPr>
        <w:t>1-3</w:t>
      </w:r>
      <w:r w:rsidRPr="007F52FA">
        <w:rPr>
          <w:rFonts w:eastAsiaTheme="minorEastAsia"/>
          <w:color w:val="000000"/>
          <w:sz w:val="24"/>
        </w:rPr>
        <w:t>年政策性金融债指数证券投资基金在指定报刊上各项公告的原稿。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4810FF" w:rsidRDefault="0001216E">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5"/>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8A6A04">
      <w:rPr>
        <w:noProof/>
        <w:kern w:val="0"/>
        <w:szCs w:val="21"/>
      </w:rPr>
      <w:t>6</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8A6A04">
      <w:rPr>
        <w:noProof/>
        <w:kern w:val="0"/>
        <w:szCs w:val="21"/>
      </w:rPr>
      <w:t>12</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AD1" w:rsidRDefault="00685AD1">
      <w:r>
        <w:separator/>
      </w:r>
    </w:p>
  </w:footnote>
  <w:footnote w:type="continuationSeparator" w:id="0">
    <w:p w:rsidR="00685AD1" w:rsidRDefault="00685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交银施罗德中债</w:t>
    </w:r>
    <w:r w:rsidRPr="00D3445F">
      <w:rPr>
        <w:rFonts w:eastAsiaTheme="minorEastAsia"/>
        <w:sz w:val="24"/>
      </w:rPr>
      <w:t>1-3</w:t>
    </w:r>
    <w:r w:rsidRPr="00D3445F">
      <w:rPr>
        <w:rFonts w:eastAsiaTheme="minorEastAsia"/>
        <w:sz w:val="24"/>
      </w:rPr>
      <w:t>年政策性金融债指数证券投资基金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216E"/>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994"/>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0FF"/>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A04"/>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12562297">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87922-2FCA-4DFC-8E7B-2B458126A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261</TotalTime>
  <Pages>12</Pages>
  <Words>1072</Words>
  <Characters>6112</Characters>
  <Application>Microsoft Office Word</Application>
  <DocSecurity>0</DocSecurity>
  <Lines>50</Lines>
  <Paragraphs>14</Paragraphs>
  <ScaleCrop>false</ScaleCrop>
  <Company>TRT. Ltd. Co.</Company>
  <LinksUpToDate>false</LinksUpToDate>
  <CharactersWithSpaces>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曹国良</cp:lastModifiedBy>
  <cp:revision>407</cp:revision>
  <cp:lastPrinted>2007-07-19T00:46:00Z</cp:lastPrinted>
  <dcterms:created xsi:type="dcterms:W3CDTF">2014-01-17T06:19:00Z</dcterms:created>
  <dcterms:modified xsi:type="dcterms:W3CDTF">2021-01-13T07:32:00Z</dcterms:modified>
</cp:coreProperties>
</file>