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交银施罗德核心资产混合型证券投资基金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二〇二一年一月二十一日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9E631F" w:rsidRDefault="00990EC8">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9E631F" w:rsidRDefault="00990EC8">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2021</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9E631F" w:rsidRDefault="00990EC8">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9E631F" w:rsidRDefault="00990EC8">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9E631F" w:rsidRDefault="00990EC8">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交银核心资产混合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006202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006202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2019</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18</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49,790,260.08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本基金主要投资于具有核心资产的上市公司，在合理控制风险并保持基金资产良好流动性的前提下，力争实现基金资产的长期稳定增值。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恒生指数收益率</w:t>
            </w:r>
            <w:r w:rsidRPr="00414345">
              <w:rPr>
                <w:color w:val="000000"/>
                <w:kern w:val="0"/>
                <w:sz w:val="24"/>
                <w:szCs w:val="24"/>
              </w:rPr>
              <w:t>×30%+</w:t>
            </w:r>
            <w:r w:rsidRPr="00414345">
              <w:rPr>
                <w:color w:val="000000"/>
                <w:kern w:val="0"/>
                <w:sz w:val="24"/>
                <w:szCs w:val="24"/>
              </w:rPr>
              <w:t>中证综合债券指数收益率</w:t>
            </w:r>
            <w:r w:rsidRPr="00414345">
              <w:rPr>
                <w:color w:val="000000"/>
                <w:kern w:val="0"/>
                <w:sz w:val="24"/>
                <w:szCs w:val="24"/>
              </w:rPr>
              <w:t>×20%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9E631F" w:rsidRDefault="00990EC8">
            <w:pPr>
              <w:adjustRightInd w:val="0"/>
              <w:spacing w:before="29" w:line="288" w:lineRule="auto"/>
              <w:ind w:left="17"/>
              <w:jc w:val="left"/>
              <w:rPr>
                <w:color w:val="000000"/>
                <w:sz w:val="24"/>
                <w:szCs w:val="24"/>
              </w:rPr>
            </w:pPr>
            <w:r>
              <w:rPr>
                <w:color w:val="000000"/>
                <w:kern w:val="0"/>
                <w:sz w:val="24"/>
                <w:szCs w:val="24"/>
              </w:rPr>
              <w:t>本基金是一只混合型基金，其预期风险和预期收益高于债券型基金和货币市场基金，低于股票型基金。</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本基金可投资港股通标的股票，会面临港股通机制下因投资环境、投资标的、市场制度以及交易规则等差异带来的特有风险。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8D570C" w:rsidRPr="00414345" w:rsidTr="008D570C">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8D570C" w:rsidRPr="00414345" w:rsidTr="008D570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3,661,527.67</w:t>
            </w:r>
          </w:p>
        </w:tc>
      </w:tr>
      <w:tr w:rsidR="008D570C" w:rsidRPr="00414345" w:rsidTr="008D570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13,880,652.81</w:t>
            </w:r>
          </w:p>
        </w:tc>
      </w:tr>
      <w:tr w:rsidR="008D570C" w:rsidRPr="00414345" w:rsidTr="008D570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0.2742</w:t>
            </w:r>
          </w:p>
        </w:tc>
      </w:tr>
      <w:tr w:rsidR="008D570C" w:rsidRPr="00414345" w:rsidTr="008D570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95,935,172.87</w:t>
            </w:r>
          </w:p>
        </w:tc>
      </w:tr>
      <w:tr w:rsidR="008D570C" w:rsidRPr="00414345" w:rsidTr="008D570C">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1.9268</w:t>
            </w:r>
          </w:p>
        </w:tc>
      </w:tr>
    </w:tbl>
    <w:p w:rsidR="009E631F" w:rsidRDefault="00990EC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9E631F" w:rsidRDefault="00990EC8">
      <w:pPr>
        <w:autoSpaceDE w:val="0"/>
        <w:autoSpaceDN w:val="0"/>
        <w:adjustRightInd w:val="0"/>
        <w:spacing w:before="29" w:line="288" w:lineRule="auto"/>
        <w:jc w:val="left"/>
        <w:rPr>
          <w:color w:val="000000"/>
          <w:sz w:val="24"/>
          <w:szCs w:val="24"/>
        </w:rPr>
      </w:pPr>
      <w:r>
        <w:rPr>
          <w:color w:val="000000"/>
          <w:sz w:val="24"/>
          <w:szCs w:val="24"/>
        </w:rPr>
        <w:t xml:space="preserve">    2</w:t>
      </w:r>
      <w:r>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9E631F">
        <w:trPr>
          <w:jc w:val="center"/>
        </w:trPr>
        <w:tc>
          <w:tcPr>
            <w:tcW w:w="1701" w:type="dxa"/>
            <w:vAlign w:val="center"/>
          </w:tcPr>
          <w:p w:rsidR="009E631F" w:rsidRDefault="00990EC8">
            <w:pPr>
              <w:jc w:val="left"/>
            </w:pPr>
            <w:r>
              <w:rPr>
                <w:color w:val="000000"/>
                <w:sz w:val="24"/>
                <w:szCs w:val="24"/>
              </w:rPr>
              <w:t>过去三个月</w:t>
            </w:r>
          </w:p>
        </w:tc>
        <w:tc>
          <w:tcPr>
            <w:tcW w:w="1045" w:type="dxa"/>
            <w:vAlign w:val="center"/>
          </w:tcPr>
          <w:p w:rsidR="009E631F" w:rsidRDefault="00990EC8">
            <w:pPr>
              <w:jc w:val="center"/>
            </w:pPr>
            <w:r>
              <w:rPr>
                <w:color w:val="000000"/>
                <w:sz w:val="24"/>
                <w:szCs w:val="24"/>
              </w:rPr>
              <w:t>16.49%</w:t>
            </w:r>
          </w:p>
        </w:tc>
        <w:tc>
          <w:tcPr>
            <w:tcW w:w="1344" w:type="dxa"/>
            <w:vAlign w:val="center"/>
          </w:tcPr>
          <w:p w:rsidR="009E631F" w:rsidRDefault="00990EC8">
            <w:pPr>
              <w:jc w:val="center"/>
            </w:pPr>
            <w:r>
              <w:rPr>
                <w:color w:val="000000"/>
                <w:sz w:val="24"/>
                <w:szCs w:val="24"/>
              </w:rPr>
              <w:t>1.37%</w:t>
            </w:r>
          </w:p>
        </w:tc>
        <w:tc>
          <w:tcPr>
            <w:tcW w:w="1194" w:type="dxa"/>
            <w:vAlign w:val="center"/>
          </w:tcPr>
          <w:p w:rsidR="009E631F" w:rsidRDefault="00990EC8">
            <w:pPr>
              <w:jc w:val="center"/>
            </w:pPr>
            <w:r>
              <w:rPr>
                <w:color w:val="000000"/>
                <w:sz w:val="24"/>
                <w:szCs w:val="24"/>
              </w:rPr>
              <w:t>11.83%</w:t>
            </w:r>
          </w:p>
        </w:tc>
        <w:tc>
          <w:tcPr>
            <w:tcW w:w="1492" w:type="dxa"/>
            <w:vAlign w:val="center"/>
          </w:tcPr>
          <w:p w:rsidR="009E631F" w:rsidRDefault="00990EC8">
            <w:pPr>
              <w:jc w:val="center"/>
            </w:pPr>
            <w:r>
              <w:rPr>
                <w:color w:val="000000"/>
                <w:sz w:val="24"/>
                <w:szCs w:val="24"/>
              </w:rPr>
              <w:t>0.69%</w:t>
            </w:r>
          </w:p>
        </w:tc>
        <w:tc>
          <w:tcPr>
            <w:tcW w:w="1194" w:type="dxa"/>
            <w:vAlign w:val="center"/>
          </w:tcPr>
          <w:p w:rsidR="009E631F" w:rsidRDefault="00990EC8">
            <w:pPr>
              <w:jc w:val="center"/>
            </w:pPr>
            <w:r>
              <w:rPr>
                <w:color w:val="000000"/>
                <w:sz w:val="24"/>
                <w:szCs w:val="24"/>
              </w:rPr>
              <w:t>4.66%</w:t>
            </w:r>
          </w:p>
        </w:tc>
        <w:tc>
          <w:tcPr>
            <w:tcW w:w="898" w:type="dxa"/>
            <w:vAlign w:val="center"/>
          </w:tcPr>
          <w:p w:rsidR="009E631F" w:rsidRDefault="00990EC8">
            <w:pPr>
              <w:jc w:val="center"/>
            </w:pPr>
            <w:r>
              <w:rPr>
                <w:color w:val="000000"/>
                <w:sz w:val="24"/>
                <w:szCs w:val="24"/>
              </w:rPr>
              <w:t>0.68%</w:t>
            </w:r>
          </w:p>
        </w:tc>
      </w:tr>
      <w:tr w:rsidR="009E631F">
        <w:trPr>
          <w:jc w:val="center"/>
        </w:trPr>
        <w:tc>
          <w:tcPr>
            <w:tcW w:w="1701" w:type="dxa"/>
            <w:vAlign w:val="center"/>
          </w:tcPr>
          <w:p w:rsidR="009E631F" w:rsidRDefault="00990EC8">
            <w:pPr>
              <w:jc w:val="left"/>
            </w:pPr>
            <w:r>
              <w:rPr>
                <w:color w:val="000000"/>
                <w:sz w:val="24"/>
                <w:szCs w:val="24"/>
              </w:rPr>
              <w:t>过去六个月</w:t>
            </w:r>
          </w:p>
        </w:tc>
        <w:tc>
          <w:tcPr>
            <w:tcW w:w="1045" w:type="dxa"/>
            <w:vAlign w:val="center"/>
          </w:tcPr>
          <w:p w:rsidR="009E631F" w:rsidRDefault="00990EC8">
            <w:pPr>
              <w:jc w:val="center"/>
            </w:pPr>
            <w:r>
              <w:rPr>
                <w:color w:val="000000"/>
                <w:sz w:val="24"/>
                <w:szCs w:val="24"/>
              </w:rPr>
              <w:t>24.38%</w:t>
            </w:r>
          </w:p>
        </w:tc>
        <w:tc>
          <w:tcPr>
            <w:tcW w:w="1344" w:type="dxa"/>
            <w:vAlign w:val="center"/>
          </w:tcPr>
          <w:p w:rsidR="009E631F" w:rsidRDefault="00990EC8">
            <w:pPr>
              <w:jc w:val="center"/>
            </w:pPr>
            <w:r>
              <w:rPr>
                <w:color w:val="000000"/>
                <w:sz w:val="24"/>
                <w:szCs w:val="24"/>
              </w:rPr>
              <w:t>1.52%</w:t>
            </w:r>
          </w:p>
        </w:tc>
        <w:tc>
          <w:tcPr>
            <w:tcW w:w="1194" w:type="dxa"/>
            <w:vAlign w:val="center"/>
          </w:tcPr>
          <w:p w:rsidR="009E631F" w:rsidRDefault="00990EC8">
            <w:pPr>
              <w:jc w:val="center"/>
            </w:pPr>
            <w:r>
              <w:rPr>
                <w:color w:val="000000"/>
                <w:sz w:val="24"/>
                <w:szCs w:val="24"/>
              </w:rPr>
              <w:t>16.07%</w:t>
            </w:r>
          </w:p>
        </w:tc>
        <w:tc>
          <w:tcPr>
            <w:tcW w:w="1492" w:type="dxa"/>
            <w:vAlign w:val="center"/>
          </w:tcPr>
          <w:p w:rsidR="009E631F" w:rsidRDefault="00990EC8">
            <w:pPr>
              <w:jc w:val="center"/>
            </w:pPr>
            <w:r>
              <w:rPr>
                <w:color w:val="000000"/>
                <w:sz w:val="24"/>
                <w:szCs w:val="24"/>
              </w:rPr>
              <w:t>0.90%</w:t>
            </w:r>
          </w:p>
        </w:tc>
        <w:tc>
          <w:tcPr>
            <w:tcW w:w="1194" w:type="dxa"/>
            <w:vAlign w:val="center"/>
          </w:tcPr>
          <w:p w:rsidR="009E631F" w:rsidRDefault="00990EC8">
            <w:pPr>
              <w:jc w:val="center"/>
            </w:pPr>
            <w:r>
              <w:rPr>
                <w:color w:val="000000"/>
                <w:sz w:val="24"/>
                <w:szCs w:val="24"/>
              </w:rPr>
              <w:t>8.31%</w:t>
            </w:r>
          </w:p>
        </w:tc>
        <w:tc>
          <w:tcPr>
            <w:tcW w:w="898" w:type="dxa"/>
            <w:vAlign w:val="center"/>
          </w:tcPr>
          <w:p w:rsidR="009E631F" w:rsidRDefault="00990EC8">
            <w:pPr>
              <w:jc w:val="center"/>
            </w:pPr>
            <w:r>
              <w:rPr>
                <w:color w:val="000000"/>
                <w:sz w:val="24"/>
                <w:szCs w:val="24"/>
              </w:rPr>
              <w:t>0.62%</w:t>
            </w:r>
          </w:p>
        </w:tc>
      </w:tr>
      <w:tr w:rsidR="009E631F">
        <w:trPr>
          <w:jc w:val="center"/>
        </w:trPr>
        <w:tc>
          <w:tcPr>
            <w:tcW w:w="1701" w:type="dxa"/>
            <w:vAlign w:val="center"/>
          </w:tcPr>
          <w:p w:rsidR="009E631F" w:rsidRDefault="00990EC8">
            <w:pPr>
              <w:jc w:val="left"/>
            </w:pPr>
            <w:r>
              <w:rPr>
                <w:color w:val="000000"/>
                <w:sz w:val="24"/>
                <w:szCs w:val="24"/>
              </w:rPr>
              <w:lastRenderedPageBreak/>
              <w:t>过去一年</w:t>
            </w:r>
          </w:p>
        </w:tc>
        <w:tc>
          <w:tcPr>
            <w:tcW w:w="1045" w:type="dxa"/>
            <w:vAlign w:val="center"/>
          </w:tcPr>
          <w:p w:rsidR="009E631F" w:rsidRDefault="00990EC8">
            <w:pPr>
              <w:jc w:val="center"/>
            </w:pPr>
            <w:r>
              <w:rPr>
                <w:color w:val="000000"/>
                <w:sz w:val="24"/>
                <w:szCs w:val="24"/>
              </w:rPr>
              <w:t>54.78%</w:t>
            </w:r>
          </w:p>
        </w:tc>
        <w:tc>
          <w:tcPr>
            <w:tcW w:w="1344" w:type="dxa"/>
            <w:vAlign w:val="center"/>
          </w:tcPr>
          <w:p w:rsidR="009E631F" w:rsidRDefault="00990EC8">
            <w:pPr>
              <w:jc w:val="center"/>
            </w:pPr>
            <w:r>
              <w:rPr>
                <w:color w:val="000000"/>
                <w:sz w:val="24"/>
                <w:szCs w:val="24"/>
              </w:rPr>
              <w:t>1.65%</w:t>
            </w:r>
          </w:p>
        </w:tc>
        <w:tc>
          <w:tcPr>
            <w:tcW w:w="1194" w:type="dxa"/>
            <w:vAlign w:val="center"/>
          </w:tcPr>
          <w:p w:rsidR="009E631F" w:rsidRDefault="00990EC8">
            <w:pPr>
              <w:jc w:val="center"/>
            </w:pPr>
            <w:r>
              <w:rPr>
                <w:color w:val="000000"/>
                <w:sz w:val="24"/>
                <w:szCs w:val="24"/>
              </w:rPr>
              <w:t>13.03%</w:t>
            </w:r>
          </w:p>
        </w:tc>
        <w:tc>
          <w:tcPr>
            <w:tcW w:w="1492" w:type="dxa"/>
            <w:vAlign w:val="center"/>
          </w:tcPr>
          <w:p w:rsidR="009E631F" w:rsidRDefault="00990EC8">
            <w:pPr>
              <w:jc w:val="center"/>
            </w:pPr>
            <w:r>
              <w:rPr>
                <w:color w:val="000000"/>
                <w:sz w:val="24"/>
                <w:szCs w:val="24"/>
              </w:rPr>
              <w:t>1.08%</w:t>
            </w:r>
          </w:p>
        </w:tc>
        <w:tc>
          <w:tcPr>
            <w:tcW w:w="1194" w:type="dxa"/>
            <w:vAlign w:val="center"/>
          </w:tcPr>
          <w:p w:rsidR="009E631F" w:rsidRDefault="00990EC8">
            <w:pPr>
              <w:jc w:val="center"/>
            </w:pPr>
            <w:r>
              <w:rPr>
                <w:color w:val="000000"/>
                <w:sz w:val="24"/>
                <w:szCs w:val="24"/>
              </w:rPr>
              <w:t>41.75%</w:t>
            </w:r>
          </w:p>
        </w:tc>
        <w:tc>
          <w:tcPr>
            <w:tcW w:w="898" w:type="dxa"/>
            <w:vAlign w:val="center"/>
          </w:tcPr>
          <w:p w:rsidR="009E631F" w:rsidRDefault="00990EC8">
            <w:pPr>
              <w:jc w:val="center"/>
            </w:pPr>
            <w:r>
              <w:rPr>
                <w:color w:val="000000"/>
                <w:sz w:val="24"/>
                <w:szCs w:val="24"/>
              </w:rPr>
              <w:t>0.57%</w:t>
            </w:r>
          </w:p>
        </w:tc>
      </w:tr>
      <w:tr w:rsidR="009E631F">
        <w:trPr>
          <w:jc w:val="center"/>
        </w:trPr>
        <w:tc>
          <w:tcPr>
            <w:tcW w:w="1701" w:type="dxa"/>
            <w:vAlign w:val="center"/>
          </w:tcPr>
          <w:p w:rsidR="009E631F" w:rsidRDefault="00990EC8">
            <w:pPr>
              <w:jc w:val="left"/>
            </w:pPr>
            <w:r>
              <w:rPr>
                <w:color w:val="000000"/>
                <w:sz w:val="24"/>
                <w:szCs w:val="24"/>
              </w:rPr>
              <w:t>自基金合同生效至今</w:t>
            </w:r>
          </w:p>
        </w:tc>
        <w:tc>
          <w:tcPr>
            <w:tcW w:w="1045" w:type="dxa"/>
            <w:vAlign w:val="center"/>
          </w:tcPr>
          <w:p w:rsidR="009E631F" w:rsidRDefault="00990EC8">
            <w:pPr>
              <w:jc w:val="center"/>
            </w:pPr>
            <w:r>
              <w:rPr>
                <w:color w:val="000000"/>
                <w:sz w:val="24"/>
                <w:szCs w:val="24"/>
              </w:rPr>
              <w:t>92.68%</w:t>
            </w:r>
          </w:p>
        </w:tc>
        <w:tc>
          <w:tcPr>
            <w:tcW w:w="1344" w:type="dxa"/>
            <w:vAlign w:val="center"/>
          </w:tcPr>
          <w:p w:rsidR="009E631F" w:rsidRDefault="00990EC8">
            <w:pPr>
              <w:jc w:val="center"/>
            </w:pPr>
            <w:r>
              <w:rPr>
                <w:color w:val="000000"/>
                <w:sz w:val="24"/>
                <w:szCs w:val="24"/>
              </w:rPr>
              <w:t>1.36%</w:t>
            </w:r>
          </w:p>
        </w:tc>
        <w:tc>
          <w:tcPr>
            <w:tcW w:w="1194" w:type="dxa"/>
            <w:vAlign w:val="center"/>
          </w:tcPr>
          <w:p w:rsidR="009E631F" w:rsidRDefault="00990EC8">
            <w:pPr>
              <w:jc w:val="center"/>
            </w:pPr>
            <w:r>
              <w:rPr>
                <w:color w:val="000000"/>
                <w:sz w:val="24"/>
                <w:szCs w:val="24"/>
              </w:rPr>
              <w:t>33.32%</w:t>
            </w:r>
          </w:p>
        </w:tc>
        <w:tc>
          <w:tcPr>
            <w:tcW w:w="1492" w:type="dxa"/>
            <w:vAlign w:val="center"/>
          </w:tcPr>
          <w:p w:rsidR="009E631F" w:rsidRDefault="00990EC8">
            <w:pPr>
              <w:jc w:val="center"/>
            </w:pPr>
            <w:r>
              <w:rPr>
                <w:color w:val="000000"/>
                <w:sz w:val="24"/>
                <w:szCs w:val="24"/>
              </w:rPr>
              <w:t>0.96%</w:t>
            </w:r>
          </w:p>
        </w:tc>
        <w:tc>
          <w:tcPr>
            <w:tcW w:w="1194" w:type="dxa"/>
            <w:vAlign w:val="center"/>
          </w:tcPr>
          <w:p w:rsidR="009E631F" w:rsidRDefault="00990EC8">
            <w:pPr>
              <w:jc w:val="center"/>
            </w:pPr>
            <w:r>
              <w:rPr>
                <w:color w:val="000000"/>
                <w:sz w:val="24"/>
                <w:szCs w:val="24"/>
              </w:rPr>
              <w:t>59.36%</w:t>
            </w:r>
          </w:p>
        </w:tc>
        <w:tc>
          <w:tcPr>
            <w:tcW w:w="898" w:type="dxa"/>
            <w:vAlign w:val="center"/>
          </w:tcPr>
          <w:p w:rsidR="009E631F" w:rsidRDefault="00990EC8">
            <w:pPr>
              <w:jc w:val="center"/>
            </w:pPr>
            <w:r>
              <w:rPr>
                <w:color w:val="000000"/>
                <w:sz w:val="24"/>
                <w:szCs w:val="24"/>
              </w:rPr>
              <w:t>0.40%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交银施罗德核心资产混合型证券投资基金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18</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9E631F">
        <w:trPr>
          <w:jc w:val="center"/>
        </w:trPr>
        <w:tc>
          <w:tcPr>
            <w:tcW w:w="846" w:type="dxa"/>
            <w:vAlign w:val="center"/>
          </w:tcPr>
          <w:p w:rsidR="009E631F" w:rsidRDefault="00990EC8">
            <w:pPr>
              <w:jc w:val="center"/>
            </w:pPr>
            <w:r>
              <w:rPr>
                <w:color w:val="000000"/>
                <w:sz w:val="24"/>
                <w:szCs w:val="24"/>
              </w:rPr>
              <w:t>陈俊华</w:t>
            </w:r>
          </w:p>
        </w:tc>
        <w:tc>
          <w:tcPr>
            <w:tcW w:w="845" w:type="dxa"/>
            <w:vAlign w:val="center"/>
          </w:tcPr>
          <w:p w:rsidR="009E631F" w:rsidRDefault="00990EC8">
            <w:pPr>
              <w:jc w:val="center"/>
            </w:pPr>
            <w:r>
              <w:rPr>
                <w:color w:val="000000"/>
                <w:sz w:val="24"/>
                <w:szCs w:val="24"/>
              </w:rPr>
              <w:t>交银环球精选</w:t>
            </w:r>
            <w:r>
              <w:rPr>
                <w:color w:val="000000"/>
                <w:sz w:val="24"/>
                <w:szCs w:val="24"/>
              </w:rPr>
              <w:lastRenderedPageBreak/>
              <w:t>混合</w:t>
            </w:r>
            <w:r>
              <w:rPr>
                <w:color w:val="000000"/>
                <w:sz w:val="24"/>
                <w:szCs w:val="24"/>
              </w:rPr>
              <w:t>(QDII)</w:t>
            </w:r>
            <w:r>
              <w:rPr>
                <w:color w:val="000000"/>
                <w:sz w:val="24"/>
                <w:szCs w:val="24"/>
              </w:rPr>
              <w:t>、交银沪港深价值精选混合、交银核心资产混合的基金经理，公司跨境投资副总监</w:t>
            </w:r>
          </w:p>
        </w:tc>
        <w:tc>
          <w:tcPr>
            <w:tcW w:w="1549" w:type="dxa"/>
            <w:vAlign w:val="center"/>
          </w:tcPr>
          <w:p w:rsidR="009E631F" w:rsidRDefault="00990EC8">
            <w:pPr>
              <w:jc w:val="center"/>
            </w:pPr>
            <w:r>
              <w:rPr>
                <w:color w:val="000000"/>
                <w:sz w:val="24"/>
                <w:szCs w:val="24"/>
              </w:rPr>
              <w:lastRenderedPageBreak/>
              <w:t>2019-01-18</w:t>
            </w:r>
          </w:p>
        </w:tc>
        <w:tc>
          <w:tcPr>
            <w:tcW w:w="1548" w:type="dxa"/>
            <w:vAlign w:val="center"/>
          </w:tcPr>
          <w:p w:rsidR="009E631F" w:rsidRDefault="00990EC8">
            <w:pPr>
              <w:jc w:val="center"/>
            </w:pPr>
            <w:r>
              <w:rPr>
                <w:color w:val="000000"/>
                <w:sz w:val="24"/>
                <w:szCs w:val="24"/>
              </w:rPr>
              <w:t>-</w:t>
            </w:r>
          </w:p>
        </w:tc>
        <w:tc>
          <w:tcPr>
            <w:tcW w:w="1407" w:type="dxa"/>
            <w:vAlign w:val="center"/>
          </w:tcPr>
          <w:p w:rsidR="009E631F" w:rsidRDefault="00990EC8">
            <w:pPr>
              <w:jc w:val="center"/>
            </w:pPr>
            <w:r>
              <w:rPr>
                <w:color w:val="000000"/>
                <w:sz w:val="24"/>
                <w:szCs w:val="24"/>
              </w:rPr>
              <w:t>15</w:t>
            </w:r>
            <w:r>
              <w:rPr>
                <w:color w:val="000000"/>
                <w:sz w:val="24"/>
                <w:szCs w:val="24"/>
              </w:rPr>
              <w:t>年</w:t>
            </w:r>
          </w:p>
        </w:tc>
        <w:tc>
          <w:tcPr>
            <w:tcW w:w="2673" w:type="dxa"/>
            <w:vAlign w:val="center"/>
          </w:tcPr>
          <w:p w:rsidR="009E631F" w:rsidRDefault="00990EC8">
            <w:r>
              <w:rPr>
                <w:color w:val="000000"/>
                <w:sz w:val="24"/>
                <w:szCs w:val="24"/>
              </w:rPr>
              <w:t>陈俊华女士，中国国籍，上海交通大学金融学硕士。历任国泰君安证券</w:t>
            </w:r>
            <w:r>
              <w:rPr>
                <w:color w:val="000000"/>
                <w:sz w:val="24"/>
                <w:szCs w:val="24"/>
              </w:rPr>
              <w:lastRenderedPageBreak/>
              <w:t>研究部研究员、中国国际金融有限公司研究部公用事业组负责人。</w:t>
            </w:r>
            <w:r>
              <w:rPr>
                <w:color w:val="000000"/>
                <w:sz w:val="24"/>
                <w:szCs w:val="24"/>
              </w:rPr>
              <w:t>2015</w:t>
            </w:r>
            <w:r>
              <w:rPr>
                <w:color w:val="000000"/>
                <w:sz w:val="24"/>
                <w:szCs w:val="24"/>
              </w:rPr>
              <w:t>年加入交银施罗德基金管理有限公司。</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21</w:t>
            </w:r>
            <w:r>
              <w:rPr>
                <w:color w:val="000000"/>
                <w:sz w:val="24"/>
                <w:szCs w:val="24"/>
              </w:rPr>
              <w:t>日至</w:t>
            </w:r>
            <w:r>
              <w:rPr>
                <w:color w:val="000000"/>
                <w:sz w:val="24"/>
                <w:szCs w:val="24"/>
              </w:rPr>
              <w:t>2019</w:t>
            </w:r>
            <w:r>
              <w:rPr>
                <w:color w:val="000000"/>
                <w:sz w:val="24"/>
                <w:szCs w:val="24"/>
              </w:rPr>
              <w:t>年</w:t>
            </w:r>
            <w:r>
              <w:rPr>
                <w:color w:val="000000"/>
                <w:sz w:val="24"/>
                <w:szCs w:val="24"/>
              </w:rPr>
              <w:t>9</w:t>
            </w:r>
            <w:r>
              <w:rPr>
                <w:color w:val="000000"/>
                <w:sz w:val="24"/>
                <w:szCs w:val="24"/>
              </w:rPr>
              <w:t>月</w:t>
            </w:r>
            <w:r>
              <w:rPr>
                <w:color w:val="000000"/>
                <w:sz w:val="24"/>
                <w:szCs w:val="24"/>
              </w:rPr>
              <w:t>19</w:t>
            </w:r>
            <w:r>
              <w:rPr>
                <w:color w:val="000000"/>
                <w:sz w:val="24"/>
                <w:szCs w:val="24"/>
              </w:rPr>
              <w:t>日担任交银施罗德全球自然资源证券投资基金的基金经理。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9E631F" w:rsidRDefault="00990EC8">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本公司制定了严格的投资控制制度和公平交易监控制度来保证旗下基金运作的公平，旗下所管理的所有资产组合，包括证券投资基金和私募资产管理计划均严格遵循制度进行公平交易。</w:t>
      </w:r>
    </w:p>
    <w:p w:rsidR="009E631F" w:rsidRDefault="00990EC8">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价格优先、时间优先</w:t>
      </w:r>
      <w:r>
        <w:rPr>
          <w:color w:val="000000"/>
          <w:sz w:val="24"/>
          <w:szCs w:val="24"/>
        </w:rPr>
        <w:t>”</w:t>
      </w:r>
      <w:r>
        <w:rPr>
          <w:color w:val="000000"/>
          <w:sz w:val="24"/>
          <w:szCs w:val="24"/>
        </w:rPr>
        <w:t>的原则，全部通过交易系统进行比例分配；对于非集中竞价交易、以公司名义进行的场外交易，遵循公平交易分配原则对交易结果进行分配。</w:t>
      </w:r>
    </w:p>
    <w:p w:rsidR="009E631F" w:rsidRDefault="00990EC8">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w:t>
      </w:r>
      <w:r>
        <w:rPr>
          <w:color w:val="000000"/>
          <w:sz w:val="24"/>
          <w:szCs w:val="24"/>
        </w:rPr>
        <w:lastRenderedPageBreak/>
        <w:t>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9E631F" w:rsidRDefault="00990EC8">
      <w:pPr>
        <w:spacing w:before="29" w:line="288" w:lineRule="auto"/>
        <w:ind w:firstLineChars="200" w:firstLine="480"/>
        <w:rPr>
          <w:color w:val="000000"/>
          <w:sz w:val="24"/>
          <w:szCs w:val="24"/>
        </w:rPr>
      </w:pPr>
      <w:r>
        <w:rPr>
          <w:color w:val="000000"/>
          <w:sz w:val="24"/>
          <w:szCs w:val="24"/>
        </w:rPr>
        <w:t>2020</w:t>
      </w:r>
      <w:r>
        <w:rPr>
          <w:color w:val="000000"/>
          <w:sz w:val="24"/>
          <w:szCs w:val="24"/>
        </w:rPr>
        <w:t>年四季度，全球市场风险偏好提升：股票市场都呈现不同幅度上扬，海外市场涨幅好于国内市场；板块方面，国内外都表现出科技股涨幅强于传统产业。经济基本面方面：复苏成为投资者的一致预期，汽车、白酒等消费板块的龙头持续上涨。而被投资者认为代表未来的新能源车、光伏板块，则整个板块都股价表现优异。</w:t>
      </w:r>
    </w:p>
    <w:p w:rsidR="009E631F" w:rsidRDefault="00990EC8">
      <w:pPr>
        <w:spacing w:before="29" w:line="288" w:lineRule="auto"/>
        <w:ind w:firstLineChars="200" w:firstLine="480"/>
        <w:rPr>
          <w:color w:val="000000"/>
          <w:sz w:val="24"/>
          <w:szCs w:val="24"/>
        </w:rPr>
      </w:pPr>
      <w:r>
        <w:rPr>
          <w:color w:val="000000"/>
          <w:sz w:val="24"/>
          <w:szCs w:val="24"/>
        </w:rPr>
        <w:t>回顾整个四季度，我们维持中高仓位运行，减少了医药和软件板块持仓，增加了大众消费品仓位。主要源于：</w:t>
      </w:r>
      <w:r>
        <w:rPr>
          <w:color w:val="000000"/>
          <w:sz w:val="24"/>
          <w:szCs w:val="24"/>
        </w:rPr>
        <w:t>2021</w:t>
      </w:r>
      <w:r>
        <w:rPr>
          <w:color w:val="000000"/>
          <w:sz w:val="24"/>
          <w:szCs w:val="24"/>
        </w:rPr>
        <w:t>年，伴随经济复苏，我们预计大众消费、制造业会受益。全球产业比较，我们集中筛选了大众消费龙头和为制造业服务的配套企业。其中，部分领域龙头在港股上市，四季度，我们重仓港股标的增多。</w:t>
      </w:r>
    </w:p>
    <w:p w:rsidR="009E631F" w:rsidRDefault="00990EC8">
      <w:pPr>
        <w:spacing w:before="29" w:line="288" w:lineRule="auto"/>
        <w:ind w:firstLineChars="200" w:firstLine="480"/>
        <w:rPr>
          <w:color w:val="000000"/>
          <w:sz w:val="24"/>
          <w:szCs w:val="24"/>
        </w:rPr>
      </w:pPr>
      <w:r>
        <w:rPr>
          <w:color w:val="000000"/>
          <w:sz w:val="24"/>
          <w:szCs w:val="24"/>
        </w:rPr>
        <w:t>回顾我们</w:t>
      </w:r>
      <w:r>
        <w:rPr>
          <w:color w:val="000000"/>
          <w:sz w:val="24"/>
          <w:szCs w:val="24"/>
        </w:rPr>
        <w:t>2020</w:t>
      </w:r>
      <w:r>
        <w:rPr>
          <w:color w:val="000000"/>
          <w:sz w:val="24"/>
          <w:szCs w:val="24"/>
        </w:rPr>
        <w:t>年初的判断</w:t>
      </w:r>
      <w:r w:rsidR="008D570C">
        <w:rPr>
          <w:rFonts w:hint="eastAsia"/>
          <w:color w:val="000000"/>
          <w:sz w:val="24"/>
          <w:szCs w:val="24"/>
        </w:rPr>
        <w:t>：</w:t>
      </w:r>
      <w:r>
        <w:rPr>
          <w:color w:val="000000"/>
          <w:sz w:val="24"/>
          <w:szCs w:val="24"/>
        </w:rPr>
        <w:t>我们看好</w:t>
      </w:r>
      <w:r>
        <w:rPr>
          <w:color w:val="000000"/>
          <w:sz w:val="24"/>
          <w:szCs w:val="24"/>
        </w:rPr>
        <w:t>5G</w:t>
      </w:r>
      <w:r>
        <w:rPr>
          <w:color w:val="000000"/>
          <w:sz w:val="24"/>
          <w:szCs w:val="24"/>
        </w:rPr>
        <w:t>建设、消费服务升级需求，以及高端制造业市占率提升带来的投资机会。从基本面来看，趋势仍在，但受到疫情的影响，</w:t>
      </w:r>
      <w:r>
        <w:rPr>
          <w:color w:val="000000"/>
          <w:sz w:val="24"/>
          <w:szCs w:val="24"/>
        </w:rPr>
        <w:t>5G</w:t>
      </w:r>
      <w:r>
        <w:rPr>
          <w:color w:val="000000"/>
          <w:sz w:val="24"/>
          <w:szCs w:val="24"/>
        </w:rPr>
        <w:t>建设、消费服务升级都出现了不同程度的延后。疫情的发生，反而推动了高端制造领域龙头的成长，这超出我们之前的判断，投资者对于白酒、医药的偏好程度也超出我们的预期。</w:t>
      </w:r>
    </w:p>
    <w:p w:rsidR="009E631F" w:rsidRDefault="00990EC8">
      <w:pPr>
        <w:spacing w:before="29" w:line="288" w:lineRule="auto"/>
        <w:ind w:firstLineChars="200" w:firstLine="480"/>
        <w:rPr>
          <w:color w:val="000000"/>
          <w:sz w:val="24"/>
          <w:szCs w:val="24"/>
        </w:rPr>
      </w:pPr>
      <w:r>
        <w:rPr>
          <w:color w:val="000000"/>
          <w:sz w:val="24"/>
          <w:szCs w:val="24"/>
        </w:rPr>
        <w:t>展望</w:t>
      </w:r>
      <w:r>
        <w:rPr>
          <w:color w:val="000000"/>
          <w:sz w:val="24"/>
          <w:szCs w:val="24"/>
        </w:rPr>
        <w:t>2021</w:t>
      </w:r>
      <w:r>
        <w:rPr>
          <w:color w:val="000000"/>
          <w:sz w:val="24"/>
          <w:szCs w:val="24"/>
        </w:rPr>
        <w:t>年一季度，我们谨慎乐观：</w:t>
      </w:r>
    </w:p>
    <w:p w:rsidR="009E631F" w:rsidRDefault="00990EC8">
      <w:pPr>
        <w:spacing w:before="29" w:line="288" w:lineRule="auto"/>
        <w:ind w:firstLineChars="200" w:firstLine="480"/>
        <w:rPr>
          <w:color w:val="000000"/>
          <w:sz w:val="24"/>
          <w:szCs w:val="24"/>
        </w:rPr>
      </w:pPr>
      <w:r>
        <w:rPr>
          <w:color w:val="000000"/>
          <w:sz w:val="24"/>
          <w:szCs w:val="24"/>
        </w:rPr>
        <w:t>1</w:t>
      </w:r>
      <w:r>
        <w:rPr>
          <w:color w:val="000000"/>
          <w:sz w:val="24"/>
          <w:szCs w:val="24"/>
        </w:rPr>
        <w:t>）经济基本面：可能有波折，但复苏的大趋势预计不会改变，海外是否超预期值得关注。宏观预期的扰动，预计在</w:t>
      </w:r>
      <w:r>
        <w:rPr>
          <w:color w:val="000000"/>
          <w:sz w:val="24"/>
          <w:szCs w:val="24"/>
        </w:rPr>
        <w:t>2021</w:t>
      </w:r>
      <w:r>
        <w:rPr>
          <w:color w:val="000000"/>
          <w:sz w:val="24"/>
          <w:szCs w:val="24"/>
        </w:rPr>
        <w:t>年会多次出现。</w:t>
      </w:r>
    </w:p>
    <w:p w:rsidR="009E631F" w:rsidRDefault="00990EC8">
      <w:pPr>
        <w:spacing w:before="29" w:line="288" w:lineRule="auto"/>
        <w:ind w:firstLineChars="200" w:firstLine="480"/>
        <w:rPr>
          <w:color w:val="000000"/>
          <w:sz w:val="24"/>
          <w:szCs w:val="24"/>
        </w:rPr>
      </w:pPr>
      <w:r>
        <w:rPr>
          <w:color w:val="000000"/>
          <w:sz w:val="24"/>
          <w:szCs w:val="24"/>
        </w:rPr>
        <w:t>2</w:t>
      </w:r>
      <w:r>
        <w:rPr>
          <w:color w:val="000000"/>
          <w:sz w:val="24"/>
          <w:szCs w:val="24"/>
        </w:rPr>
        <w:t>）选股策略：我们将集中在消费服务领域和制造业领域筛选标的。在经济复苏的阶段，我们寻找那些能够给用户提供稳定服务的企业。伴随制造业的恢复，这类专注提供配套服务的企业将获取巨大盈利弹性。我们也密切关注具备全球竞争力的制造业龙头，经历疫情的洗礼，他们更具竞争优势。</w:t>
      </w:r>
    </w:p>
    <w:p w:rsidR="009E631F" w:rsidRDefault="00990EC8">
      <w:pPr>
        <w:spacing w:before="29" w:line="288" w:lineRule="auto"/>
        <w:ind w:firstLineChars="200" w:firstLine="480"/>
        <w:rPr>
          <w:color w:val="000000"/>
          <w:sz w:val="24"/>
          <w:szCs w:val="24"/>
        </w:rPr>
      </w:pPr>
      <w:r>
        <w:rPr>
          <w:color w:val="000000"/>
          <w:sz w:val="24"/>
          <w:szCs w:val="24"/>
        </w:rPr>
        <w:t>3</w:t>
      </w:r>
      <w:r>
        <w:rPr>
          <w:color w:val="000000"/>
          <w:sz w:val="24"/>
          <w:szCs w:val="24"/>
        </w:rPr>
        <w:t>）对比</w:t>
      </w:r>
      <w:r>
        <w:rPr>
          <w:color w:val="000000"/>
          <w:sz w:val="24"/>
          <w:szCs w:val="24"/>
        </w:rPr>
        <w:t>A</w:t>
      </w:r>
      <w:r>
        <w:rPr>
          <w:color w:val="000000"/>
          <w:sz w:val="24"/>
          <w:szCs w:val="24"/>
        </w:rPr>
        <w:t>股和港股：我们预计港股的新增标的会更多，一方面源自</w:t>
      </w:r>
      <w:r>
        <w:rPr>
          <w:color w:val="000000"/>
          <w:sz w:val="24"/>
          <w:szCs w:val="24"/>
        </w:rPr>
        <w:t>2020</w:t>
      </w:r>
      <w:r>
        <w:rPr>
          <w:color w:val="000000"/>
          <w:sz w:val="24"/>
          <w:szCs w:val="24"/>
        </w:rPr>
        <w:t>年多个消费、互联网企业在港股上市。另一方面，二次回归上市的中概股，有可能进入港股通，为我们提供更多的可选标的。</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2021</w:t>
      </w:r>
      <w:r w:rsidRPr="00414345">
        <w:rPr>
          <w:color w:val="000000"/>
          <w:sz w:val="24"/>
          <w:szCs w:val="24"/>
        </w:rPr>
        <w:t>年，必将有新的超预期的投资点会出现。我们首先要做的，是国际比较，选取我们特有的（稀缺性），真实需求在扩大（必需性）、商业化运行模式在形成（成长性）、</w:t>
      </w:r>
      <w:r w:rsidRPr="00414345">
        <w:rPr>
          <w:color w:val="000000"/>
          <w:sz w:val="24"/>
          <w:szCs w:val="24"/>
        </w:rPr>
        <w:lastRenderedPageBreak/>
        <w:t>企业竞争力在提升（性价比）的企业。积极布局，管理风险，努力为投资人赚取稳健回报。此外，我们会积极学习，拓展能力圈，更好地理解产业变迁的步伐，努力分享更多的优秀企业带来的投资收益。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84,512,505.74</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86.12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84,512,505.74</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86.12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13,200,394.80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13.45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421,569.99</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0.43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98,134,470.53</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B814DA" w:rsidP="00C15CAC">
      <w:pPr>
        <w:autoSpaceDE w:val="0"/>
        <w:autoSpaceDN w:val="0"/>
        <w:adjustRightInd w:val="0"/>
        <w:spacing w:before="29" w:line="288" w:lineRule="auto"/>
        <w:jc w:val="left"/>
        <w:rPr>
          <w:rFonts w:hint="eastAsia"/>
          <w:color w:val="000000"/>
          <w:sz w:val="24"/>
          <w:szCs w:val="24"/>
        </w:rPr>
      </w:pPr>
      <w:r>
        <w:rPr>
          <w:rFonts w:hint="eastAsia"/>
          <w:color w:val="000000"/>
          <w:sz w:val="24"/>
          <w:szCs w:val="24"/>
        </w:rPr>
        <w:lastRenderedPageBreak/>
        <w:t>注</w:t>
      </w:r>
      <w:r>
        <w:rPr>
          <w:color w:val="000000"/>
          <w:sz w:val="24"/>
          <w:szCs w:val="24"/>
        </w:rPr>
        <w:t>：</w:t>
      </w:r>
      <w:r w:rsidRPr="00B814DA">
        <w:rPr>
          <w:rFonts w:hint="eastAsia"/>
          <w:color w:val="000000"/>
          <w:sz w:val="24"/>
          <w:szCs w:val="24"/>
        </w:rPr>
        <w:t>本基金本报告期末通过港股通机制投资香港股票的公允价值为</w:t>
      </w:r>
      <w:r w:rsidRPr="00B814DA">
        <w:rPr>
          <w:rFonts w:hint="eastAsia"/>
          <w:color w:val="000000"/>
          <w:sz w:val="24"/>
          <w:szCs w:val="24"/>
        </w:rPr>
        <w:t>27,844,935.60</w:t>
      </w:r>
      <w:r w:rsidRPr="00B814DA">
        <w:rPr>
          <w:rFonts w:hint="eastAsia"/>
          <w:color w:val="000000"/>
          <w:sz w:val="24"/>
          <w:szCs w:val="24"/>
        </w:rPr>
        <w:t>元，占基金资产净值比例为</w:t>
      </w:r>
      <w:r w:rsidRPr="00B814DA">
        <w:rPr>
          <w:rFonts w:hint="eastAsia"/>
          <w:color w:val="000000"/>
          <w:sz w:val="24"/>
          <w:szCs w:val="24"/>
        </w:rPr>
        <w:t>29.02%</w:t>
      </w:r>
      <w:r>
        <w:rPr>
          <w:rFonts w:hint="eastAsia"/>
          <w:color w:val="000000"/>
          <w:sz w:val="24"/>
          <w:szCs w:val="24"/>
        </w:rPr>
        <w:t>。</w:t>
      </w:r>
      <w:bookmarkStart w:id="0" w:name="_GoBack"/>
      <w:bookmarkEnd w:id="0"/>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40,218,853.90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41.92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2,124,800.00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6,500,000.00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3,141,716.24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3,232,200.00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1,450,000.00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56,667,570.14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59.07</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行业类别</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公允价值（人民币）</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rsidR="009E631F">
        <w:trPr>
          <w:jc w:val="center"/>
        </w:trPr>
        <w:tc>
          <w:tcPr>
            <w:tcW w:w="2397" w:type="dxa"/>
            <w:vAlign w:val="center"/>
          </w:tcPr>
          <w:p w:rsidR="009E631F" w:rsidRDefault="00990EC8">
            <w:pPr>
              <w:jc w:val="center"/>
            </w:pPr>
            <w:r>
              <w:rPr>
                <w:color w:val="000000"/>
                <w:sz w:val="24"/>
              </w:rPr>
              <w:t>非日常生活消费品</w:t>
            </w:r>
          </w:p>
        </w:tc>
        <w:tc>
          <w:tcPr>
            <w:tcW w:w="3119" w:type="dxa"/>
            <w:vAlign w:val="center"/>
          </w:tcPr>
          <w:p w:rsidR="009E631F" w:rsidRDefault="00990EC8">
            <w:pPr>
              <w:jc w:val="center"/>
            </w:pPr>
            <w:r>
              <w:rPr>
                <w:color w:val="000000"/>
                <w:sz w:val="24"/>
              </w:rPr>
              <w:t>8,827,322.32</w:t>
            </w:r>
          </w:p>
        </w:tc>
        <w:tc>
          <w:tcPr>
            <w:tcW w:w="3118" w:type="dxa"/>
            <w:vAlign w:val="center"/>
          </w:tcPr>
          <w:p w:rsidR="009E631F" w:rsidRDefault="00990EC8">
            <w:pPr>
              <w:jc w:val="center"/>
            </w:pPr>
            <w:r>
              <w:rPr>
                <w:color w:val="000000"/>
                <w:sz w:val="24"/>
              </w:rPr>
              <w:t>9.20</w:t>
            </w:r>
          </w:p>
        </w:tc>
      </w:tr>
      <w:tr w:rsidR="009E631F">
        <w:trPr>
          <w:jc w:val="center"/>
        </w:trPr>
        <w:tc>
          <w:tcPr>
            <w:tcW w:w="2397" w:type="dxa"/>
            <w:vAlign w:val="center"/>
          </w:tcPr>
          <w:p w:rsidR="009E631F" w:rsidRDefault="00990EC8">
            <w:pPr>
              <w:jc w:val="center"/>
            </w:pPr>
            <w:r>
              <w:rPr>
                <w:color w:val="000000"/>
                <w:sz w:val="24"/>
              </w:rPr>
              <w:t>工业</w:t>
            </w:r>
          </w:p>
        </w:tc>
        <w:tc>
          <w:tcPr>
            <w:tcW w:w="3119" w:type="dxa"/>
            <w:vAlign w:val="center"/>
          </w:tcPr>
          <w:p w:rsidR="009E631F" w:rsidRDefault="00990EC8">
            <w:pPr>
              <w:jc w:val="center"/>
            </w:pPr>
            <w:r>
              <w:rPr>
                <w:color w:val="000000"/>
                <w:sz w:val="24"/>
              </w:rPr>
              <w:t>5,635,621.44</w:t>
            </w:r>
          </w:p>
        </w:tc>
        <w:tc>
          <w:tcPr>
            <w:tcW w:w="3118" w:type="dxa"/>
            <w:vAlign w:val="center"/>
          </w:tcPr>
          <w:p w:rsidR="009E631F" w:rsidRDefault="00990EC8">
            <w:pPr>
              <w:jc w:val="center"/>
            </w:pPr>
            <w:r>
              <w:rPr>
                <w:color w:val="000000"/>
                <w:sz w:val="24"/>
              </w:rPr>
              <w:t>5.87</w:t>
            </w:r>
          </w:p>
        </w:tc>
      </w:tr>
      <w:tr w:rsidR="009E631F">
        <w:trPr>
          <w:jc w:val="center"/>
        </w:trPr>
        <w:tc>
          <w:tcPr>
            <w:tcW w:w="2397" w:type="dxa"/>
            <w:vAlign w:val="center"/>
          </w:tcPr>
          <w:p w:rsidR="009E631F" w:rsidRDefault="00990EC8">
            <w:pPr>
              <w:jc w:val="center"/>
            </w:pPr>
            <w:r>
              <w:rPr>
                <w:color w:val="000000"/>
                <w:sz w:val="24"/>
              </w:rPr>
              <w:lastRenderedPageBreak/>
              <w:t>日常消费品</w:t>
            </w:r>
          </w:p>
        </w:tc>
        <w:tc>
          <w:tcPr>
            <w:tcW w:w="3119" w:type="dxa"/>
            <w:vAlign w:val="center"/>
          </w:tcPr>
          <w:p w:rsidR="009E631F" w:rsidRDefault="00990EC8">
            <w:pPr>
              <w:jc w:val="center"/>
            </w:pPr>
            <w:r>
              <w:rPr>
                <w:color w:val="000000"/>
                <w:sz w:val="24"/>
              </w:rPr>
              <w:t>1,969,437.60</w:t>
            </w:r>
          </w:p>
        </w:tc>
        <w:tc>
          <w:tcPr>
            <w:tcW w:w="3118" w:type="dxa"/>
            <w:vAlign w:val="center"/>
          </w:tcPr>
          <w:p w:rsidR="009E631F" w:rsidRDefault="00990EC8">
            <w:pPr>
              <w:jc w:val="center"/>
            </w:pPr>
            <w:r>
              <w:rPr>
                <w:color w:val="000000"/>
                <w:sz w:val="24"/>
              </w:rPr>
              <w:t>2.05</w:t>
            </w:r>
          </w:p>
        </w:tc>
      </w:tr>
      <w:tr w:rsidR="009E631F">
        <w:trPr>
          <w:jc w:val="center"/>
        </w:trPr>
        <w:tc>
          <w:tcPr>
            <w:tcW w:w="2397" w:type="dxa"/>
            <w:vAlign w:val="center"/>
          </w:tcPr>
          <w:p w:rsidR="009E631F" w:rsidRDefault="00990EC8">
            <w:pPr>
              <w:jc w:val="center"/>
            </w:pPr>
            <w:r>
              <w:rPr>
                <w:color w:val="000000"/>
                <w:sz w:val="24"/>
              </w:rPr>
              <w:t>通讯服务</w:t>
            </w:r>
          </w:p>
        </w:tc>
        <w:tc>
          <w:tcPr>
            <w:tcW w:w="3119" w:type="dxa"/>
            <w:vAlign w:val="center"/>
          </w:tcPr>
          <w:p w:rsidR="009E631F" w:rsidRDefault="00990EC8">
            <w:pPr>
              <w:jc w:val="center"/>
            </w:pPr>
            <w:r>
              <w:rPr>
                <w:color w:val="000000"/>
                <w:sz w:val="24"/>
              </w:rPr>
              <w:t>5,696,219.52</w:t>
            </w:r>
          </w:p>
        </w:tc>
        <w:tc>
          <w:tcPr>
            <w:tcW w:w="3118" w:type="dxa"/>
            <w:vAlign w:val="center"/>
          </w:tcPr>
          <w:p w:rsidR="009E631F" w:rsidRDefault="00990EC8">
            <w:pPr>
              <w:jc w:val="center"/>
            </w:pPr>
            <w:r>
              <w:rPr>
                <w:color w:val="000000"/>
                <w:sz w:val="24"/>
              </w:rPr>
              <w:t>5.94</w:t>
            </w:r>
          </w:p>
        </w:tc>
      </w:tr>
      <w:tr w:rsidR="009E631F">
        <w:trPr>
          <w:jc w:val="center"/>
        </w:trPr>
        <w:tc>
          <w:tcPr>
            <w:tcW w:w="2397" w:type="dxa"/>
            <w:vAlign w:val="center"/>
          </w:tcPr>
          <w:p w:rsidR="009E631F" w:rsidRDefault="00990EC8">
            <w:pPr>
              <w:jc w:val="center"/>
            </w:pPr>
            <w:r>
              <w:rPr>
                <w:color w:val="000000"/>
                <w:sz w:val="24"/>
              </w:rPr>
              <w:t>信息技术</w:t>
            </w:r>
          </w:p>
        </w:tc>
        <w:tc>
          <w:tcPr>
            <w:tcW w:w="3119" w:type="dxa"/>
            <w:vAlign w:val="center"/>
          </w:tcPr>
          <w:p w:rsidR="009E631F" w:rsidRDefault="00990EC8">
            <w:pPr>
              <w:jc w:val="center"/>
            </w:pPr>
            <w:r>
              <w:rPr>
                <w:color w:val="000000"/>
                <w:sz w:val="24"/>
              </w:rPr>
              <w:t>5,716,334.72</w:t>
            </w:r>
          </w:p>
        </w:tc>
        <w:tc>
          <w:tcPr>
            <w:tcW w:w="3118" w:type="dxa"/>
            <w:vAlign w:val="center"/>
          </w:tcPr>
          <w:p w:rsidR="009E631F" w:rsidRDefault="00990EC8">
            <w:pPr>
              <w:jc w:val="center"/>
            </w:pPr>
            <w:r>
              <w:rPr>
                <w:color w:val="000000"/>
                <w:sz w:val="24"/>
              </w:rPr>
              <w:t>5.96</w:t>
            </w:r>
          </w:p>
        </w:tc>
      </w:tr>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合计</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27,844,935.60</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29.02</w:t>
            </w:r>
          </w:p>
        </w:tc>
      </w:tr>
    </w:tbl>
    <w:p w:rsidR="00F51C4E" w:rsidRDefault="00F51C4E" w:rsidP="00F51C4E">
      <w:pPr>
        <w:spacing w:before="29" w:line="360" w:lineRule="auto"/>
        <w:ind w:left="17"/>
        <w:rPr>
          <w:color w:val="000000"/>
          <w:sz w:val="24"/>
        </w:rPr>
      </w:pPr>
      <w:r w:rsidRPr="00FF0BBF">
        <w:rPr>
          <w:color w:val="000000"/>
          <w:sz w:val="24"/>
        </w:rPr>
        <w:t>注：以上分类采用全球行业分类标准（</w:t>
      </w:r>
      <w:r w:rsidRPr="00FF0BBF">
        <w:rPr>
          <w:color w:val="000000"/>
          <w:sz w:val="24"/>
        </w:rPr>
        <w:t>GICS</w:t>
      </w:r>
      <w:r w:rsidRPr="00FF0BBF">
        <w:rPr>
          <w:color w:val="000000"/>
          <w:sz w:val="24"/>
        </w:rPr>
        <w:t>）。</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9E631F">
        <w:trPr>
          <w:jc w:val="center"/>
        </w:trPr>
        <w:tc>
          <w:tcPr>
            <w:tcW w:w="855" w:type="dxa"/>
            <w:vAlign w:val="center"/>
          </w:tcPr>
          <w:p w:rsidR="009E631F" w:rsidRDefault="00990EC8">
            <w:pPr>
              <w:jc w:val="center"/>
            </w:pPr>
            <w:r>
              <w:rPr>
                <w:color w:val="000000"/>
                <w:sz w:val="24"/>
                <w:szCs w:val="24"/>
              </w:rPr>
              <w:t>1</w:t>
            </w:r>
          </w:p>
        </w:tc>
        <w:tc>
          <w:tcPr>
            <w:tcW w:w="1334" w:type="dxa"/>
            <w:vAlign w:val="center"/>
          </w:tcPr>
          <w:p w:rsidR="009E631F" w:rsidRDefault="00990EC8">
            <w:pPr>
              <w:jc w:val="center"/>
            </w:pPr>
            <w:r>
              <w:rPr>
                <w:color w:val="000000"/>
                <w:sz w:val="24"/>
                <w:szCs w:val="24"/>
              </w:rPr>
              <w:t>600519</w:t>
            </w:r>
          </w:p>
        </w:tc>
        <w:tc>
          <w:tcPr>
            <w:tcW w:w="1777" w:type="dxa"/>
            <w:vAlign w:val="center"/>
          </w:tcPr>
          <w:p w:rsidR="009E631F" w:rsidRDefault="00990EC8">
            <w:pPr>
              <w:jc w:val="center"/>
            </w:pPr>
            <w:r>
              <w:rPr>
                <w:color w:val="000000"/>
                <w:sz w:val="24"/>
                <w:szCs w:val="24"/>
              </w:rPr>
              <w:t>贵州茅台</w:t>
            </w:r>
          </w:p>
        </w:tc>
        <w:tc>
          <w:tcPr>
            <w:tcW w:w="1334" w:type="dxa"/>
            <w:vAlign w:val="center"/>
          </w:tcPr>
          <w:p w:rsidR="009E631F" w:rsidRDefault="00990EC8">
            <w:pPr>
              <w:jc w:val="right"/>
            </w:pPr>
            <w:r>
              <w:rPr>
                <w:color w:val="000000"/>
                <w:sz w:val="24"/>
                <w:szCs w:val="24"/>
              </w:rPr>
              <w:t>3,000</w:t>
            </w:r>
          </w:p>
        </w:tc>
        <w:tc>
          <w:tcPr>
            <w:tcW w:w="1924" w:type="dxa"/>
            <w:vAlign w:val="center"/>
          </w:tcPr>
          <w:p w:rsidR="009E631F" w:rsidRDefault="00990EC8">
            <w:pPr>
              <w:jc w:val="right"/>
            </w:pPr>
            <w:r>
              <w:rPr>
                <w:color w:val="000000"/>
                <w:sz w:val="24"/>
                <w:szCs w:val="24"/>
              </w:rPr>
              <w:t>5,994,000.00</w:t>
            </w:r>
          </w:p>
        </w:tc>
        <w:tc>
          <w:tcPr>
            <w:tcW w:w="1644" w:type="dxa"/>
            <w:vAlign w:val="center"/>
          </w:tcPr>
          <w:p w:rsidR="009E631F" w:rsidRDefault="00990EC8">
            <w:pPr>
              <w:jc w:val="right"/>
            </w:pPr>
            <w:r>
              <w:rPr>
                <w:color w:val="000000"/>
                <w:sz w:val="24"/>
                <w:szCs w:val="24"/>
              </w:rPr>
              <w:t>6.25</w:t>
            </w:r>
          </w:p>
        </w:tc>
      </w:tr>
      <w:tr w:rsidR="009E631F">
        <w:trPr>
          <w:jc w:val="center"/>
        </w:trPr>
        <w:tc>
          <w:tcPr>
            <w:tcW w:w="855" w:type="dxa"/>
            <w:vAlign w:val="center"/>
          </w:tcPr>
          <w:p w:rsidR="009E631F" w:rsidRDefault="00990EC8">
            <w:pPr>
              <w:jc w:val="center"/>
            </w:pPr>
            <w:r>
              <w:rPr>
                <w:color w:val="000000"/>
                <w:sz w:val="24"/>
                <w:szCs w:val="24"/>
              </w:rPr>
              <w:t>2</w:t>
            </w:r>
          </w:p>
        </w:tc>
        <w:tc>
          <w:tcPr>
            <w:tcW w:w="1334" w:type="dxa"/>
            <w:vAlign w:val="center"/>
          </w:tcPr>
          <w:p w:rsidR="009E631F" w:rsidRDefault="00990EC8">
            <w:pPr>
              <w:jc w:val="center"/>
            </w:pPr>
            <w:r>
              <w:rPr>
                <w:color w:val="000000"/>
                <w:sz w:val="24"/>
                <w:szCs w:val="24"/>
              </w:rPr>
              <w:t>002304</w:t>
            </w:r>
          </w:p>
        </w:tc>
        <w:tc>
          <w:tcPr>
            <w:tcW w:w="1777" w:type="dxa"/>
            <w:vAlign w:val="center"/>
          </w:tcPr>
          <w:p w:rsidR="009E631F" w:rsidRDefault="00990EC8">
            <w:pPr>
              <w:jc w:val="center"/>
            </w:pPr>
            <w:r>
              <w:rPr>
                <w:color w:val="000000"/>
                <w:sz w:val="24"/>
                <w:szCs w:val="24"/>
              </w:rPr>
              <w:t>洋河股份</w:t>
            </w:r>
          </w:p>
        </w:tc>
        <w:tc>
          <w:tcPr>
            <w:tcW w:w="1334" w:type="dxa"/>
            <w:vAlign w:val="center"/>
          </w:tcPr>
          <w:p w:rsidR="009E631F" w:rsidRDefault="00990EC8">
            <w:pPr>
              <w:jc w:val="right"/>
            </w:pPr>
            <w:r>
              <w:rPr>
                <w:color w:val="000000"/>
                <w:sz w:val="24"/>
                <w:szCs w:val="24"/>
              </w:rPr>
              <w:t>25,000</w:t>
            </w:r>
          </w:p>
        </w:tc>
        <w:tc>
          <w:tcPr>
            <w:tcW w:w="1924" w:type="dxa"/>
            <w:vAlign w:val="center"/>
          </w:tcPr>
          <w:p w:rsidR="009E631F" w:rsidRDefault="00990EC8">
            <w:pPr>
              <w:jc w:val="right"/>
            </w:pPr>
            <w:r>
              <w:rPr>
                <w:color w:val="000000"/>
                <w:sz w:val="24"/>
                <w:szCs w:val="24"/>
              </w:rPr>
              <w:t>5,899,750.00</w:t>
            </w:r>
          </w:p>
        </w:tc>
        <w:tc>
          <w:tcPr>
            <w:tcW w:w="1644" w:type="dxa"/>
            <w:vAlign w:val="center"/>
          </w:tcPr>
          <w:p w:rsidR="009E631F" w:rsidRDefault="00990EC8">
            <w:pPr>
              <w:jc w:val="right"/>
            </w:pPr>
            <w:r>
              <w:rPr>
                <w:color w:val="000000"/>
                <w:sz w:val="24"/>
                <w:szCs w:val="24"/>
              </w:rPr>
              <w:t>6.15</w:t>
            </w:r>
          </w:p>
        </w:tc>
      </w:tr>
      <w:tr w:rsidR="009E631F">
        <w:trPr>
          <w:jc w:val="center"/>
        </w:trPr>
        <w:tc>
          <w:tcPr>
            <w:tcW w:w="855" w:type="dxa"/>
            <w:vAlign w:val="center"/>
          </w:tcPr>
          <w:p w:rsidR="009E631F" w:rsidRDefault="00990EC8">
            <w:pPr>
              <w:jc w:val="center"/>
            </w:pPr>
            <w:r>
              <w:rPr>
                <w:color w:val="000000"/>
                <w:sz w:val="24"/>
                <w:szCs w:val="24"/>
              </w:rPr>
              <w:t>3</w:t>
            </w:r>
          </w:p>
        </w:tc>
        <w:tc>
          <w:tcPr>
            <w:tcW w:w="1334" w:type="dxa"/>
            <w:vAlign w:val="center"/>
          </w:tcPr>
          <w:p w:rsidR="009E631F" w:rsidRDefault="00990EC8">
            <w:pPr>
              <w:jc w:val="center"/>
            </w:pPr>
            <w:r>
              <w:rPr>
                <w:color w:val="000000"/>
                <w:sz w:val="24"/>
                <w:szCs w:val="24"/>
              </w:rPr>
              <w:t>00700.HK</w:t>
            </w:r>
          </w:p>
        </w:tc>
        <w:tc>
          <w:tcPr>
            <w:tcW w:w="1777" w:type="dxa"/>
            <w:vAlign w:val="center"/>
          </w:tcPr>
          <w:p w:rsidR="009E631F" w:rsidRDefault="00990EC8">
            <w:pPr>
              <w:jc w:val="center"/>
            </w:pPr>
            <w:r>
              <w:rPr>
                <w:color w:val="000000"/>
                <w:sz w:val="24"/>
                <w:szCs w:val="24"/>
              </w:rPr>
              <w:t>腾讯控股</w:t>
            </w:r>
          </w:p>
        </w:tc>
        <w:tc>
          <w:tcPr>
            <w:tcW w:w="1334" w:type="dxa"/>
            <w:vAlign w:val="center"/>
          </w:tcPr>
          <w:p w:rsidR="009E631F" w:rsidRDefault="00990EC8">
            <w:pPr>
              <w:jc w:val="right"/>
            </w:pPr>
            <w:r>
              <w:rPr>
                <w:color w:val="000000"/>
                <w:sz w:val="24"/>
                <w:szCs w:val="24"/>
              </w:rPr>
              <w:t>12,000</w:t>
            </w:r>
          </w:p>
        </w:tc>
        <w:tc>
          <w:tcPr>
            <w:tcW w:w="1924" w:type="dxa"/>
            <w:vAlign w:val="center"/>
          </w:tcPr>
          <w:p w:rsidR="009E631F" w:rsidRDefault="00990EC8">
            <w:pPr>
              <w:jc w:val="right"/>
            </w:pPr>
            <w:r>
              <w:rPr>
                <w:color w:val="000000"/>
                <w:sz w:val="24"/>
                <w:szCs w:val="24"/>
              </w:rPr>
              <w:t>5,696,219.52</w:t>
            </w:r>
          </w:p>
        </w:tc>
        <w:tc>
          <w:tcPr>
            <w:tcW w:w="1644" w:type="dxa"/>
            <w:vAlign w:val="center"/>
          </w:tcPr>
          <w:p w:rsidR="009E631F" w:rsidRDefault="00990EC8">
            <w:pPr>
              <w:jc w:val="right"/>
            </w:pPr>
            <w:r>
              <w:rPr>
                <w:color w:val="000000"/>
                <w:sz w:val="24"/>
                <w:szCs w:val="24"/>
              </w:rPr>
              <w:t>5.94</w:t>
            </w:r>
          </w:p>
        </w:tc>
      </w:tr>
      <w:tr w:rsidR="009E631F">
        <w:trPr>
          <w:jc w:val="center"/>
        </w:trPr>
        <w:tc>
          <w:tcPr>
            <w:tcW w:w="855" w:type="dxa"/>
            <w:vAlign w:val="center"/>
          </w:tcPr>
          <w:p w:rsidR="009E631F" w:rsidRDefault="00990EC8">
            <w:pPr>
              <w:jc w:val="center"/>
            </w:pPr>
            <w:r>
              <w:rPr>
                <w:color w:val="000000"/>
                <w:sz w:val="24"/>
                <w:szCs w:val="24"/>
              </w:rPr>
              <w:t>4</w:t>
            </w:r>
          </w:p>
        </w:tc>
        <w:tc>
          <w:tcPr>
            <w:tcW w:w="1334" w:type="dxa"/>
            <w:vAlign w:val="center"/>
          </w:tcPr>
          <w:p w:rsidR="009E631F" w:rsidRDefault="00990EC8">
            <w:pPr>
              <w:jc w:val="center"/>
            </w:pPr>
            <w:r>
              <w:rPr>
                <w:color w:val="000000"/>
                <w:sz w:val="24"/>
                <w:szCs w:val="24"/>
              </w:rPr>
              <w:t>01308.HK</w:t>
            </w:r>
          </w:p>
        </w:tc>
        <w:tc>
          <w:tcPr>
            <w:tcW w:w="1777" w:type="dxa"/>
            <w:vAlign w:val="center"/>
          </w:tcPr>
          <w:p w:rsidR="009E631F" w:rsidRDefault="00990EC8">
            <w:pPr>
              <w:jc w:val="center"/>
            </w:pPr>
            <w:r>
              <w:rPr>
                <w:color w:val="000000"/>
                <w:sz w:val="24"/>
                <w:szCs w:val="24"/>
              </w:rPr>
              <w:t>海丰国际</w:t>
            </w:r>
          </w:p>
        </w:tc>
        <w:tc>
          <w:tcPr>
            <w:tcW w:w="1334" w:type="dxa"/>
            <w:vAlign w:val="center"/>
          </w:tcPr>
          <w:p w:rsidR="009E631F" w:rsidRDefault="00990EC8">
            <w:pPr>
              <w:jc w:val="right"/>
            </w:pPr>
            <w:r>
              <w:rPr>
                <w:color w:val="000000"/>
                <w:sz w:val="24"/>
                <w:szCs w:val="24"/>
              </w:rPr>
              <w:t>400,000</w:t>
            </w:r>
          </w:p>
        </w:tc>
        <w:tc>
          <w:tcPr>
            <w:tcW w:w="1924" w:type="dxa"/>
            <w:vAlign w:val="center"/>
          </w:tcPr>
          <w:p w:rsidR="009E631F" w:rsidRDefault="00990EC8">
            <w:pPr>
              <w:jc w:val="right"/>
            </w:pPr>
            <w:r>
              <w:rPr>
                <w:color w:val="000000"/>
                <w:sz w:val="24"/>
                <w:szCs w:val="24"/>
              </w:rPr>
              <w:t>5,635,621.44</w:t>
            </w:r>
          </w:p>
        </w:tc>
        <w:tc>
          <w:tcPr>
            <w:tcW w:w="1644" w:type="dxa"/>
            <w:vAlign w:val="center"/>
          </w:tcPr>
          <w:p w:rsidR="009E631F" w:rsidRDefault="00990EC8">
            <w:pPr>
              <w:jc w:val="right"/>
            </w:pPr>
            <w:r>
              <w:rPr>
                <w:color w:val="000000"/>
                <w:sz w:val="24"/>
                <w:szCs w:val="24"/>
              </w:rPr>
              <w:t>5.87</w:t>
            </w:r>
          </w:p>
        </w:tc>
      </w:tr>
      <w:tr w:rsidR="009E631F">
        <w:trPr>
          <w:jc w:val="center"/>
        </w:trPr>
        <w:tc>
          <w:tcPr>
            <w:tcW w:w="855" w:type="dxa"/>
            <w:vAlign w:val="center"/>
          </w:tcPr>
          <w:p w:rsidR="009E631F" w:rsidRDefault="00990EC8">
            <w:pPr>
              <w:jc w:val="center"/>
            </w:pPr>
            <w:r>
              <w:rPr>
                <w:color w:val="000000"/>
                <w:sz w:val="24"/>
                <w:szCs w:val="24"/>
              </w:rPr>
              <w:t>5</w:t>
            </w:r>
          </w:p>
        </w:tc>
        <w:tc>
          <w:tcPr>
            <w:tcW w:w="1334" w:type="dxa"/>
            <w:vAlign w:val="center"/>
          </w:tcPr>
          <w:p w:rsidR="009E631F" w:rsidRDefault="00990EC8">
            <w:pPr>
              <w:jc w:val="center"/>
            </w:pPr>
            <w:r>
              <w:rPr>
                <w:color w:val="000000"/>
                <w:sz w:val="24"/>
                <w:szCs w:val="24"/>
              </w:rPr>
              <w:t>002475</w:t>
            </w:r>
          </w:p>
        </w:tc>
        <w:tc>
          <w:tcPr>
            <w:tcW w:w="1777" w:type="dxa"/>
            <w:vAlign w:val="center"/>
          </w:tcPr>
          <w:p w:rsidR="009E631F" w:rsidRDefault="00990EC8">
            <w:pPr>
              <w:jc w:val="center"/>
            </w:pPr>
            <w:r>
              <w:rPr>
                <w:color w:val="000000"/>
                <w:sz w:val="24"/>
                <w:szCs w:val="24"/>
              </w:rPr>
              <w:t>立讯精密</w:t>
            </w:r>
          </w:p>
        </w:tc>
        <w:tc>
          <w:tcPr>
            <w:tcW w:w="1334" w:type="dxa"/>
            <w:vAlign w:val="center"/>
          </w:tcPr>
          <w:p w:rsidR="009E631F" w:rsidRDefault="00990EC8">
            <w:pPr>
              <w:jc w:val="right"/>
            </w:pPr>
            <w:r>
              <w:rPr>
                <w:color w:val="000000"/>
                <w:sz w:val="24"/>
                <w:szCs w:val="24"/>
              </w:rPr>
              <w:t>77,998</w:t>
            </w:r>
          </w:p>
        </w:tc>
        <w:tc>
          <w:tcPr>
            <w:tcW w:w="1924" w:type="dxa"/>
            <w:vAlign w:val="center"/>
          </w:tcPr>
          <w:p w:rsidR="009E631F" w:rsidRDefault="00990EC8">
            <w:pPr>
              <w:jc w:val="right"/>
            </w:pPr>
            <w:r>
              <w:rPr>
                <w:color w:val="000000"/>
                <w:sz w:val="24"/>
                <w:szCs w:val="24"/>
              </w:rPr>
              <w:t>4,377,247.76</w:t>
            </w:r>
          </w:p>
        </w:tc>
        <w:tc>
          <w:tcPr>
            <w:tcW w:w="1644" w:type="dxa"/>
            <w:vAlign w:val="center"/>
          </w:tcPr>
          <w:p w:rsidR="009E631F" w:rsidRDefault="00990EC8">
            <w:pPr>
              <w:jc w:val="right"/>
            </w:pPr>
            <w:r>
              <w:rPr>
                <w:color w:val="000000"/>
                <w:sz w:val="24"/>
                <w:szCs w:val="24"/>
              </w:rPr>
              <w:t>4.56</w:t>
            </w:r>
          </w:p>
        </w:tc>
      </w:tr>
      <w:tr w:rsidR="009E631F">
        <w:trPr>
          <w:jc w:val="center"/>
        </w:trPr>
        <w:tc>
          <w:tcPr>
            <w:tcW w:w="855" w:type="dxa"/>
            <w:vAlign w:val="center"/>
          </w:tcPr>
          <w:p w:rsidR="009E631F" w:rsidRDefault="00990EC8">
            <w:pPr>
              <w:jc w:val="center"/>
            </w:pPr>
            <w:r>
              <w:rPr>
                <w:color w:val="000000"/>
                <w:sz w:val="24"/>
                <w:szCs w:val="24"/>
              </w:rPr>
              <w:t>6</w:t>
            </w:r>
          </w:p>
        </w:tc>
        <w:tc>
          <w:tcPr>
            <w:tcW w:w="1334" w:type="dxa"/>
            <w:vAlign w:val="center"/>
          </w:tcPr>
          <w:p w:rsidR="009E631F" w:rsidRDefault="00990EC8">
            <w:pPr>
              <w:jc w:val="center"/>
            </w:pPr>
            <w:r>
              <w:rPr>
                <w:color w:val="000000"/>
                <w:sz w:val="24"/>
                <w:szCs w:val="24"/>
              </w:rPr>
              <w:t>01585.HK</w:t>
            </w:r>
          </w:p>
        </w:tc>
        <w:tc>
          <w:tcPr>
            <w:tcW w:w="1777" w:type="dxa"/>
            <w:vAlign w:val="center"/>
          </w:tcPr>
          <w:p w:rsidR="009E631F" w:rsidRDefault="00990EC8">
            <w:pPr>
              <w:jc w:val="center"/>
            </w:pPr>
            <w:r>
              <w:rPr>
                <w:color w:val="000000"/>
                <w:sz w:val="24"/>
                <w:szCs w:val="24"/>
              </w:rPr>
              <w:t>雅迪控股</w:t>
            </w:r>
          </w:p>
        </w:tc>
        <w:tc>
          <w:tcPr>
            <w:tcW w:w="1334" w:type="dxa"/>
            <w:vAlign w:val="center"/>
          </w:tcPr>
          <w:p w:rsidR="009E631F" w:rsidRDefault="00990EC8">
            <w:pPr>
              <w:jc w:val="right"/>
            </w:pPr>
            <w:r>
              <w:rPr>
                <w:color w:val="000000"/>
                <w:sz w:val="24"/>
                <w:szCs w:val="24"/>
              </w:rPr>
              <w:t>300,000</w:t>
            </w:r>
          </w:p>
        </w:tc>
        <w:tc>
          <w:tcPr>
            <w:tcW w:w="1924" w:type="dxa"/>
            <w:vAlign w:val="center"/>
          </w:tcPr>
          <w:p w:rsidR="009E631F" w:rsidRDefault="00990EC8">
            <w:pPr>
              <w:jc w:val="right"/>
            </w:pPr>
            <w:r>
              <w:rPr>
                <w:color w:val="000000"/>
                <w:sz w:val="24"/>
                <w:szCs w:val="24"/>
              </w:rPr>
              <w:t>4,044,921.84</w:t>
            </w:r>
          </w:p>
        </w:tc>
        <w:tc>
          <w:tcPr>
            <w:tcW w:w="1644" w:type="dxa"/>
            <w:vAlign w:val="center"/>
          </w:tcPr>
          <w:p w:rsidR="009E631F" w:rsidRDefault="00990EC8">
            <w:pPr>
              <w:jc w:val="right"/>
            </w:pPr>
            <w:r>
              <w:rPr>
                <w:color w:val="000000"/>
                <w:sz w:val="24"/>
                <w:szCs w:val="24"/>
              </w:rPr>
              <w:t>4.22</w:t>
            </w:r>
          </w:p>
        </w:tc>
      </w:tr>
      <w:tr w:rsidR="009E631F">
        <w:trPr>
          <w:jc w:val="center"/>
        </w:trPr>
        <w:tc>
          <w:tcPr>
            <w:tcW w:w="855" w:type="dxa"/>
            <w:vAlign w:val="center"/>
          </w:tcPr>
          <w:p w:rsidR="009E631F" w:rsidRDefault="00990EC8">
            <w:pPr>
              <w:jc w:val="center"/>
            </w:pPr>
            <w:r>
              <w:rPr>
                <w:color w:val="000000"/>
                <w:sz w:val="24"/>
                <w:szCs w:val="24"/>
              </w:rPr>
              <w:t>7</w:t>
            </w:r>
          </w:p>
        </w:tc>
        <w:tc>
          <w:tcPr>
            <w:tcW w:w="1334" w:type="dxa"/>
            <w:vAlign w:val="center"/>
          </w:tcPr>
          <w:p w:rsidR="009E631F" w:rsidRDefault="00990EC8">
            <w:pPr>
              <w:jc w:val="center"/>
            </w:pPr>
            <w:r>
              <w:rPr>
                <w:color w:val="000000"/>
                <w:sz w:val="24"/>
                <w:szCs w:val="24"/>
              </w:rPr>
              <w:t>300207</w:t>
            </w:r>
          </w:p>
        </w:tc>
        <w:tc>
          <w:tcPr>
            <w:tcW w:w="1777" w:type="dxa"/>
            <w:vAlign w:val="center"/>
          </w:tcPr>
          <w:p w:rsidR="009E631F" w:rsidRDefault="00990EC8">
            <w:pPr>
              <w:jc w:val="center"/>
            </w:pPr>
            <w:r>
              <w:rPr>
                <w:color w:val="000000"/>
                <w:sz w:val="24"/>
                <w:szCs w:val="24"/>
              </w:rPr>
              <w:t>欣旺达</w:t>
            </w:r>
          </w:p>
        </w:tc>
        <w:tc>
          <w:tcPr>
            <w:tcW w:w="1334" w:type="dxa"/>
            <w:vAlign w:val="center"/>
          </w:tcPr>
          <w:p w:rsidR="009E631F" w:rsidRDefault="00990EC8">
            <w:pPr>
              <w:jc w:val="right"/>
            </w:pPr>
            <w:r>
              <w:rPr>
                <w:color w:val="000000"/>
                <w:sz w:val="24"/>
                <w:szCs w:val="24"/>
              </w:rPr>
              <w:t>130,000</w:t>
            </w:r>
          </w:p>
        </w:tc>
        <w:tc>
          <w:tcPr>
            <w:tcW w:w="1924" w:type="dxa"/>
            <w:vAlign w:val="center"/>
          </w:tcPr>
          <w:p w:rsidR="009E631F" w:rsidRDefault="00990EC8">
            <w:pPr>
              <w:jc w:val="right"/>
            </w:pPr>
            <w:r>
              <w:rPr>
                <w:color w:val="000000"/>
                <w:sz w:val="24"/>
                <w:szCs w:val="24"/>
              </w:rPr>
              <w:t>3,992,300.00</w:t>
            </w:r>
          </w:p>
        </w:tc>
        <w:tc>
          <w:tcPr>
            <w:tcW w:w="1644" w:type="dxa"/>
            <w:vAlign w:val="center"/>
          </w:tcPr>
          <w:p w:rsidR="009E631F" w:rsidRDefault="00990EC8">
            <w:pPr>
              <w:jc w:val="right"/>
            </w:pPr>
            <w:r>
              <w:rPr>
                <w:color w:val="000000"/>
                <w:sz w:val="24"/>
                <w:szCs w:val="24"/>
              </w:rPr>
              <w:t>4.16</w:t>
            </w:r>
          </w:p>
        </w:tc>
      </w:tr>
      <w:tr w:rsidR="009E631F">
        <w:trPr>
          <w:jc w:val="center"/>
        </w:trPr>
        <w:tc>
          <w:tcPr>
            <w:tcW w:w="855" w:type="dxa"/>
            <w:vAlign w:val="center"/>
          </w:tcPr>
          <w:p w:rsidR="009E631F" w:rsidRDefault="00990EC8">
            <w:pPr>
              <w:jc w:val="center"/>
            </w:pPr>
            <w:r>
              <w:rPr>
                <w:color w:val="000000"/>
                <w:sz w:val="24"/>
                <w:szCs w:val="24"/>
              </w:rPr>
              <w:t>8</w:t>
            </w:r>
          </w:p>
        </w:tc>
        <w:tc>
          <w:tcPr>
            <w:tcW w:w="1334" w:type="dxa"/>
            <w:vAlign w:val="center"/>
          </w:tcPr>
          <w:p w:rsidR="009E631F" w:rsidRDefault="00990EC8">
            <w:pPr>
              <w:jc w:val="center"/>
            </w:pPr>
            <w:r>
              <w:rPr>
                <w:color w:val="000000"/>
                <w:sz w:val="24"/>
                <w:szCs w:val="24"/>
              </w:rPr>
              <w:t>02382.HK</w:t>
            </w:r>
          </w:p>
        </w:tc>
        <w:tc>
          <w:tcPr>
            <w:tcW w:w="1777" w:type="dxa"/>
            <w:vAlign w:val="center"/>
          </w:tcPr>
          <w:p w:rsidR="009E631F" w:rsidRDefault="00990EC8">
            <w:pPr>
              <w:jc w:val="center"/>
            </w:pPr>
            <w:r>
              <w:rPr>
                <w:color w:val="000000"/>
                <w:sz w:val="24"/>
                <w:szCs w:val="24"/>
              </w:rPr>
              <w:t>舜宇光学科技</w:t>
            </w:r>
          </w:p>
        </w:tc>
        <w:tc>
          <w:tcPr>
            <w:tcW w:w="1334" w:type="dxa"/>
            <w:vAlign w:val="center"/>
          </w:tcPr>
          <w:p w:rsidR="009E631F" w:rsidRDefault="00990EC8">
            <w:pPr>
              <w:jc w:val="right"/>
            </w:pPr>
            <w:r>
              <w:rPr>
                <w:color w:val="000000"/>
                <w:sz w:val="24"/>
                <w:szCs w:val="24"/>
              </w:rPr>
              <w:t>27,000</w:t>
            </w:r>
          </w:p>
        </w:tc>
        <w:tc>
          <w:tcPr>
            <w:tcW w:w="1924" w:type="dxa"/>
            <w:vAlign w:val="center"/>
          </w:tcPr>
          <w:p w:rsidR="009E631F" w:rsidRDefault="00990EC8">
            <w:pPr>
              <w:jc w:val="right"/>
            </w:pPr>
            <w:r>
              <w:rPr>
                <w:color w:val="000000"/>
                <w:sz w:val="24"/>
                <w:szCs w:val="24"/>
              </w:rPr>
              <w:t>3,856,310.32</w:t>
            </w:r>
          </w:p>
        </w:tc>
        <w:tc>
          <w:tcPr>
            <w:tcW w:w="1644" w:type="dxa"/>
            <w:vAlign w:val="center"/>
          </w:tcPr>
          <w:p w:rsidR="009E631F" w:rsidRDefault="00990EC8">
            <w:pPr>
              <w:jc w:val="right"/>
            </w:pPr>
            <w:r>
              <w:rPr>
                <w:color w:val="000000"/>
                <w:sz w:val="24"/>
                <w:szCs w:val="24"/>
              </w:rPr>
              <w:t>4.02</w:t>
            </w:r>
          </w:p>
        </w:tc>
      </w:tr>
      <w:tr w:rsidR="009E631F">
        <w:trPr>
          <w:jc w:val="center"/>
        </w:trPr>
        <w:tc>
          <w:tcPr>
            <w:tcW w:w="855" w:type="dxa"/>
            <w:vAlign w:val="center"/>
          </w:tcPr>
          <w:p w:rsidR="009E631F" w:rsidRDefault="00990EC8">
            <w:pPr>
              <w:jc w:val="center"/>
            </w:pPr>
            <w:r>
              <w:rPr>
                <w:color w:val="000000"/>
                <w:sz w:val="24"/>
                <w:szCs w:val="24"/>
              </w:rPr>
              <w:t>9</w:t>
            </w:r>
          </w:p>
        </w:tc>
        <w:tc>
          <w:tcPr>
            <w:tcW w:w="1334" w:type="dxa"/>
            <w:vAlign w:val="center"/>
          </w:tcPr>
          <w:p w:rsidR="009E631F" w:rsidRDefault="00990EC8">
            <w:pPr>
              <w:jc w:val="center"/>
            </w:pPr>
            <w:r>
              <w:rPr>
                <w:color w:val="000000"/>
                <w:sz w:val="24"/>
                <w:szCs w:val="24"/>
              </w:rPr>
              <w:t>002050</w:t>
            </w:r>
          </w:p>
        </w:tc>
        <w:tc>
          <w:tcPr>
            <w:tcW w:w="1777" w:type="dxa"/>
            <w:vAlign w:val="center"/>
          </w:tcPr>
          <w:p w:rsidR="009E631F" w:rsidRDefault="00990EC8">
            <w:pPr>
              <w:jc w:val="center"/>
            </w:pPr>
            <w:r>
              <w:rPr>
                <w:color w:val="000000"/>
                <w:sz w:val="24"/>
                <w:szCs w:val="24"/>
              </w:rPr>
              <w:t>三花智控</w:t>
            </w:r>
          </w:p>
        </w:tc>
        <w:tc>
          <w:tcPr>
            <w:tcW w:w="1334" w:type="dxa"/>
            <w:vAlign w:val="center"/>
          </w:tcPr>
          <w:p w:rsidR="009E631F" w:rsidRDefault="00990EC8">
            <w:pPr>
              <w:jc w:val="right"/>
            </w:pPr>
            <w:r>
              <w:rPr>
                <w:color w:val="000000"/>
                <w:sz w:val="24"/>
                <w:szCs w:val="24"/>
              </w:rPr>
              <w:t>150,000</w:t>
            </w:r>
          </w:p>
        </w:tc>
        <w:tc>
          <w:tcPr>
            <w:tcW w:w="1924" w:type="dxa"/>
            <w:vAlign w:val="center"/>
          </w:tcPr>
          <w:p w:rsidR="009E631F" w:rsidRDefault="00990EC8">
            <w:pPr>
              <w:jc w:val="right"/>
            </w:pPr>
            <w:r>
              <w:rPr>
                <w:color w:val="000000"/>
                <w:sz w:val="24"/>
                <w:szCs w:val="24"/>
              </w:rPr>
              <w:t>3,697,500.00</w:t>
            </w:r>
          </w:p>
        </w:tc>
        <w:tc>
          <w:tcPr>
            <w:tcW w:w="1644" w:type="dxa"/>
            <w:vAlign w:val="center"/>
          </w:tcPr>
          <w:p w:rsidR="009E631F" w:rsidRDefault="00990EC8">
            <w:pPr>
              <w:jc w:val="right"/>
            </w:pPr>
            <w:r>
              <w:rPr>
                <w:color w:val="000000"/>
                <w:sz w:val="24"/>
                <w:szCs w:val="24"/>
              </w:rPr>
              <w:t>3.85</w:t>
            </w:r>
          </w:p>
        </w:tc>
      </w:tr>
      <w:tr w:rsidR="009E631F">
        <w:trPr>
          <w:jc w:val="center"/>
        </w:trPr>
        <w:tc>
          <w:tcPr>
            <w:tcW w:w="855" w:type="dxa"/>
            <w:vAlign w:val="center"/>
          </w:tcPr>
          <w:p w:rsidR="009E631F" w:rsidRDefault="00990EC8">
            <w:pPr>
              <w:jc w:val="center"/>
            </w:pPr>
            <w:r>
              <w:rPr>
                <w:color w:val="000000"/>
                <w:sz w:val="24"/>
                <w:szCs w:val="24"/>
              </w:rPr>
              <w:t>10</w:t>
            </w:r>
          </w:p>
        </w:tc>
        <w:tc>
          <w:tcPr>
            <w:tcW w:w="1334" w:type="dxa"/>
            <w:vAlign w:val="center"/>
          </w:tcPr>
          <w:p w:rsidR="009E631F" w:rsidRDefault="00990EC8">
            <w:pPr>
              <w:jc w:val="center"/>
            </w:pPr>
            <w:r>
              <w:rPr>
                <w:color w:val="000000"/>
                <w:sz w:val="24"/>
                <w:szCs w:val="24"/>
              </w:rPr>
              <w:t>601598</w:t>
            </w:r>
          </w:p>
        </w:tc>
        <w:tc>
          <w:tcPr>
            <w:tcW w:w="1777" w:type="dxa"/>
            <w:vAlign w:val="center"/>
          </w:tcPr>
          <w:p w:rsidR="009E631F" w:rsidRDefault="00990EC8">
            <w:pPr>
              <w:jc w:val="center"/>
            </w:pPr>
            <w:r>
              <w:rPr>
                <w:color w:val="000000"/>
                <w:sz w:val="24"/>
                <w:szCs w:val="24"/>
              </w:rPr>
              <w:t>中国外运</w:t>
            </w:r>
          </w:p>
        </w:tc>
        <w:tc>
          <w:tcPr>
            <w:tcW w:w="1334" w:type="dxa"/>
            <w:vAlign w:val="center"/>
          </w:tcPr>
          <w:p w:rsidR="009E631F" w:rsidRDefault="00990EC8">
            <w:pPr>
              <w:jc w:val="right"/>
            </w:pPr>
            <w:r>
              <w:rPr>
                <w:color w:val="000000"/>
                <w:sz w:val="24"/>
                <w:szCs w:val="24"/>
              </w:rPr>
              <w:t>800,000</w:t>
            </w:r>
          </w:p>
        </w:tc>
        <w:tc>
          <w:tcPr>
            <w:tcW w:w="1924" w:type="dxa"/>
            <w:vAlign w:val="center"/>
          </w:tcPr>
          <w:p w:rsidR="009E631F" w:rsidRDefault="00990EC8">
            <w:pPr>
              <w:jc w:val="right"/>
            </w:pPr>
            <w:r>
              <w:rPr>
                <w:color w:val="000000"/>
                <w:sz w:val="24"/>
                <w:szCs w:val="24"/>
              </w:rPr>
              <w:t>3,520,000.00</w:t>
            </w:r>
          </w:p>
        </w:tc>
        <w:tc>
          <w:tcPr>
            <w:tcW w:w="1644" w:type="dxa"/>
            <w:vAlign w:val="center"/>
          </w:tcPr>
          <w:p w:rsidR="009E631F" w:rsidRDefault="00990EC8">
            <w:pPr>
              <w:jc w:val="right"/>
            </w:pPr>
            <w:r>
              <w:rPr>
                <w:color w:val="000000"/>
                <w:sz w:val="24"/>
                <w:szCs w:val="24"/>
              </w:rPr>
              <w:t>3.67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24,789.36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3,185.83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393,594.80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421,569.99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lastRenderedPageBreak/>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52,286,914.94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5,323,597.45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7,820,252.31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49,790,260.08</w:t>
            </w:r>
          </w:p>
        </w:tc>
      </w:tr>
    </w:tbl>
    <w:p w:rsidR="009E631F" w:rsidRDefault="00990EC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 xml:space="preserve"> </w:t>
      </w: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8.1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9E631F" w:rsidRDefault="00990EC8">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、中国证监会准予交银施罗德核心资产混合型证券投资基金募集注册的文件；</w:t>
      </w:r>
      <w:r>
        <w:rPr>
          <w:color w:val="000000"/>
          <w:sz w:val="24"/>
          <w:szCs w:val="24"/>
        </w:rPr>
        <w:t xml:space="preserve"> </w:t>
      </w:r>
    </w:p>
    <w:p w:rsidR="009E631F" w:rsidRDefault="00990EC8">
      <w:pPr>
        <w:spacing w:before="29" w:line="288" w:lineRule="auto"/>
        <w:ind w:firstLineChars="200" w:firstLine="480"/>
        <w:rPr>
          <w:color w:val="000000"/>
          <w:sz w:val="24"/>
          <w:szCs w:val="24"/>
        </w:rPr>
      </w:pPr>
      <w:r>
        <w:rPr>
          <w:color w:val="000000"/>
          <w:sz w:val="24"/>
          <w:szCs w:val="24"/>
        </w:rPr>
        <w:lastRenderedPageBreak/>
        <w:t>2</w:t>
      </w:r>
      <w:r>
        <w:rPr>
          <w:color w:val="000000"/>
          <w:sz w:val="24"/>
          <w:szCs w:val="24"/>
        </w:rPr>
        <w:t>、《交银施罗德核心资产混合型证券投资基金基金合同》；</w:t>
      </w:r>
      <w:r>
        <w:rPr>
          <w:color w:val="000000"/>
          <w:sz w:val="24"/>
          <w:szCs w:val="24"/>
        </w:rPr>
        <w:t xml:space="preserve"> </w:t>
      </w:r>
    </w:p>
    <w:p w:rsidR="009E631F" w:rsidRDefault="00990EC8">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、《交银施罗德核心资产混合型证券投资基金招募说明书》；</w:t>
      </w:r>
      <w:r>
        <w:rPr>
          <w:color w:val="000000"/>
          <w:sz w:val="24"/>
          <w:szCs w:val="24"/>
        </w:rPr>
        <w:t xml:space="preserve"> </w:t>
      </w:r>
    </w:p>
    <w:p w:rsidR="009E631F" w:rsidRDefault="00990EC8">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、《交银施罗德核心资产混合型证券投资基金托管协议》；</w:t>
      </w:r>
      <w:r>
        <w:rPr>
          <w:color w:val="000000"/>
          <w:sz w:val="24"/>
          <w:szCs w:val="24"/>
        </w:rPr>
        <w:t xml:space="preserve"> </w:t>
      </w:r>
    </w:p>
    <w:p w:rsidR="009E631F" w:rsidRDefault="00990EC8">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、关于申请募集注册交银施罗德核心资产混合型证券投资基金的法律意见书；</w:t>
      </w:r>
      <w:r>
        <w:rPr>
          <w:color w:val="000000"/>
          <w:sz w:val="24"/>
          <w:szCs w:val="24"/>
        </w:rPr>
        <w:t xml:space="preserve"> </w:t>
      </w:r>
    </w:p>
    <w:p w:rsidR="009E631F" w:rsidRDefault="00990EC8">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9E631F" w:rsidRDefault="00990EC8">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、报告期内交银施罗德核心资产混合型证券投资基金在指定报刊上各项公告的原稿。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9E631F" w:rsidRDefault="00990EC8">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81B" w:rsidRDefault="00C7281B" w:rsidP="00876D65">
      <w:r>
        <w:separator/>
      </w:r>
    </w:p>
  </w:endnote>
  <w:endnote w:type="continuationSeparator" w:id="0">
    <w:p w:rsidR="00C7281B" w:rsidRDefault="00C7281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B814DA">
      <w:rPr>
        <w:noProof/>
        <w:kern w:val="0"/>
        <w:szCs w:val="21"/>
      </w:rPr>
      <w:t>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B814DA">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81B" w:rsidRDefault="00C7281B" w:rsidP="00876D65">
      <w:r>
        <w:separator/>
      </w:r>
    </w:p>
  </w:footnote>
  <w:footnote w:type="continuationSeparator" w:id="0">
    <w:p w:rsidR="00C7281B" w:rsidRDefault="00C7281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交银施罗德核心资产混合型证券投资基金</w:t>
    </w:r>
    <w:r w:rsidRPr="003E676C">
      <w:rPr>
        <w:sz w:val="24"/>
        <w:szCs w:val="24"/>
      </w:rPr>
      <w:t>2020</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570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90EC8"/>
    <w:rsid w:val="009A0ABE"/>
    <w:rsid w:val="009A4E5D"/>
    <w:rsid w:val="009B2D4B"/>
    <w:rsid w:val="009C1009"/>
    <w:rsid w:val="009C5186"/>
    <w:rsid w:val="009C60F7"/>
    <w:rsid w:val="009D0952"/>
    <w:rsid w:val="009D1BD9"/>
    <w:rsid w:val="009E19A9"/>
    <w:rsid w:val="009E31DA"/>
    <w:rsid w:val="009E402C"/>
    <w:rsid w:val="009E631F"/>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4DA"/>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81B"/>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4DF69-34EB-4F04-89F2-004B84C50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1829</TotalTime>
  <Pages>12</Pages>
  <Words>1099</Words>
  <Characters>6267</Characters>
  <Application>Microsoft Office Word</Application>
  <DocSecurity>0</DocSecurity>
  <Lines>52</Lines>
  <Paragraphs>14</Paragraphs>
  <ScaleCrop>false</ScaleCrop>
  <Company/>
  <LinksUpToDate>false</LinksUpToDate>
  <CharactersWithSpaces>7352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602</cp:revision>
  <dcterms:created xsi:type="dcterms:W3CDTF">2012-10-16T06:07:00Z</dcterms:created>
  <dcterms:modified xsi:type="dcterms:W3CDTF">2021-01-18T09:05:00Z</dcterms:modified>
</cp:coreProperties>
</file>