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交银施罗德天利宝货币市场基金</w:t>
      </w:r>
    </w:p>
    <w:p w:rsidP="00281564" w:rsidR="00B60E27" w:rsidRDefault="00B60E27" w:rsidRPr="001E1B20">
      <w:pPr>
        <w:spacing w:before="29" w:line="288" w:lineRule="auto"/>
        <w:jc w:val="center"/>
        <w:rPr>
          <w:b/>
          <w:sz w:val="36"/>
          <w:szCs w:val="36"/>
        </w:rPr>
      </w:pPr>
      <w:r w:rsidRPr="001E1B20">
        <w:rPr>
          <w:b/>
          <w:sz w:val="36"/>
          <w:szCs w:val="36"/>
        </w:rPr>
        <w:t>2020年第4季度报告</w:t>
      </w:r>
    </w:p>
    <w:p w:rsidP="00281564" w:rsidR="002B45A4" w:rsidRDefault="00D87D00" w:rsidRPr="001E1B20">
      <w:pPr>
        <w:spacing w:before="29" w:line="288" w:lineRule="auto"/>
        <w:jc w:val="center"/>
        <w:rPr>
          <w:b/>
          <w:sz w:val="36"/>
          <w:szCs w:val="36"/>
        </w:rPr>
      </w:pPr>
      <w:r w:rsidRPr="001E1B20">
        <w:rPr>
          <w:b/>
          <w:sz w:val="36"/>
          <w:szCs w:val="36"/>
        </w:rPr>
        <w:t>2020年12月31日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中信银行股份有限公司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二〇二一年一月二十一日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基金托管人中信银行股份有限公司根据本基金合同规定，于2021年1月20日复核了本报告中的财务指标、净值表现和投资组合报告等内容，保证复核内容不存在虚假记载、误导性陈述或者重大遗漏。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本报告期自2020年10月1日起至12月31日止。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交银天利宝货币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002889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2016年10月19日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2,581,446,913.12</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中信银行股份有限公司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交银天利宝货币A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交银天利宝货币E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002889</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002890</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1,860,614,016.64</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720,832,896.48</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(2020年10月1日-2020年12月31日)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交银天利宝货币A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交银天利宝货币E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10,511,132.24</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5,226,625.15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10,511,132.24</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5,226,625.15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1,860,614,016.64</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720,832,896.48</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交银天利宝货币A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0.6041%</w:t>
            </w:r>
          </w:p>
        </w:tc>
        <w:tc>
          <w:tcPr>
            <w:vAlign w:val="center"/>
          </w:tcPr>
          <w:p>
            <w:pPr>
              <w:jc w:val="center"/>
            </w:pPr>
            <w:r>
              <w:rPr>
                <w:rFonts w:ascii="Times New Roman" w:hAnsi="Times New Roman"/>
                <w:color w:val="000000"/>
              </w:rPr>
              <w:t>0.0009%</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0.5159%</w:t>
            </w:r>
          </w:p>
        </w:tc>
        <w:tc>
          <w:tcPr>
            <w:vAlign w:val="center"/>
          </w:tcPr>
          <w:p>
            <w:pPr>
              <w:jc w:val="center"/>
            </w:pPr>
            <w:r>
              <w:rPr>
                <w:rFonts w:ascii="Times New Roman" w:hAnsi="Times New Roman"/>
                <w:color w:val="000000"/>
              </w:rPr>
              <w:t>0.0009%</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1.1206%</w:t>
            </w:r>
          </w:p>
        </w:tc>
        <w:tc>
          <w:tcPr>
            <w:vAlign w:val="center"/>
          </w:tcPr>
          <w:p>
            <w:pPr>
              <w:jc w:val="center"/>
            </w:pPr>
            <w:r>
              <w:rPr>
                <w:rFonts w:ascii="Times New Roman" w:hAnsi="Times New Roman"/>
                <w:color w:val="000000"/>
              </w:rPr>
              <w:t>0.0017%</w:t>
            </w:r>
          </w:p>
        </w:tc>
        <w:tc>
          <w:tcPr>
            <w:vAlign w:val="center"/>
          </w:tcPr>
          <w:p>
            <w:pPr>
              <w:jc w:val="center"/>
            </w:pPr>
            <w:r>
              <w:rPr>
                <w:rFonts w:ascii="Times New Roman" w:hAnsi="Times New Roman"/>
                <w:color w:val="000000"/>
              </w:rPr>
              <w:t>0.1764%</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0.9442%</w:t>
            </w:r>
          </w:p>
        </w:tc>
        <w:tc>
          <w:tcPr>
            <w:vAlign w:val="center"/>
          </w:tcPr>
          <w:p>
            <w:pPr>
              <w:jc w:val="center"/>
            </w:pPr>
            <w:r>
              <w:rPr>
                <w:rFonts w:ascii="Times New Roman" w:hAnsi="Times New Roman"/>
                <w:color w:val="000000"/>
              </w:rPr>
              <w:t>0.0017%</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2.2811%</w:t>
            </w:r>
          </w:p>
        </w:tc>
        <w:tc>
          <w:tcPr>
            <w:vAlign w:val="center"/>
          </w:tcPr>
          <w:p>
            <w:pPr>
              <w:jc w:val="center"/>
            </w:pPr>
            <w:r>
              <w:rPr>
                <w:rFonts w:ascii="Times New Roman" w:hAnsi="Times New Roman"/>
                <w:color w:val="000000"/>
              </w:rPr>
              <w:t>0.0019%</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1.9301%</w:t>
            </w:r>
          </w:p>
        </w:tc>
        <w:tc>
          <w:tcPr>
            <w:vAlign w:val="center"/>
          </w:tcPr>
          <w:p>
            <w:pPr>
              <w:jc w:val="center"/>
            </w:pPr>
            <w:r>
              <w:rPr>
                <w:rFonts w:ascii="Times New Roman" w:hAnsi="Times New Roman"/>
                <w:color w:val="000000"/>
              </w:rPr>
              <w:t>0.0019%</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9.0823%</w:t>
            </w:r>
          </w:p>
        </w:tc>
        <w:tc>
          <w:tcPr>
            <w:vAlign w:val="center"/>
          </w:tcPr>
          <w:p>
            <w:pPr>
              <w:jc w:val="center"/>
            </w:pPr>
            <w:r>
              <w:rPr>
                <w:rFonts w:ascii="Times New Roman" w:hAnsi="Times New Roman"/>
                <w:color w:val="000000"/>
              </w:rPr>
              <w:t>0.0035%</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8.0313%</w:t>
            </w:r>
          </w:p>
        </w:tc>
        <w:tc>
          <w:tcPr>
            <w:vAlign w:val="center"/>
          </w:tcPr>
          <w:p>
            <w:pPr>
              <w:jc w:val="center"/>
            </w:pPr>
            <w:r>
              <w:rPr>
                <w:rFonts w:ascii="Times New Roman" w:hAnsi="Times New Roman"/>
                <w:color w:val="000000"/>
              </w:rPr>
              <w:t>0.0035%</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14.0808%</w:t>
            </w:r>
          </w:p>
        </w:tc>
        <w:tc>
          <w:tcPr>
            <w:vAlign w:val="center"/>
          </w:tcPr>
          <w:p>
            <w:pPr>
              <w:jc w:val="center"/>
            </w:pPr>
            <w:r>
              <w:rPr>
                <w:rFonts w:ascii="Times New Roman" w:hAnsi="Times New Roman"/>
                <w:color w:val="000000"/>
              </w:rPr>
              <w:t>0.0032%</w:t>
            </w:r>
          </w:p>
        </w:tc>
        <w:tc>
          <w:tcPr>
            <w:vAlign w:val="center"/>
          </w:tcPr>
          <w:p>
            <w:pPr>
              <w:jc w:val="center"/>
            </w:pPr>
            <w:r>
              <w:rPr>
                <w:rFonts w:ascii="Times New Roman" w:hAnsi="Times New Roman"/>
                <w:color w:val="000000"/>
              </w:rPr>
              <w:t>1.4719%</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12.6089%</w:t>
            </w:r>
          </w:p>
        </w:tc>
        <w:tc>
          <w:tcPr>
            <w:vAlign w:val="center"/>
          </w:tcPr>
          <w:p>
            <w:pPr>
              <w:jc w:val="center"/>
            </w:pPr>
            <w:r>
              <w:rPr>
                <w:rFonts w:ascii="Times New Roman" w:hAnsi="Times New Roman"/>
                <w:color w:val="000000"/>
              </w:rPr>
              <w:t>0.0032%</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交银天利宝货币E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0.6647%</w:t>
            </w:r>
          </w:p>
        </w:tc>
        <w:tc>
          <w:tcPr>
            <w:vAlign w:val="center"/>
          </w:tcPr>
          <w:p>
            <w:pPr>
              <w:jc w:val="center"/>
            </w:pPr>
            <w:r>
              <w:rPr>
                <w:rFonts w:ascii="Times New Roman" w:hAnsi="Times New Roman"/>
                <w:color w:val="000000"/>
              </w:rPr>
              <w:t>0.0009%</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0.5765%</w:t>
            </w:r>
          </w:p>
        </w:tc>
        <w:tc>
          <w:tcPr>
            <w:vAlign w:val="center"/>
          </w:tcPr>
          <w:p>
            <w:pPr>
              <w:jc w:val="center"/>
            </w:pPr>
            <w:r>
              <w:rPr>
                <w:rFonts w:ascii="Times New Roman" w:hAnsi="Times New Roman"/>
                <w:color w:val="000000"/>
              </w:rPr>
              <w:t>0.0009%</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1.2425%</w:t>
            </w:r>
          </w:p>
        </w:tc>
        <w:tc>
          <w:tcPr>
            <w:vAlign w:val="center"/>
          </w:tcPr>
          <w:p>
            <w:pPr>
              <w:jc w:val="center"/>
            </w:pPr>
            <w:r>
              <w:rPr>
                <w:rFonts w:ascii="Times New Roman" w:hAnsi="Times New Roman"/>
                <w:color w:val="000000"/>
              </w:rPr>
              <w:t>0.0017%</w:t>
            </w:r>
          </w:p>
        </w:tc>
        <w:tc>
          <w:tcPr>
            <w:vAlign w:val="center"/>
          </w:tcPr>
          <w:p>
            <w:pPr>
              <w:jc w:val="center"/>
            </w:pPr>
            <w:r>
              <w:rPr>
                <w:rFonts w:ascii="Times New Roman" w:hAnsi="Times New Roman"/>
                <w:color w:val="000000"/>
              </w:rPr>
              <w:t>0.1764%</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1.0661%</w:t>
            </w:r>
          </w:p>
        </w:tc>
        <w:tc>
          <w:tcPr>
            <w:vAlign w:val="center"/>
          </w:tcPr>
          <w:p>
            <w:pPr>
              <w:jc w:val="center"/>
            </w:pPr>
            <w:r>
              <w:rPr>
                <w:rFonts w:ascii="Times New Roman" w:hAnsi="Times New Roman"/>
                <w:color w:val="000000"/>
              </w:rPr>
              <w:t>0.0017%</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2.5263%</w:t>
            </w:r>
          </w:p>
        </w:tc>
        <w:tc>
          <w:tcPr>
            <w:vAlign w:val="center"/>
          </w:tcPr>
          <w:p>
            <w:pPr>
              <w:jc w:val="center"/>
            </w:pPr>
            <w:r>
              <w:rPr>
                <w:rFonts w:ascii="Times New Roman" w:hAnsi="Times New Roman"/>
                <w:color w:val="000000"/>
              </w:rPr>
              <w:t>0.0019%</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2.1753%</w:t>
            </w:r>
          </w:p>
        </w:tc>
        <w:tc>
          <w:tcPr>
            <w:vAlign w:val="center"/>
          </w:tcPr>
          <w:p>
            <w:pPr>
              <w:jc w:val="center"/>
            </w:pPr>
            <w:r>
              <w:rPr>
                <w:rFonts w:ascii="Times New Roman" w:hAnsi="Times New Roman"/>
                <w:color w:val="000000"/>
              </w:rPr>
              <w:t>0.0019%</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9.8686%</w:t>
            </w:r>
          </w:p>
        </w:tc>
        <w:tc>
          <w:tcPr>
            <w:vAlign w:val="center"/>
          </w:tcPr>
          <w:p>
            <w:pPr>
              <w:jc w:val="center"/>
            </w:pPr>
            <w:r>
              <w:rPr>
                <w:rFonts w:ascii="Times New Roman" w:hAnsi="Times New Roman"/>
                <w:color w:val="000000"/>
              </w:rPr>
              <w:t>0.0035%</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8.8176%</w:t>
            </w:r>
          </w:p>
        </w:tc>
        <w:tc>
          <w:tcPr>
            <w:vAlign w:val="center"/>
          </w:tcPr>
          <w:p>
            <w:pPr>
              <w:jc w:val="center"/>
            </w:pPr>
            <w:r>
              <w:rPr>
                <w:rFonts w:ascii="Times New Roman" w:hAnsi="Times New Roman"/>
                <w:color w:val="000000"/>
              </w:rPr>
              <w:t>0.0035%</w:t>
            </w:r>
          </w:p>
        </w:tc>
      </w:tr>
      <w:tr>
        <w:tc>
          <w:tcPr>
            <w:vAlign w:val="center"/>
          </w:tcPr>
          <w:p>
            <w:pPr>
              <w:jc w:val="left"/>
            </w:pPr>
            <w:r>
              <w:rPr>
                <w:rFonts w:ascii="Times New Roman" w:hAnsi="Times New Roman"/>
                <w:color w:val="000000"/>
              </w:rPr>
              <w:t>自基金合同生效至今</w:t>
            </w:r>
          </w:p>
        </w:tc>
        <w:tc>
          <w:tcPr>
            <w:vAlign w:val="center"/>
          </w:tcPr>
          <w:p>
            <w:pPr>
              <w:jc w:val="center"/>
            </w:pPr>
            <w:r>
              <w:rPr>
                <w:rFonts w:ascii="Times New Roman" w:hAnsi="Times New Roman"/>
                <w:color w:val="000000"/>
              </w:rPr>
              <w:t>15.2288%</w:t>
            </w:r>
          </w:p>
        </w:tc>
        <w:tc>
          <w:tcPr>
            <w:vAlign w:val="center"/>
          </w:tcPr>
          <w:p>
            <w:pPr>
              <w:jc w:val="center"/>
            </w:pPr>
            <w:r>
              <w:rPr>
                <w:rFonts w:ascii="Times New Roman" w:hAnsi="Times New Roman"/>
                <w:color w:val="000000"/>
              </w:rPr>
              <w:t>0.0032%</w:t>
            </w:r>
          </w:p>
        </w:tc>
        <w:tc>
          <w:tcPr>
            <w:vAlign w:val="center"/>
          </w:tcPr>
          <w:p>
            <w:pPr>
              <w:jc w:val="center"/>
            </w:pPr>
            <w:r>
              <w:rPr>
                <w:rFonts w:ascii="Times New Roman" w:hAnsi="Times New Roman"/>
                <w:color w:val="000000"/>
              </w:rPr>
              <w:t>1.4719%</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13.7569%</w:t>
            </w:r>
          </w:p>
        </w:tc>
        <w:tc>
          <w:tcPr>
            <w:vAlign w:val="center"/>
          </w:tcPr>
          <w:p>
            <w:pPr>
              <w:jc w:val="center"/>
            </w:pPr>
            <w:r>
              <w:rPr>
                <w:rFonts w:ascii="Times New Roman" w:hAnsi="Times New Roman"/>
                <w:color w:val="000000"/>
              </w:rPr>
              <w:t>0.0032%</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交银施罗德天利宝货币市场基金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2016年10月19日</w:t>
      </w:r>
      <w:r w:rsidR="00A7219D" w:rsidRPr="000E4C40">
        <w:rPr>
          <w:rFonts w:hAnsi="宋体"/>
          <w:color w:val="000000"/>
          <w:kern w:val="0"/>
          <w:sz w:val="24"/>
        </w:rPr>
        <w:t>至</w:t>
      </w:r>
      <w:r w:rsidR="00A7219D" w:rsidRPr="000E4C40">
        <w:rPr>
          <w:color w:val="000000"/>
          <w:kern w:val="0"/>
          <w:sz w:val="24"/>
        </w:rPr>
        <w:t>2020年12月31日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交银天利宝货币A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交银天利宝货币E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交银丰享收益债券、交银活期通货币、交银天利宝货币、交银裕隆纯债债券、交银天益宝货币、交银境尚收益债券、交银稳鑫短债债券、交银稳利中短债债券、交银中高等级信用债债券的基金经理</w:t>
            </w:r>
          </w:p>
        </w:tc>
        <w:tc>
          <w:tcPr>
            <w:vAlign w:val="center"/>
          </w:tcPr>
          <w:p>
            <w:pPr>
              <w:jc w:val="center"/>
            </w:pPr>
            <w:r>
              <w:rPr>
                <w:color w:val="000000"/>
                <w:sz w:val="24"/>
              </w:rPr>
              <w:t>2016-10-19</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2015年5月27日至2020年7月27日担任转型前的交银施罗德理财21天债券型证券投资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收益率先在经济数据透露出“结构隐忧”和四季度供需结构优化的双重作用下，小幅下行。之后央行重提总闸门引发货币政策进一步收紧的预期，叠加部分信用债违约风险事件，信用债和短久期利率债经历了大幅下跌。11月下旬随着央行超预期投放流动性，经济工作会议精神明确不会“急转弯”，债券市场在配置力量带动下，收益率转而下行。</w:t>
      </w:r>
    </w:p>
    <w:p>
      <w:pPr>
        <w:spacing w:before="29" w:line="288" w:lineRule="auto"/>
        <w:ind w:firstLine="480" w:firstLineChars="200"/>
        <w:rPr>
          <w:color w:val="000000"/>
          <w:sz w:val="24"/>
        </w:rPr>
      </w:pPr>
      <w:r>
        <w:rPr>
          <w:color w:val="000000"/>
          <w:sz w:val="24"/>
        </w:rPr>
        <w:t>由于央行MLF的超额投放和年底大量的跨年公开市场操作，资金面年底前呈现宽松态势，股份制存款存单收益率也在11月底最高达到3.2%附近见顶后，出现明显的下行，年底下至2.6%附近。</w:t>
      </w:r>
    </w:p>
    <w:p>
      <w:pPr>
        <w:spacing w:before="29" w:line="288" w:lineRule="auto"/>
        <w:ind w:firstLine="480" w:firstLineChars="200"/>
        <w:rPr>
          <w:color w:val="000000"/>
          <w:sz w:val="24"/>
        </w:rPr>
      </w:pPr>
      <w:r>
        <w:rPr>
          <w:color w:val="000000"/>
          <w:sz w:val="24"/>
        </w:rPr>
        <w:t>基金操作方面，11月下旬到年末时点货币市场工具收益率具有较好的配置价值，我们视组合流动性和市场情况，增配了偏长期限的高评级同业存单、同业存款等，提高了组合静态收益，同时在短期资金价格较低的情况下适当运用杠杆增厚组合收益。</w:t>
      </w:r>
    </w:p>
    <w:p w:rsidP="00281564" w:rsidR="00C4627A" w:rsidRDefault="00C4627A" w:rsidRPr="000E4C40">
      <w:pPr>
        <w:spacing w:before="29" w:line="288" w:lineRule="auto"/>
        <w:ind w:firstLine="480" w:firstLineChars="200"/>
        <w:rPr>
          <w:color w:val="000000"/>
          <w:sz w:val="24"/>
        </w:rPr>
      </w:pPr>
      <w:r w:rsidRPr="000E4C40">
        <w:rPr>
          <w:color w:val="000000"/>
          <w:sz w:val="24"/>
        </w:rPr>
        <w:t>展望2021年一季度，基本面延续边际改善趋势，债市核心交易要素还是资金面，在央行流动性呵护下此前超调的短债、中高等级信用债近期表现较好，需要关注通胀是否超预期上行从而引致货币政策的边际收紧。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1,596,179,556.94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52.41</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1,488,179,556.94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48.86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108,000,000.00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3.55</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750,502,205.75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24.64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690,679,281.65</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22.68</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8,442,867.75</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0.28</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3,045,803,912.09</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11.67</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463,004,368.49</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17.94</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117</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118</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35</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本基金合同约定：“本基金投资组合的平均剩余期限在每个交易日均不得超过120天”。本报告期内，本基金未发生超标情况。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33.75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17.94</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11.59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19.75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1.92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50.65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117.66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17.94</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140,247,986.55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5.43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140,247,986.55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5.43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1,347,931,570.39</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52.22</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1,488,179,556.94</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57.65</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112021463</w:t>
            </w:r>
          </w:p>
        </w:tc>
        <w:tc>
          <w:tcPr>
            <w:vAlign w:val="center"/>
          </w:tcPr>
          <w:p>
            <w:pPr>
              <w:jc w:val="center"/>
            </w:pPr>
            <w:r>
              <w:rPr>
                <w:color w:val="000000"/>
                <w:sz w:val="24"/>
              </w:rPr>
              <w:t>20渤海银行CD463</w:t>
            </w:r>
          </w:p>
        </w:tc>
        <w:tc>
          <w:tcPr>
            <w:vAlign w:val="center"/>
          </w:tcPr>
          <w:p>
            <w:pPr>
              <w:jc w:val="right"/>
            </w:pPr>
            <w:r>
              <w:rPr>
                <w:color w:val="000000"/>
                <w:sz w:val="24"/>
              </w:rPr>
              <w:t>1,500,000</w:t>
            </w:r>
          </w:p>
        </w:tc>
        <w:tc>
          <w:tcPr>
            <w:vAlign w:val="center"/>
          </w:tcPr>
          <w:p>
            <w:pPr>
              <w:jc w:val="right"/>
            </w:pPr>
            <w:r>
              <w:rPr>
                <w:color w:val="000000"/>
                <w:sz w:val="24"/>
              </w:rPr>
              <w:t>149,438,824.08</w:t>
            </w:r>
          </w:p>
        </w:tc>
        <w:tc>
          <w:tcPr>
            <w:vAlign w:val="center"/>
          </w:tcPr>
          <w:p>
            <w:pPr>
              <w:jc w:val="right"/>
            </w:pPr>
            <w:r>
              <w:rPr>
                <w:color w:val="000000"/>
                <w:sz w:val="24"/>
              </w:rPr>
              <w:t>5.79</w:t>
            </w:r>
          </w:p>
        </w:tc>
      </w:tr>
      <w:tr>
        <w:tc>
          <w:tcPr>
            <w:vAlign w:val="center"/>
          </w:tcPr>
          <w:p>
            <w:pPr>
              <w:jc w:val="center"/>
            </w:pPr>
            <w:r>
              <w:rPr>
                <w:color w:val="000000"/>
                <w:sz w:val="24"/>
              </w:rPr>
              <w:t>2</w:t>
            </w:r>
          </w:p>
        </w:tc>
        <w:tc>
          <w:tcPr>
            <w:vAlign w:val="center"/>
          </w:tcPr>
          <w:p>
            <w:pPr>
              <w:jc w:val="center"/>
            </w:pPr>
            <w:r>
              <w:rPr>
                <w:color w:val="000000"/>
                <w:sz w:val="24"/>
              </w:rPr>
              <w:t>112072111</w:t>
            </w:r>
          </w:p>
        </w:tc>
        <w:tc>
          <w:tcPr>
            <w:vAlign w:val="center"/>
          </w:tcPr>
          <w:p>
            <w:pPr>
              <w:jc w:val="center"/>
            </w:pPr>
            <w:r>
              <w:rPr>
                <w:color w:val="000000"/>
                <w:sz w:val="24"/>
              </w:rPr>
              <w:t>20青岛农商行CD174</w:t>
            </w:r>
          </w:p>
        </w:tc>
        <w:tc>
          <w:tcPr>
            <w:vAlign w:val="center"/>
          </w:tcPr>
          <w:p>
            <w:pPr>
              <w:jc w:val="right"/>
            </w:pPr>
            <w:r>
              <w:rPr>
                <w:color w:val="000000"/>
                <w:sz w:val="24"/>
              </w:rPr>
              <w:t>1,000,000</w:t>
            </w:r>
          </w:p>
        </w:tc>
        <w:tc>
          <w:tcPr>
            <w:vAlign w:val="center"/>
          </w:tcPr>
          <w:p>
            <w:pPr>
              <w:jc w:val="right"/>
            </w:pPr>
            <w:r>
              <w:rPr>
                <w:color w:val="000000"/>
                <w:sz w:val="24"/>
              </w:rPr>
              <w:t>98,779,470.62</w:t>
            </w:r>
          </w:p>
        </w:tc>
        <w:tc>
          <w:tcPr>
            <w:vAlign w:val="center"/>
          </w:tcPr>
          <w:p>
            <w:pPr>
              <w:jc w:val="right"/>
            </w:pPr>
            <w:r>
              <w:rPr>
                <w:color w:val="000000"/>
                <w:sz w:val="24"/>
              </w:rPr>
              <w:t>3.83</w:t>
            </w:r>
          </w:p>
        </w:tc>
      </w:tr>
      <w:tr>
        <w:tc>
          <w:tcPr>
            <w:vAlign w:val="center"/>
          </w:tcPr>
          <w:p>
            <w:pPr>
              <w:jc w:val="center"/>
            </w:pPr>
            <w:r>
              <w:rPr>
                <w:color w:val="000000"/>
                <w:sz w:val="24"/>
              </w:rPr>
              <w:t>3</w:t>
            </w:r>
          </w:p>
        </w:tc>
        <w:tc>
          <w:tcPr>
            <w:vAlign w:val="center"/>
          </w:tcPr>
          <w:p>
            <w:pPr>
              <w:jc w:val="center"/>
            </w:pPr>
            <w:r>
              <w:rPr>
                <w:color w:val="000000"/>
                <w:sz w:val="24"/>
              </w:rPr>
              <w:t>112021474</w:t>
            </w:r>
          </w:p>
        </w:tc>
        <w:tc>
          <w:tcPr>
            <w:vAlign w:val="center"/>
          </w:tcPr>
          <w:p>
            <w:pPr>
              <w:jc w:val="center"/>
            </w:pPr>
            <w:r>
              <w:rPr>
                <w:color w:val="000000"/>
                <w:sz w:val="24"/>
              </w:rPr>
              <w:t>20渤海银行CD474</w:t>
            </w:r>
          </w:p>
        </w:tc>
        <w:tc>
          <w:tcPr>
            <w:vAlign w:val="center"/>
          </w:tcPr>
          <w:p>
            <w:pPr>
              <w:jc w:val="right"/>
            </w:pPr>
            <w:r>
              <w:rPr>
                <w:color w:val="000000"/>
                <w:sz w:val="24"/>
              </w:rPr>
              <w:t>1,000,000</w:t>
            </w:r>
          </w:p>
        </w:tc>
        <w:tc>
          <w:tcPr>
            <w:vAlign w:val="center"/>
          </w:tcPr>
          <w:p>
            <w:pPr>
              <w:jc w:val="right"/>
            </w:pPr>
            <w:r>
              <w:rPr>
                <w:color w:val="000000"/>
                <w:sz w:val="24"/>
              </w:rPr>
              <w:t>98,659,438.20</w:t>
            </w:r>
          </w:p>
        </w:tc>
        <w:tc>
          <w:tcPr>
            <w:vAlign w:val="center"/>
          </w:tcPr>
          <w:p>
            <w:pPr>
              <w:jc w:val="right"/>
            </w:pPr>
            <w:r>
              <w:rPr>
                <w:color w:val="000000"/>
                <w:sz w:val="24"/>
              </w:rPr>
              <w:t>3.82</w:t>
            </w:r>
          </w:p>
        </w:tc>
      </w:tr>
      <w:tr>
        <w:tc>
          <w:tcPr>
            <w:vAlign w:val="center"/>
          </w:tcPr>
          <w:p>
            <w:pPr>
              <w:jc w:val="center"/>
            </w:pPr>
            <w:r>
              <w:rPr>
                <w:color w:val="000000"/>
                <w:sz w:val="24"/>
              </w:rPr>
              <w:t>4</w:t>
            </w:r>
          </w:p>
        </w:tc>
        <w:tc>
          <w:tcPr>
            <w:vAlign w:val="center"/>
          </w:tcPr>
          <w:p>
            <w:pPr>
              <w:jc w:val="center"/>
            </w:pPr>
            <w:r>
              <w:rPr>
                <w:color w:val="000000"/>
                <w:sz w:val="24"/>
              </w:rPr>
              <w:t>112019475</w:t>
            </w:r>
          </w:p>
        </w:tc>
        <w:tc>
          <w:tcPr>
            <w:vAlign w:val="center"/>
          </w:tcPr>
          <w:p>
            <w:pPr>
              <w:jc w:val="center"/>
            </w:pPr>
            <w:r>
              <w:rPr>
                <w:color w:val="000000"/>
                <w:sz w:val="24"/>
              </w:rPr>
              <w:t>20恒丰银行CD475</w:t>
            </w:r>
          </w:p>
        </w:tc>
        <w:tc>
          <w:tcPr>
            <w:vAlign w:val="center"/>
          </w:tcPr>
          <w:p>
            <w:pPr>
              <w:jc w:val="right"/>
            </w:pPr>
            <w:r>
              <w:rPr>
                <w:color w:val="000000"/>
                <w:sz w:val="24"/>
              </w:rPr>
              <w:t>1,000,000</w:t>
            </w:r>
          </w:p>
        </w:tc>
        <w:tc>
          <w:tcPr>
            <w:vAlign w:val="center"/>
          </w:tcPr>
          <w:p>
            <w:pPr>
              <w:jc w:val="right"/>
            </w:pPr>
            <w:r>
              <w:rPr>
                <w:color w:val="000000"/>
                <w:sz w:val="24"/>
              </w:rPr>
              <w:t>98,558,356.58</w:t>
            </w:r>
          </w:p>
        </w:tc>
        <w:tc>
          <w:tcPr>
            <w:vAlign w:val="center"/>
          </w:tcPr>
          <w:p>
            <w:pPr>
              <w:jc w:val="right"/>
            </w:pPr>
            <w:r>
              <w:rPr>
                <w:color w:val="000000"/>
                <w:sz w:val="24"/>
              </w:rPr>
              <w:t>3.82</w:t>
            </w:r>
          </w:p>
        </w:tc>
      </w:tr>
      <w:tr>
        <w:tc>
          <w:tcPr>
            <w:vAlign w:val="center"/>
          </w:tcPr>
          <w:p>
            <w:pPr>
              <w:jc w:val="center"/>
            </w:pPr>
            <w:r>
              <w:rPr>
                <w:color w:val="000000"/>
                <w:sz w:val="24"/>
              </w:rPr>
              <w:t>5</w:t>
            </w:r>
          </w:p>
        </w:tc>
        <w:tc>
          <w:tcPr>
            <w:vAlign w:val="center"/>
          </w:tcPr>
          <w:p>
            <w:pPr>
              <w:jc w:val="center"/>
            </w:pPr>
            <w:r>
              <w:rPr>
                <w:color w:val="000000"/>
                <w:sz w:val="24"/>
              </w:rPr>
              <w:t>112075938</w:t>
            </w:r>
          </w:p>
        </w:tc>
        <w:tc>
          <w:tcPr>
            <w:vAlign w:val="center"/>
          </w:tcPr>
          <w:p>
            <w:pPr>
              <w:jc w:val="center"/>
            </w:pPr>
            <w:r>
              <w:rPr>
                <w:color w:val="000000"/>
                <w:sz w:val="24"/>
              </w:rPr>
              <w:t>20青岛银行CD121</w:t>
            </w:r>
          </w:p>
        </w:tc>
        <w:tc>
          <w:tcPr>
            <w:vAlign w:val="center"/>
          </w:tcPr>
          <w:p>
            <w:pPr>
              <w:jc w:val="right"/>
            </w:pPr>
            <w:r>
              <w:rPr>
                <w:color w:val="000000"/>
                <w:sz w:val="24"/>
              </w:rPr>
              <w:t>1,000,000</w:t>
            </w:r>
          </w:p>
        </w:tc>
        <w:tc>
          <w:tcPr>
            <w:vAlign w:val="center"/>
          </w:tcPr>
          <w:p>
            <w:pPr>
              <w:jc w:val="right"/>
            </w:pPr>
            <w:r>
              <w:rPr>
                <w:color w:val="000000"/>
                <w:sz w:val="24"/>
              </w:rPr>
              <w:t>97,012,122.48</w:t>
            </w:r>
          </w:p>
        </w:tc>
        <w:tc>
          <w:tcPr>
            <w:vAlign w:val="center"/>
          </w:tcPr>
          <w:p>
            <w:pPr>
              <w:jc w:val="right"/>
            </w:pPr>
            <w:r>
              <w:rPr>
                <w:color w:val="000000"/>
                <w:sz w:val="24"/>
              </w:rPr>
              <w:t>3.76</w:t>
            </w:r>
          </w:p>
        </w:tc>
      </w:tr>
      <w:tr>
        <w:tc>
          <w:tcPr>
            <w:vAlign w:val="center"/>
          </w:tcPr>
          <w:p>
            <w:pPr>
              <w:jc w:val="center"/>
            </w:pPr>
            <w:r>
              <w:rPr>
                <w:color w:val="000000"/>
                <w:sz w:val="24"/>
              </w:rPr>
              <w:t>6</w:t>
            </w:r>
          </w:p>
        </w:tc>
        <w:tc>
          <w:tcPr>
            <w:vAlign w:val="center"/>
          </w:tcPr>
          <w:p>
            <w:pPr>
              <w:jc w:val="center"/>
            </w:pPr>
            <w:r>
              <w:rPr>
                <w:color w:val="000000"/>
                <w:sz w:val="24"/>
              </w:rPr>
              <w:t>112021532</w:t>
            </w:r>
          </w:p>
        </w:tc>
        <w:tc>
          <w:tcPr>
            <w:vAlign w:val="center"/>
          </w:tcPr>
          <w:p>
            <w:pPr>
              <w:jc w:val="center"/>
            </w:pPr>
            <w:r>
              <w:rPr>
                <w:color w:val="000000"/>
                <w:sz w:val="24"/>
              </w:rPr>
              <w:t>20渤海银行CD532</w:t>
            </w:r>
          </w:p>
        </w:tc>
        <w:tc>
          <w:tcPr>
            <w:vAlign w:val="center"/>
          </w:tcPr>
          <w:p>
            <w:pPr>
              <w:jc w:val="right"/>
            </w:pPr>
            <w:r>
              <w:rPr>
                <w:color w:val="000000"/>
                <w:sz w:val="24"/>
              </w:rPr>
              <w:t>1,000,000</w:t>
            </w:r>
          </w:p>
        </w:tc>
        <w:tc>
          <w:tcPr>
            <w:vAlign w:val="center"/>
          </w:tcPr>
          <w:p>
            <w:pPr>
              <w:jc w:val="right"/>
            </w:pPr>
            <w:r>
              <w:rPr>
                <w:color w:val="000000"/>
                <w:sz w:val="24"/>
              </w:rPr>
              <w:t>96,979,155.64</w:t>
            </w:r>
          </w:p>
        </w:tc>
        <w:tc>
          <w:tcPr>
            <w:vAlign w:val="center"/>
          </w:tcPr>
          <w:p>
            <w:pPr>
              <w:jc w:val="right"/>
            </w:pPr>
            <w:r>
              <w:rPr>
                <w:color w:val="000000"/>
                <w:sz w:val="24"/>
              </w:rPr>
              <w:t>3.76</w:t>
            </w:r>
          </w:p>
        </w:tc>
      </w:tr>
      <w:tr>
        <w:tc>
          <w:tcPr>
            <w:vAlign w:val="center"/>
          </w:tcPr>
          <w:p>
            <w:pPr>
              <w:jc w:val="center"/>
            </w:pPr>
            <w:r>
              <w:rPr>
                <w:color w:val="000000"/>
                <w:sz w:val="24"/>
              </w:rPr>
              <w:t>7</w:t>
            </w:r>
          </w:p>
        </w:tc>
        <w:tc>
          <w:tcPr>
            <w:vAlign w:val="center"/>
          </w:tcPr>
          <w:p>
            <w:pPr>
              <w:jc w:val="center"/>
            </w:pPr>
            <w:r>
              <w:rPr>
                <w:color w:val="000000"/>
                <w:sz w:val="24"/>
              </w:rPr>
              <w:t>112076208</w:t>
            </w:r>
          </w:p>
        </w:tc>
        <w:tc>
          <w:tcPr>
            <w:vAlign w:val="center"/>
          </w:tcPr>
          <w:p>
            <w:pPr>
              <w:jc w:val="center"/>
            </w:pPr>
            <w:r>
              <w:rPr>
                <w:color w:val="000000"/>
                <w:sz w:val="24"/>
              </w:rPr>
              <w:t>20昆仑银行CD198</w:t>
            </w:r>
          </w:p>
        </w:tc>
        <w:tc>
          <w:tcPr>
            <w:vAlign w:val="center"/>
          </w:tcPr>
          <w:p>
            <w:pPr>
              <w:jc w:val="right"/>
            </w:pPr>
            <w:r>
              <w:rPr>
                <w:color w:val="000000"/>
                <w:sz w:val="24"/>
              </w:rPr>
              <w:t>1,000,000</w:t>
            </w:r>
          </w:p>
        </w:tc>
        <w:tc>
          <w:tcPr>
            <w:vAlign w:val="center"/>
          </w:tcPr>
          <w:p>
            <w:pPr>
              <w:jc w:val="right"/>
            </w:pPr>
            <w:r>
              <w:rPr>
                <w:color w:val="000000"/>
                <w:sz w:val="24"/>
              </w:rPr>
              <w:t>96,979,155.64</w:t>
            </w:r>
          </w:p>
        </w:tc>
        <w:tc>
          <w:tcPr>
            <w:vAlign w:val="center"/>
          </w:tcPr>
          <w:p>
            <w:pPr>
              <w:jc w:val="right"/>
            </w:pPr>
            <w:r>
              <w:rPr>
                <w:color w:val="000000"/>
                <w:sz w:val="24"/>
              </w:rPr>
              <w:t>3.76</w:t>
            </w:r>
          </w:p>
        </w:tc>
      </w:tr>
      <w:tr>
        <w:tc>
          <w:tcPr>
            <w:vAlign w:val="center"/>
          </w:tcPr>
          <w:p>
            <w:pPr>
              <w:jc w:val="center"/>
            </w:pPr>
            <w:r>
              <w:rPr>
                <w:color w:val="000000"/>
                <w:sz w:val="24"/>
              </w:rPr>
              <w:t>8</w:t>
            </w:r>
          </w:p>
        </w:tc>
        <w:tc>
          <w:tcPr>
            <w:vAlign w:val="center"/>
          </w:tcPr>
          <w:p>
            <w:pPr>
              <w:jc w:val="center"/>
            </w:pPr>
            <w:r>
              <w:rPr>
                <w:color w:val="000000"/>
                <w:sz w:val="24"/>
              </w:rPr>
              <w:t>180203</w:t>
            </w:r>
          </w:p>
        </w:tc>
        <w:tc>
          <w:tcPr>
            <w:vAlign w:val="center"/>
          </w:tcPr>
          <w:p>
            <w:pPr>
              <w:jc w:val="center"/>
            </w:pPr>
            <w:r>
              <w:rPr>
                <w:color w:val="000000"/>
                <w:sz w:val="24"/>
              </w:rPr>
              <w:t>18国开03</w:t>
            </w:r>
          </w:p>
        </w:tc>
        <w:tc>
          <w:tcPr>
            <w:vAlign w:val="center"/>
          </w:tcPr>
          <w:p>
            <w:pPr>
              <w:jc w:val="right"/>
            </w:pPr>
            <w:r>
              <w:rPr>
                <w:color w:val="000000"/>
                <w:sz w:val="24"/>
              </w:rPr>
              <w:t>700,000</w:t>
            </w:r>
          </w:p>
        </w:tc>
        <w:tc>
          <w:tcPr>
            <w:vAlign w:val="center"/>
          </w:tcPr>
          <w:p>
            <w:pPr>
              <w:jc w:val="right"/>
            </w:pPr>
            <w:r>
              <w:rPr>
                <w:color w:val="000000"/>
                <w:sz w:val="24"/>
              </w:rPr>
              <w:t>70,262,316.37</w:t>
            </w:r>
          </w:p>
        </w:tc>
        <w:tc>
          <w:tcPr>
            <w:vAlign w:val="center"/>
          </w:tcPr>
          <w:p>
            <w:pPr>
              <w:jc w:val="right"/>
            </w:pPr>
            <w:r>
              <w:rPr>
                <w:color w:val="000000"/>
                <w:sz w:val="24"/>
              </w:rPr>
              <w:t>2.72</w:t>
            </w:r>
          </w:p>
        </w:tc>
      </w:tr>
      <w:tr>
        <w:tc>
          <w:tcPr>
            <w:vAlign w:val="center"/>
          </w:tcPr>
          <w:p>
            <w:pPr>
              <w:jc w:val="center"/>
            </w:pPr>
            <w:r>
              <w:rPr>
                <w:color w:val="000000"/>
                <w:sz w:val="24"/>
              </w:rPr>
              <w:t>9</w:t>
            </w:r>
          </w:p>
        </w:tc>
        <w:tc>
          <w:tcPr>
            <w:vAlign w:val="center"/>
          </w:tcPr>
          <w:p>
            <w:pPr>
              <w:jc w:val="center"/>
            </w:pPr>
            <w:r>
              <w:rPr>
                <w:color w:val="000000"/>
                <w:sz w:val="24"/>
              </w:rPr>
              <w:t>160206</w:t>
            </w:r>
          </w:p>
        </w:tc>
        <w:tc>
          <w:tcPr>
            <w:vAlign w:val="center"/>
          </w:tcPr>
          <w:p>
            <w:pPr>
              <w:jc w:val="center"/>
            </w:pPr>
            <w:r>
              <w:rPr>
                <w:color w:val="000000"/>
                <w:sz w:val="24"/>
              </w:rPr>
              <w:t>16国开06</w:t>
            </w:r>
          </w:p>
        </w:tc>
        <w:tc>
          <w:tcPr>
            <w:vAlign w:val="center"/>
          </w:tcPr>
          <w:p>
            <w:pPr>
              <w:jc w:val="right"/>
            </w:pPr>
            <w:r>
              <w:rPr>
                <w:color w:val="000000"/>
                <w:sz w:val="24"/>
              </w:rPr>
              <w:t>500,000</w:t>
            </w:r>
          </w:p>
        </w:tc>
        <w:tc>
          <w:tcPr>
            <w:vAlign w:val="center"/>
          </w:tcPr>
          <w:p>
            <w:pPr>
              <w:jc w:val="right"/>
            </w:pPr>
            <w:r>
              <w:rPr>
                <w:color w:val="000000"/>
                <w:sz w:val="24"/>
              </w:rPr>
              <w:t>50,003,603.56</w:t>
            </w:r>
          </w:p>
        </w:tc>
        <w:tc>
          <w:tcPr>
            <w:vAlign w:val="center"/>
          </w:tcPr>
          <w:p>
            <w:pPr>
              <w:jc w:val="right"/>
            </w:pPr>
            <w:r>
              <w:rPr>
                <w:color w:val="000000"/>
                <w:sz w:val="24"/>
              </w:rPr>
              <w:t>1.94</w:t>
            </w:r>
          </w:p>
        </w:tc>
      </w:tr>
      <w:tr>
        <w:tc>
          <w:tcPr>
            <w:vAlign w:val="center"/>
          </w:tcPr>
          <w:p>
            <w:pPr>
              <w:jc w:val="center"/>
            </w:pPr>
            <w:r>
              <w:rPr>
                <w:color w:val="000000"/>
                <w:sz w:val="24"/>
              </w:rPr>
              <w:t>10</w:t>
            </w:r>
          </w:p>
        </w:tc>
        <w:tc>
          <w:tcPr>
            <w:vAlign w:val="center"/>
          </w:tcPr>
          <w:p>
            <w:pPr>
              <w:jc w:val="center"/>
            </w:pPr>
            <w:r>
              <w:rPr>
                <w:color w:val="000000"/>
                <w:sz w:val="24"/>
              </w:rPr>
              <w:t>112093442</w:t>
            </w:r>
          </w:p>
        </w:tc>
        <w:tc>
          <w:tcPr>
            <w:vAlign w:val="center"/>
          </w:tcPr>
          <w:p>
            <w:pPr>
              <w:jc w:val="center"/>
            </w:pPr>
            <w:r>
              <w:rPr>
                <w:color w:val="000000"/>
                <w:sz w:val="24"/>
              </w:rPr>
              <w:t>20厦门国际银行CD044</w:t>
            </w:r>
          </w:p>
        </w:tc>
        <w:tc>
          <w:tcPr>
            <w:vAlign w:val="center"/>
          </w:tcPr>
          <w:p>
            <w:pPr>
              <w:jc w:val="right"/>
            </w:pPr>
            <w:r>
              <w:rPr>
                <w:color w:val="000000"/>
                <w:sz w:val="24"/>
              </w:rPr>
              <w:t>500,000</w:t>
            </w:r>
          </w:p>
        </w:tc>
        <w:tc>
          <w:tcPr>
            <w:vAlign w:val="center"/>
          </w:tcPr>
          <w:p>
            <w:pPr>
              <w:jc w:val="right"/>
            </w:pPr>
            <w:r>
              <w:rPr>
                <w:color w:val="000000"/>
                <w:sz w:val="24"/>
              </w:rPr>
              <w:t>49,771,180.41</w:t>
            </w:r>
          </w:p>
        </w:tc>
        <w:tc>
          <w:tcPr>
            <w:vAlign w:val="center"/>
          </w:tcPr>
          <w:p>
            <w:pPr>
              <w:jc w:val="right"/>
            </w:pPr>
            <w:r>
              <w:rPr>
                <w:color w:val="000000"/>
                <w:sz w:val="24"/>
              </w:rPr>
              <w:t>1.93</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0.0738%</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-0.0019%</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0.0150%</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w:t>
      </w:r>
      <w:bookmarkStart w:id="2" w:name="_GoBack"/>
      <w:r w:rsidR="00615DAC" w:rsidRPr="00615DAC">
        <w:rPr>
          <w:rFonts w:hAnsi="宋体" w:hint="eastAsia"/>
          <w:b/>
          <w:color w:val="000000"/>
          <w:kern w:val="0"/>
          <w:sz w:val="24"/>
        </w:rPr>
        <w:t>摊余成本</w:t>
      </w:r>
      <w:bookmarkEnd w:id="2"/>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169682</w:t>
            </w:r>
          </w:p>
        </w:tc>
        <w:tc>
          <w:tcPr>
            <w:vAlign w:val="center"/>
          </w:tcPr>
          <w:p>
            <w:pPr>
              <w:jc w:val="center"/>
            </w:pPr>
            <w:r>
              <w:rPr>
                <w:color w:val="000000"/>
                <w:sz w:val="24"/>
              </w:rPr>
              <w:t>致远01A1</w:t>
            </w:r>
          </w:p>
        </w:tc>
        <w:tc>
          <w:tcPr>
            <w:vAlign w:val="center"/>
          </w:tcPr>
          <w:p>
            <w:pPr>
              <w:jc w:val="right"/>
            </w:pPr>
            <w:r>
              <w:rPr>
                <w:color w:val="000000"/>
                <w:sz w:val="24"/>
              </w:rPr>
              <w:t>800,000</w:t>
            </w:r>
          </w:p>
        </w:tc>
        <w:tc>
          <w:tcPr>
            <w:vAlign w:val="center"/>
          </w:tcPr>
          <w:p>
            <w:pPr>
              <w:jc w:val="right"/>
            </w:pPr>
            <w:r>
              <w:rPr>
                <w:color w:val="000000"/>
                <w:sz w:val="24"/>
              </w:rPr>
              <w:t>80,000,000.00</w:t>
            </w:r>
          </w:p>
        </w:tc>
        <w:tc>
          <w:tcPr>
            <w:vAlign w:val="center"/>
          </w:tcPr>
          <w:p>
            <w:pPr>
              <w:jc w:val="right"/>
            </w:pPr>
            <w:r>
              <w:rPr>
                <w:color w:val="000000"/>
                <w:sz w:val="24"/>
              </w:rPr>
              <w:t>3.10</w:t>
            </w:r>
          </w:p>
        </w:tc>
      </w:tr>
      <w:tr>
        <w:tc>
          <w:tcPr>
            <w:vAlign w:val="center"/>
          </w:tcPr>
          <w:p>
            <w:pPr>
              <w:jc w:val="center"/>
            </w:pPr>
            <w:r>
              <w:rPr>
                <w:color w:val="000000"/>
                <w:sz w:val="24"/>
              </w:rPr>
              <w:t>2</w:t>
            </w:r>
          </w:p>
        </w:tc>
        <w:tc>
          <w:tcPr>
            <w:vAlign w:val="center"/>
          </w:tcPr>
          <w:p>
            <w:pPr>
              <w:jc w:val="center"/>
            </w:pPr>
            <w:r>
              <w:rPr>
                <w:color w:val="000000"/>
                <w:sz w:val="24"/>
              </w:rPr>
              <w:t>169422</w:t>
            </w:r>
          </w:p>
        </w:tc>
        <w:tc>
          <w:tcPr>
            <w:vAlign w:val="center"/>
          </w:tcPr>
          <w:p>
            <w:pPr>
              <w:jc w:val="center"/>
            </w:pPr>
            <w:r>
              <w:rPr>
                <w:color w:val="000000"/>
                <w:sz w:val="24"/>
              </w:rPr>
              <w:t>霄驰01A</w:t>
            </w:r>
          </w:p>
        </w:tc>
        <w:tc>
          <w:tcPr>
            <w:vAlign w:val="center"/>
          </w:tcPr>
          <w:p>
            <w:pPr>
              <w:jc w:val="right"/>
            </w:pPr>
            <w:r>
              <w:rPr>
                <w:color w:val="000000"/>
                <w:sz w:val="24"/>
              </w:rPr>
              <w:t>280,000</w:t>
            </w:r>
          </w:p>
        </w:tc>
        <w:tc>
          <w:tcPr>
            <w:vAlign w:val="center"/>
          </w:tcPr>
          <w:p>
            <w:pPr>
              <w:jc w:val="right"/>
            </w:pPr>
            <w:r>
              <w:rPr>
                <w:color w:val="000000"/>
                <w:sz w:val="24"/>
              </w:rPr>
              <w:t>28,000,000.00</w:t>
            </w:r>
          </w:p>
        </w:tc>
        <w:tc>
          <w:tcPr>
            <w:vAlign w:val="center"/>
          </w:tcPr>
          <w:p>
            <w:pPr>
              <w:jc w:val="right"/>
            </w:pPr>
            <w:r>
              <w:rPr>
                <w:color w:val="000000"/>
                <w:sz w:val="24"/>
              </w:rPr>
              <w:t>1.08</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6,886,868.21</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1,555,999.54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8,442,867.75</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交银天利宝货币A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交银天利宝货币E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1,640,300,129.50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735,879,525.97</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2,309,102,682.27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235,663,409.11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2,088,788,795.13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250,710,038.60</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1,860,614,016.64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720,832,896.48</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2、如果本报告期间发生转换出、份额类别调整业务，则总赎回份额中包含该业务；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xml:space="preserve">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3,842,178.50</w:t>
            </w:r>
          </w:p>
        </w:tc>
        <w:tc>
          <w:tcPr>
            <w:vAlign w:val="center"/>
          </w:tcPr>
          <w:p>
            <w:pPr>
              <w:jc w:val="right"/>
            </w:pPr>
            <w:r>
              <w:rPr>
                <w:color w:val="000000"/>
                <w:sz w:val="24"/>
              </w:rPr>
              <w:t>3,842,178.50</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3,842,178.50</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3,842,178.50</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注：1、本基金管理人本报告期末持有本基金E类份额583,603,765.06份，占本基金期末E类基金总份额的80.96%，本基金管理人本报告期末持有本基金A类份额0.00份，占本基金期末A类基金总份额的0.00%。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2020/10/1-2020/12/31</w:t>
            </w:r>
          </w:p>
        </w:tc>
        <w:tc>
          <w:tcPr>
            <w:vAlign w:val="center"/>
          </w:tcPr>
          <w:p>
            <w:pPr>
              <w:jc w:val="center"/>
            </w:pPr>
            <w:r>
              <w:rPr>
                <w:rFonts w:ascii="宋体" w:hAnsi="宋体" w:hint="eastAsia"/>
                <w:color w:val="000000"/>
                <w:kern w:val="0"/>
                <w:szCs w:val="21"/>
              </w:rPr>
              <w:t>579,761,586.56</w:t>
            </w:r>
          </w:p>
        </w:tc>
        <w:tc>
          <w:tcPr>
            <w:vAlign w:val="center"/>
          </w:tcPr>
          <w:p>
            <w:pPr>
              <w:jc w:val="center"/>
            </w:pPr>
            <w:r>
              <w:rPr>
                <w:rFonts w:ascii="宋体" w:hAnsi="宋体" w:hint="eastAsia"/>
                <w:color w:val="000000"/>
                <w:kern w:val="0"/>
                <w:szCs w:val="21"/>
              </w:rPr>
              <w:t>3,842,178.50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583,603,765.06</w:t>
            </w:r>
          </w:p>
        </w:tc>
        <w:tc>
          <w:tcPr>
            <w:vAlign w:val="center"/>
          </w:tcPr>
          <w:p>
            <w:pPr>
              <w:jc w:val="center"/>
            </w:pPr>
            <w:r>
              <w:rPr>
                <w:rFonts w:ascii="宋体" w:hAnsi="宋体" w:hint="eastAsia"/>
                <w:color w:val="000000"/>
                <w:kern w:val="0"/>
                <w:szCs w:val="21"/>
              </w:rPr>
              <w:t>22.61%</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1、中国证监会准予交银施罗德天利宝货币市场基金募集注册的文件； </w:t>
      </w:r>
    </w:p>
    <w:p>
      <w:pPr>
        <w:spacing w:before="29" w:line="288" w:lineRule="auto"/>
        <w:ind w:firstLine="480" w:firstLineChars="200"/>
        <w:rPr>
          <w:color w:val="000000"/>
          <w:sz w:val="24"/>
        </w:rPr>
      </w:pPr>
      <w:r>
        <w:rPr>
          <w:color w:val="000000"/>
          <w:sz w:val="24"/>
        </w:rPr>
        <w:t xml:space="preserve">2、《交银施罗德天利宝货币市场基金基金合同》； </w:t>
      </w:r>
    </w:p>
    <w:p>
      <w:pPr>
        <w:spacing w:before="29" w:line="288" w:lineRule="auto"/>
        <w:ind w:firstLine="480" w:firstLineChars="200"/>
        <w:rPr>
          <w:color w:val="000000"/>
          <w:sz w:val="24"/>
        </w:rPr>
      </w:pPr>
      <w:r>
        <w:rPr>
          <w:color w:val="000000"/>
          <w:sz w:val="24"/>
        </w:rPr>
        <w:t xml:space="preserve">3、《交银施罗德天利宝货币市场基金招募说明书》； </w:t>
      </w:r>
    </w:p>
    <w:p>
      <w:pPr>
        <w:spacing w:before="29" w:line="288" w:lineRule="auto"/>
        <w:ind w:firstLine="480" w:firstLineChars="200"/>
        <w:rPr>
          <w:color w:val="000000"/>
          <w:sz w:val="24"/>
        </w:rPr>
      </w:pPr>
      <w:r>
        <w:rPr>
          <w:color w:val="000000"/>
          <w:sz w:val="24"/>
        </w:rPr>
        <w:t xml:space="preserve">4、《交银施罗德天利宝货币市场基金托管协议》； </w:t>
      </w:r>
    </w:p>
    <w:p>
      <w:pPr>
        <w:spacing w:before="29" w:line="288" w:lineRule="auto"/>
        <w:ind w:firstLine="480" w:firstLineChars="200"/>
        <w:rPr>
          <w:color w:val="000000"/>
          <w:sz w:val="24"/>
        </w:rPr>
      </w:pPr>
      <w:r>
        <w:rPr>
          <w:color w:val="000000"/>
          <w:sz w:val="24"/>
        </w:rPr>
        <w:t xml:space="preserve">5、关于申请募集注册交银施罗德天利宝货币市场基金的法律意见书；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8、报告期内交银施罗德天利宝货币市场基金在指定报刊上各项公告的原稿。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9D6" w:rsidRDefault="00F079D6">
      <w:r>
        <w:separator/>
      </w:r>
    </w:p>
  </w:endnote>
  <w:endnote w:type="continuationSeparator" w:id="0">
    <w:p w:rsidR="00F079D6" w:rsidRDefault="00F07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15DAC">
      <w:rPr>
        <w:noProof/>
        <w:kern w:val="0"/>
        <w:szCs w:val="21"/>
      </w:rPr>
      <w:t>17</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615DAC">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F079D6" w:rsidRDefault="00F079D6">
      <w:r>
        <w:separator/>
      </w:r>
    </w:p>
  </w:footnote>
  <w:footnote w:id="0" w:type="continuationSeparator">
    <w:p w:rsidR="00F079D6" w:rsidRDefault="00F079D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交银施罗德天利宝货币市场基金2020年第4季度报告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5DAC"/>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079D6"/>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946AF8F-3886-48C3-B4A6-13B4F36E1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564</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2020-08-06T06:44:00Z</dcterms:modified>
  <cp:revision>337</cp:revision>
</cp:coreProperties>
</file>