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10,760,173.70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7,208.69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267,311.65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15,690,835.07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1.458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1.82%</w:t>
            </w:r>
          </w:p>
        </w:tc>
        <w:tc>
          <w:tcPr>
            <w:vAlign w:val="center"/>
          </w:tcPr>
          <w:p>
            <w:pPr>
              <w:jc w:val="center"/>
            </w:pPr>
            <w:r>
              <w:rPr>
                <w:color w:val="000000"/>
                <w:sz w:val="24"/>
                <w:szCs w:val="24"/>
              </w:rPr>
              <w:t>0.23%</w:t>
            </w:r>
          </w:p>
        </w:tc>
        <w:tc>
          <w:tcPr>
            <w:vAlign w:val="center"/>
          </w:tcPr>
          <w:p>
            <w:pPr>
              <w:jc w:val="center"/>
            </w:pPr>
            <w:r>
              <w:rPr>
                <w:color w:val="000000"/>
                <w:sz w:val="24"/>
                <w:szCs w:val="24"/>
              </w:rPr>
              <w:t>2.42%</w:t>
            </w:r>
          </w:p>
        </w:tc>
        <w:tc>
          <w:tcPr>
            <w:vAlign w:val="center"/>
          </w:tcPr>
          <w:p>
            <w:pPr>
              <w:jc w:val="center"/>
            </w:pPr>
            <w:r>
              <w:rPr>
                <w:color w:val="000000"/>
                <w:sz w:val="24"/>
                <w:szCs w:val="24"/>
              </w:rPr>
              <w:t>0.11%</w:t>
            </w:r>
          </w:p>
        </w:tc>
        <w:tc>
          <w:tcPr>
            <w:vAlign w:val="center"/>
          </w:tcPr>
          <w:p>
            <w:pPr>
              <w:jc w:val="center"/>
            </w:pPr>
            <w:r>
              <w:rPr>
                <w:color w:val="000000"/>
                <w:sz w:val="24"/>
                <w:szCs w:val="24"/>
              </w:rPr>
              <w:t>-0.60%</w:t>
            </w:r>
          </w:p>
        </w:tc>
        <w:tc>
          <w:tcPr>
            <w:vAlign w:val="center"/>
          </w:tcPr>
          <w:p>
            <w:pPr>
              <w:jc w:val="center"/>
            </w:pPr>
            <w:r>
              <w:rPr>
                <w:color w:val="000000"/>
                <w:sz w:val="24"/>
                <w:szCs w:val="24"/>
              </w:rPr>
              <w:t>0.12%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1.82%</w:t>
            </w:r>
          </w:p>
        </w:tc>
        <w:tc>
          <w:tcPr>
            <w:vAlign w:val="center"/>
          </w:tcPr>
          <w:p>
            <w:pPr>
              <w:jc w:val="center"/>
            </w:pPr>
            <w:r>
              <w:rPr>
                <w:color w:val="000000"/>
                <w:sz w:val="24"/>
                <w:szCs w:val="24"/>
              </w:rPr>
              <w:t>0.22%</w:t>
            </w:r>
          </w:p>
        </w:tc>
        <w:tc>
          <w:tcPr>
            <w:vAlign w:val="center"/>
          </w:tcPr>
          <w:p>
            <w:pPr>
              <w:jc w:val="center"/>
            </w:pPr>
            <w:r>
              <w:rPr>
                <w:color w:val="000000"/>
                <w:sz w:val="24"/>
                <w:szCs w:val="24"/>
              </w:rPr>
              <w:t>2.96%</w:t>
            </w:r>
          </w:p>
        </w:tc>
        <w:tc>
          <w:tcPr>
            <w:vAlign w:val="center"/>
          </w:tcPr>
          <w:p>
            <w:pPr>
              <w:jc w:val="center"/>
            </w:pPr>
            <w:r>
              <w:rPr>
                <w:color w:val="000000"/>
                <w:sz w:val="24"/>
                <w:szCs w:val="24"/>
              </w:rPr>
              <w:t>0.13%</w:t>
            </w:r>
          </w:p>
        </w:tc>
        <w:tc>
          <w:tcPr>
            <w:vAlign w:val="center"/>
          </w:tcPr>
          <w:p>
            <w:pPr>
              <w:jc w:val="center"/>
            </w:pPr>
            <w:r>
              <w:rPr>
                <w:color w:val="000000"/>
                <w:sz w:val="24"/>
                <w:szCs w:val="24"/>
              </w:rPr>
              <w:t>-1.14%</w:t>
            </w:r>
          </w:p>
        </w:tc>
        <w:tc>
          <w:tcPr>
            <w:vAlign w:val="center"/>
          </w:tcPr>
          <w:p>
            <w:pPr>
              <w:jc w:val="center"/>
            </w:pPr>
            <w:r>
              <w:rPr>
                <w:color w:val="000000"/>
                <w:sz w:val="24"/>
                <w:szCs w:val="24"/>
              </w:rPr>
              <w:t>0.09%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4.89%</w:t>
            </w:r>
          </w:p>
        </w:tc>
        <w:tc>
          <w:tcPr>
            <w:vAlign w:val="center"/>
          </w:tcPr>
          <w:p>
            <w:pPr>
              <w:jc w:val="center"/>
            </w:pPr>
            <w:r>
              <w:rPr>
                <w:color w:val="000000"/>
                <w:sz w:val="24"/>
                <w:szCs w:val="24"/>
              </w:rPr>
              <w:t>0.22%</w:t>
            </w:r>
          </w:p>
        </w:tc>
        <w:tc>
          <w:tcPr>
            <w:vAlign w:val="center"/>
          </w:tcPr>
          <w:p>
            <w:pPr>
              <w:jc w:val="center"/>
            </w:pPr>
            <w:r>
              <w:rPr>
                <w:color w:val="000000"/>
                <w:sz w:val="24"/>
                <w:szCs w:val="24"/>
              </w:rPr>
              <w:t>5.41%</w:t>
            </w:r>
          </w:p>
        </w:tc>
        <w:tc>
          <w:tcPr>
            <w:vAlign w:val="center"/>
          </w:tcPr>
          <w:p>
            <w:pPr>
              <w:jc w:val="center"/>
            </w:pPr>
            <w:r>
              <w:rPr>
                <w:color w:val="000000"/>
                <w:sz w:val="24"/>
                <w:szCs w:val="24"/>
              </w:rPr>
              <w:t>0.14%</w:t>
            </w:r>
          </w:p>
        </w:tc>
        <w:tc>
          <w:tcPr>
            <w:vAlign w:val="center"/>
          </w:tcPr>
          <w:p>
            <w:pPr>
              <w:jc w:val="center"/>
            </w:pPr>
            <w:r>
              <w:rPr>
                <w:color w:val="000000"/>
                <w:sz w:val="24"/>
                <w:szCs w:val="24"/>
              </w:rPr>
              <w:t>-0.52%</w:t>
            </w:r>
          </w:p>
        </w:tc>
        <w:tc>
          <w:tcPr>
            <w:vAlign w:val="center"/>
          </w:tcPr>
          <w:p>
            <w:pPr>
              <w:jc w:val="center"/>
            </w:pPr>
            <w:r>
              <w:rPr>
                <w:color w:val="000000"/>
                <w:sz w:val="24"/>
                <w:szCs w:val="24"/>
              </w:rPr>
              <w:t>0.08%</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14.80%</w:t>
            </w:r>
          </w:p>
        </w:tc>
        <w:tc>
          <w:tcPr>
            <w:vAlign w:val="center"/>
          </w:tcPr>
          <w:p>
            <w:pPr>
              <w:jc w:val="center"/>
            </w:pPr>
            <w:r>
              <w:rPr>
                <w:color w:val="000000"/>
                <w:sz w:val="24"/>
                <w:szCs w:val="24"/>
              </w:rPr>
              <w:t>0.26%</w:t>
            </w:r>
          </w:p>
        </w:tc>
        <w:tc>
          <w:tcPr>
            <w:vAlign w:val="center"/>
          </w:tcPr>
          <w:p>
            <w:pPr>
              <w:jc w:val="center"/>
            </w:pPr>
            <w:r>
              <w:rPr>
                <w:color w:val="000000"/>
                <w:sz w:val="24"/>
                <w:szCs w:val="24"/>
              </w:rPr>
              <w:t>18.47%</w:t>
            </w:r>
          </w:p>
        </w:tc>
        <w:tc>
          <w:tcPr>
            <w:vAlign w:val="center"/>
          </w:tcPr>
          <w:p>
            <w:pPr>
              <w:jc w:val="center"/>
            </w:pPr>
            <w:r>
              <w:rPr>
                <w:color w:val="000000"/>
                <w:sz w:val="24"/>
                <w:szCs w:val="24"/>
              </w:rPr>
              <w:t>0.13%</w:t>
            </w:r>
          </w:p>
        </w:tc>
        <w:tc>
          <w:tcPr>
            <w:vAlign w:val="center"/>
          </w:tcPr>
          <w:p>
            <w:pPr>
              <w:jc w:val="center"/>
            </w:pPr>
            <w:r>
              <w:rPr>
                <w:color w:val="000000"/>
                <w:sz w:val="24"/>
                <w:szCs w:val="24"/>
              </w:rPr>
              <w:t>-3.67%</w:t>
            </w:r>
          </w:p>
        </w:tc>
        <w:tc>
          <w:tcPr>
            <w:vAlign w:val="center"/>
          </w:tcPr>
          <w:p>
            <w:pPr>
              <w:jc w:val="center"/>
            </w:pPr>
            <w:r>
              <w:rPr>
                <w:color w:val="000000"/>
                <w:sz w:val="24"/>
                <w:szCs w:val="24"/>
              </w:rPr>
              <w:t>0.13%</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14.80%</w:t>
            </w:r>
          </w:p>
        </w:tc>
        <w:tc>
          <w:tcPr>
            <w:vAlign w:val="center"/>
          </w:tcPr>
          <w:p>
            <w:pPr>
              <w:jc w:val="center"/>
            </w:pPr>
            <w:r>
              <w:rPr>
                <w:color w:val="000000"/>
                <w:sz w:val="24"/>
                <w:szCs w:val="24"/>
              </w:rPr>
              <w:t>0.24%</w:t>
            </w:r>
          </w:p>
        </w:tc>
        <w:tc>
          <w:tcPr>
            <w:vAlign w:val="center"/>
          </w:tcPr>
          <w:p>
            <w:pPr>
              <w:jc w:val="center"/>
            </w:pPr>
            <w:r>
              <w:rPr>
                <w:color w:val="000000"/>
                <w:sz w:val="24"/>
                <w:szCs w:val="24"/>
              </w:rPr>
              <w:t>21.44%</w:t>
            </w:r>
          </w:p>
        </w:tc>
        <w:tc>
          <w:tcPr>
            <w:vAlign w:val="center"/>
          </w:tcPr>
          <w:p>
            <w:pPr>
              <w:jc w:val="center"/>
            </w:pPr>
            <w:r>
              <w:rPr>
                <w:color w:val="000000"/>
                <w:sz w:val="24"/>
                <w:szCs w:val="24"/>
              </w:rPr>
              <w:t>0.12%</w:t>
            </w:r>
          </w:p>
        </w:tc>
        <w:tc>
          <w:tcPr>
            <w:vAlign w:val="center"/>
          </w:tcPr>
          <w:p>
            <w:pPr>
              <w:jc w:val="center"/>
            </w:pPr>
            <w:r>
              <w:rPr>
                <w:color w:val="000000"/>
                <w:sz w:val="24"/>
                <w:szCs w:val="24"/>
              </w:rPr>
              <w:t>-6.64%</w:t>
            </w:r>
          </w:p>
        </w:tc>
        <w:tc>
          <w:tcPr>
            <w:vAlign w:val="center"/>
          </w:tcPr>
          <w:p>
            <w:pPr>
              <w:jc w:val="center"/>
            </w:pPr>
            <w:r>
              <w:rPr>
                <w:color w:val="000000"/>
                <w:sz w:val="24"/>
                <w:szCs w:val="24"/>
              </w:rPr>
              <w:t>0.12%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szCs w:val="24"/>
              </w:rPr>
              <w:t>2020-07-14</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债券市场总体呈现出收益率先上后下的震荡行情。进入十月后，央行重提总闸门引发货币政策进一步收紧的预期，收益率小幅震荡上行。十一月上旬，部分信用债超预期违约事件爆发，引起市场对于弱资质国企信用风险的一致担忧，信用债和利率债均经历了一波大幅下跌。当月下旬开始到年底，随着金稳委出面强调坚决打击逃废债行为，央行配合超预期投放流动性，加上经济工作会议表态不会出现政策“急转弯”，债券市场在配置和交易力量的共同带动下，收益率转而下行，市场情绪明显缓和。权益类资产方面，市场在报告期内大部分时间处于窄幅震荡行情，新能源车、光伏等部分行业有结构性行情。</w:t>
      </w:r>
    </w:p>
    <w:p>
      <w:pPr>
        <w:spacing w:before="29" w:line="288" w:lineRule="auto"/>
        <w:ind w:firstLine="480" w:firstLineChars="200"/>
        <w:rPr>
          <w:color w:val="000000"/>
          <w:sz w:val="24"/>
          <w:szCs w:val="24"/>
        </w:rPr>
      </w:pPr>
      <w:r>
        <w:rPr>
          <w:color w:val="000000"/>
          <w:sz w:val="24"/>
          <w:szCs w:val="24"/>
        </w:rPr>
        <w:t>报告期内，组合的债券资产维持短久期低仓位配置。权益资产则维持在中性仓位附近，行业配置上以消费、新能源板块等行业为主。</w:t>
      </w:r>
    </w:p>
    <w:p>
      <w:pPr>
        <w:spacing w:before="29" w:line="288" w:lineRule="auto"/>
        <w:ind w:firstLine="480" w:firstLineChars="200"/>
        <w:rPr>
          <w:color w:val="000000"/>
          <w:sz w:val="24"/>
          <w:szCs w:val="24"/>
        </w:rPr>
      </w:pPr>
      <w:r>
        <w:rPr>
          <w:color w:val="000000"/>
          <w:sz w:val="24"/>
          <w:szCs w:val="24"/>
        </w:rPr>
        <w:t>展望2021年一季度，经济增长动能将从疫情后以基建、地产等逆周期因素拉动，继续逐步切换到以消费、制造业为支柱的顺周期方向，同时出口受到疫苗接种和海外复苏影响，韧性相对较强，预计2021年的经济运行将回归正常轨道。节奏上，环比增长预计先稳后弱，下半年增长压力或将大于上半年。宏观政策方面，在稳定宏观杠杆率和政策不急转弯的大环境下，2021年或呈现信用环境边际收紧、货币条件先紧后松、通胀趋势先上后稳的格局。对于债券市场，我们认为明年整体机会大于风险。节奏上，预计在二季度前后，经济环比增长动力将边际趋弱，届时债券市场的趋势性配置价值或将显现。同时，2021年信用环境边际收缩、叠加信用债到期压力较大，预计低等级信用债券的信用利差存在持续走扩压力。</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组合策略方面，我们将保持债券资产相对偏低的杠杆和久期，适当关注长端利率的波段交易机会。权益资产方面，我们将寻找未来一段时间景气度较高的行业及行业地位明确、增长确定性较高的公司，在控制组合回撤的前提下，积极把握权益类资产可能带来的增厚组合收益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本基金本报告期内连续六十个工作日出现基金资产净值低于5000万元的情形，截至本报告期末，本基金基金资产净值仍低于5000万元。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3,024,112.00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3,024,112.00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12,924,177.40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12,924,177.40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75.78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807,912.92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4.74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299,724.23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17,055,926.55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115,650.00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1,728,620.00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132,345.00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363,744.00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169,470.00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119,442.00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142,291.00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137,750.00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3,024,112.00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19.27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100</w:t>
            </w:r>
          </w:p>
        </w:tc>
        <w:tc>
          <w:tcPr>
            <w:vAlign w:val="center"/>
          </w:tcPr>
          <w:p>
            <w:pPr>
              <w:jc w:val="right"/>
            </w:pPr>
            <w:r>
              <w:rPr>
                <w:color w:val="000000"/>
                <w:sz w:val="24"/>
                <w:szCs w:val="24"/>
              </w:rPr>
              <w:t>199,800.00</w:t>
            </w:r>
          </w:p>
        </w:tc>
        <w:tc>
          <w:tcPr>
            <w:vAlign w:val="center"/>
          </w:tcPr>
          <w:p>
            <w:pPr>
              <w:jc w:val="right"/>
            </w:pPr>
            <w:r>
              <w:rPr>
                <w:color w:val="000000"/>
                <w:sz w:val="24"/>
                <w:szCs w:val="24"/>
              </w:rPr>
              <w:t>1.27</w:t>
            </w:r>
          </w:p>
        </w:tc>
      </w:tr>
      <w:tr>
        <w:tc>
          <w:tcPr>
            <w:vAlign w:val="center"/>
          </w:tcPr>
          <w:p>
            <w:pPr>
              <w:jc w:val="center"/>
            </w:pPr>
            <w:r>
              <w:rPr>
                <w:color w:val="000000"/>
                <w:sz w:val="24"/>
                <w:szCs w:val="24"/>
              </w:rPr>
              <w:t>2</w:t>
            </w:r>
          </w:p>
        </w:tc>
        <w:tc>
          <w:tcPr>
            <w:vAlign w:val="center"/>
          </w:tcPr>
          <w:p>
            <w:pPr>
              <w:jc w:val="center"/>
            </w:pPr>
            <w:r>
              <w:rPr>
                <w:color w:val="000000"/>
                <w:sz w:val="24"/>
                <w:szCs w:val="24"/>
              </w:rPr>
              <w:t>300750</w:t>
            </w:r>
          </w:p>
        </w:tc>
        <w:tc>
          <w:tcPr>
            <w:vAlign w:val="center"/>
          </w:tcPr>
          <w:p>
            <w:pPr>
              <w:jc w:val="center"/>
            </w:pPr>
            <w:r>
              <w:rPr>
                <w:color w:val="000000"/>
                <w:sz w:val="24"/>
                <w:szCs w:val="24"/>
              </w:rPr>
              <w:t>宁德时代</w:t>
            </w:r>
          </w:p>
        </w:tc>
        <w:tc>
          <w:tcPr>
            <w:vAlign w:val="center"/>
          </w:tcPr>
          <w:p>
            <w:pPr>
              <w:jc w:val="right"/>
            </w:pPr>
            <w:r>
              <w:rPr>
                <w:color w:val="000000"/>
                <w:sz w:val="24"/>
                <w:szCs w:val="24"/>
              </w:rPr>
              <w:t>500</w:t>
            </w:r>
          </w:p>
        </w:tc>
        <w:tc>
          <w:tcPr>
            <w:vAlign w:val="center"/>
          </w:tcPr>
          <w:p>
            <w:pPr>
              <w:jc w:val="right"/>
            </w:pPr>
            <w:r>
              <w:rPr>
                <w:color w:val="000000"/>
                <w:sz w:val="24"/>
                <w:szCs w:val="24"/>
              </w:rPr>
              <w:t>175,555.00</w:t>
            </w:r>
          </w:p>
        </w:tc>
        <w:tc>
          <w:tcPr>
            <w:vAlign w:val="center"/>
          </w:tcPr>
          <w:p>
            <w:pPr>
              <w:jc w:val="right"/>
            </w:pPr>
            <w:r>
              <w:rPr>
                <w:color w:val="000000"/>
                <w:sz w:val="24"/>
                <w:szCs w:val="24"/>
              </w:rPr>
              <w:t>1.12</w:t>
            </w:r>
          </w:p>
        </w:tc>
      </w:tr>
      <w:tr>
        <w:tc>
          <w:tcPr>
            <w:vAlign w:val="center"/>
          </w:tcPr>
          <w:p>
            <w:pPr>
              <w:jc w:val="center"/>
            </w:pPr>
            <w:r>
              <w:rPr>
                <w:color w:val="000000"/>
                <w:sz w:val="24"/>
                <w:szCs w:val="24"/>
              </w:rPr>
              <w:t>3</w:t>
            </w:r>
          </w:p>
        </w:tc>
        <w:tc>
          <w:tcPr>
            <w:vAlign w:val="center"/>
          </w:tcPr>
          <w:p>
            <w:pPr>
              <w:jc w:val="center"/>
            </w:pPr>
            <w:r>
              <w:rPr>
                <w:color w:val="000000"/>
                <w:sz w:val="24"/>
                <w:szCs w:val="24"/>
              </w:rPr>
              <w:t>601888</w:t>
            </w:r>
          </w:p>
        </w:tc>
        <w:tc>
          <w:tcPr>
            <w:vAlign w:val="center"/>
          </w:tcPr>
          <w:p>
            <w:pPr>
              <w:jc w:val="center"/>
            </w:pPr>
            <w:r>
              <w:rPr>
                <w:color w:val="000000"/>
                <w:sz w:val="24"/>
                <w:szCs w:val="24"/>
              </w:rPr>
              <w:t>中国中免</w:t>
            </w:r>
          </w:p>
        </w:tc>
        <w:tc>
          <w:tcPr>
            <w:vAlign w:val="center"/>
          </w:tcPr>
          <w:p>
            <w:pPr>
              <w:jc w:val="right"/>
            </w:pPr>
            <w:r>
              <w:rPr>
                <w:color w:val="000000"/>
                <w:sz w:val="24"/>
                <w:szCs w:val="24"/>
              </w:rPr>
              <w:t>600</w:t>
            </w:r>
          </w:p>
        </w:tc>
        <w:tc>
          <w:tcPr>
            <w:vAlign w:val="center"/>
          </w:tcPr>
          <w:p>
            <w:pPr>
              <w:jc w:val="right"/>
            </w:pPr>
            <w:r>
              <w:rPr>
                <w:color w:val="000000"/>
                <w:sz w:val="24"/>
                <w:szCs w:val="24"/>
              </w:rPr>
              <w:t>169,470.00</w:t>
            </w:r>
          </w:p>
        </w:tc>
        <w:tc>
          <w:tcPr>
            <w:vAlign w:val="center"/>
          </w:tcPr>
          <w:p>
            <w:pPr>
              <w:jc w:val="right"/>
            </w:pPr>
            <w:r>
              <w:rPr>
                <w:color w:val="000000"/>
                <w:sz w:val="24"/>
                <w:szCs w:val="24"/>
              </w:rPr>
              <w:t>1.08</w:t>
            </w:r>
          </w:p>
        </w:tc>
      </w:tr>
      <w:tr>
        <w:tc>
          <w:tcPr>
            <w:vAlign w:val="center"/>
          </w:tcPr>
          <w:p>
            <w:pPr>
              <w:jc w:val="center"/>
            </w:pPr>
            <w:r>
              <w:rPr>
                <w:color w:val="000000"/>
                <w:sz w:val="24"/>
                <w:szCs w:val="24"/>
              </w:rPr>
              <w:t>4</w:t>
            </w:r>
          </w:p>
        </w:tc>
        <w:tc>
          <w:tcPr>
            <w:vAlign w:val="center"/>
          </w:tcPr>
          <w:p>
            <w:pPr>
              <w:jc w:val="center"/>
            </w:pPr>
            <w:r>
              <w:rPr>
                <w:color w:val="000000"/>
                <w:sz w:val="24"/>
                <w:szCs w:val="24"/>
              </w:rPr>
              <w:t>601012</w:t>
            </w:r>
          </w:p>
        </w:tc>
        <w:tc>
          <w:tcPr>
            <w:vAlign w:val="center"/>
          </w:tcPr>
          <w:p>
            <w:pPr>
              <w:jc w:val="center"/>
            </w:pPr>
            <w:r>
              <w:rPr>
                <w:color w:val="000000"/>
                <w:sz w:val="24"/>
                <w:szCs w:val="24"/>
              </w:rPr>
              <w:t>隆基股份</w:t>
            </w:r>
          </w:p>
        </w:tc>
        <w:tc>
          <w:tcPr>
            <w:vAlign w:val="center"/>
          </w:tcPr>
          <w:p>
            <w:pPr>
              <w:jc w:val="right"/>
            </w:pPr>
            <w:r>
              <w:rPr>
                <w:color w:val="000000"/>
                <w:sz w:val="24"/>
                <w:szCs w:val="24"/>
              </w:rPr>
              <w:t>1,700</w:t>
            </w:r>
          </w:p>
        </w:tc>
        <w:tc>
          <w:tcPr>
            <w:vAlign w:val="center"/>
          </w:tcPr>
          <w:p>
            <w:pPr>
              <w:jc w:val="right"/>
            </w:pPr>
            <w:r>
              <w:rPr>
                <w:color w:val="000000"/>
                <w:sz w:val="24"/>
                <w:szCs w:val="24"/>
              </w:rPr>
              <w:t>156,740.00</w:t>
            </w:r>
          </w:p>
        </w:tc>
        <w:tc>
          <w:tcPr>
            <w:vAlign w:val="center"/>
          </w:tcPr>
          <w:p>
            <w:pPr>
              <w:jc w:val="right"/>
            </w:pPr>
            <w:r>
              <w:rPr>
                <w:color w:val="000000"/>
                <w:sz w:val="24"/>
                <w:szCs w:val="24"/>
              </w:rPr>
              <w:t>1.00</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1,400</w:t>
            </w:r>
          </w:p>
        </w:tc>
        <w:tc>
          <w:tcPr>
            <w:vAlign w:val="center"/>
          </w:tcPr>
          <w:p>
            <w:pPr>
              <w:jc w:val="right"/>
            </w:pPr>
            <w:r>
              <w:rPr>
                <w:color w:val="000000"/>
                <w:sz w:val="24"/>
                <w:szCs w:val="24"/>
              </w:rPr>
              <w:t>156,044.00</w:t>
            </w:r>
          </w:p>
        </w:tc>
        <w:tc>
          <w:tcPr>
            <w:vAlign w:val="center"/>
          </w:tcPr>
          <w:p>
            <w:pPr>
              <w:jc w:val="right"/>
            </w:pPr>
            <w:r>
              <w:rPr>
                <w:color w:val="000000"/>
                <w:sz w:val="24"/>
                <w:szCs w:val="24"/>
              </w:rPr>
              <w:t>0.99</w:t>
            </w:r>
          </w:p>
        </w:tc>
      </w:tr>
      <w:tr>
        <w:tc>
          <w:tcPr>
            <w:vAlign w:val="center"/>
          </w:tcPr>
          <w:p>
            <w:pPr>
              <w:jc w:val="center"/>
            </w:pPr>
            <w:r>
              <w:rPr>
                <w:color w:val="000000"/>
                <w:sz w:val="24"/>
                <w:szCs w:val="24"/>
              </w:rPr>
              <w:t>6</w:t>
            </w:r>
          </w:p>
        </w:tc>
        <w:tc>
          <w:tcPr>
            <w:vAlign w:val="center"/>
          </w:tcPr>
          <w:p>
            <w:pPr>
              <w:jc w:val="center"/>
            </w:pPr>
            <w:r>
              <w:rPr>
                <w:color w:val="000000"/>
                <w:sz w:val="24"/>
                <w:szCs w:val="24"/>
              </w:rPr>
              <w:t>300015</w:t>
            </w:r>
          </w:p>
        </w:tc>
        <w:tc>
          <w:tcPr>
            <w:vAlign w:val="center"/>
          </w:tcPr>
          <w:p>
            <w:pPr>
              <w:jc w:val="center"/>
            </w:pPr>
            <w:r>
              <w:rPr>
                <w:color w:val="000000"/>
                <w:sz w:val="24"/>
                <w:szCs w:val="24"/>
              </w:rPr>
              <w:t>爱尔眼科</w:t>
            </w:r>
          </w:p>
        </w:tc>
        <w:tc>
          <w:tcPr>
            <w:vAlign w:val="center"/>
          </w:tcPr>
          <w:p>
            <w:pPr>
              <w:jc w:val="right"/>
            </w:pPr>
            <w:r>
              <w:rPr>
                <w:color w:val="000000"/>
                <w:sz w:val="24"/>
                <w:szCs w:val="24"/>
              </w:rPr>
              <w:t>1,900</w:t>
            </w:r>
          </w:p>
        </w:tc>
        <w:tc>
          <w:tcPr>
            <w:vAlign w:val="center"/>
          </w:tcPr>
          <w:p>
            <w:pPr>
              <w:jc w:val="right"/>
            </w:pPr>
            <w:r>
              <w:rPr>
                <w:color w:val="000000"/>
                <w:sz w:val="24"/>
                <w:szCs w:val="24"/>
              </w:rPr>
              <w:t>142,291.00</w:t>
            </w:r>
          </w:p>
        </w:tc>
        <w:tc>
          <w:tcPr>
            <w:vAlign w:val="center"/>
          </w:tcPr>
          <w:p>
            <w:pPr>
              <w:jc w:val="right"/>
            </w:pPr>
            <w:r>
              <w:rPr>
                <w:color w:val="000000"/>
                <w:sz w:val="24"/>
                <w:szCs w:val="24"/>
              </w:rPr>
              <w:t>0.91</w:t>
            </w:r>
          </w:p>
        </w:tc>
      </w:tr>
      <w:tr>
        <w:tc>
          <w:tcPr>
            <w:vAlign w:val="center"/>
          </w:tcPr>
          <w:p>
            <w:pPr>
              <w:jc w:val="center"/>
            </w:pPr>
            <w:r>
              <w:rPr>
                <w:color w:val="000000"/>
                <w:sz w:val="24"/>
                <w:szCs w:val="24"/>
              </w:rPr>
              <w:t>7</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3,200</w:t>
            </w:r>
          </w:p>
        </w:tc>
        <w:tc>
          <w:tcPr>
            <w:vAlign w:val="center"/>
          </w:tcPr>
          <w:p>
            <w:pPr>
              <w:jc w:val="right"/>
            </w:pPr>
            <w:r>
              <w:rPr>
                <w:color w:val="000000"/>
                <w:sz w:val="24"/>
                <w:szCs w:val="24"/>
              </w:rPr>
              <w:t>141,984.00</w:t>
            </w:r>
          </w:p>
        </w:tc>
        <w:tc>
          <w:tcPr>
            <w:vAlign w:val="center"/>
          </w:tcPr>
          <w:p>
            <w:pPr>
              <w:jc w:val="right"/>
            </w:pPr>
            <w:r>
              <w:rPr>
                <w:color w:val="000000"/>
                <w:sz w:val="24"/>
                <w:szCs w:val="24"/>
              </w:rPr>
              <w:t>0.90</w:t>
            </w:r>
          </w:p>
        </w:tc>
      </w:tr>
      <w:tr>
        <w:tc>
          <w:tcPr>
            <w:vAlign w:val="center"/>
          </w:tcPr>
          <w:p>
            <w:pPr>
              <w:jc w:val="center"/>
            </w:pPr>
            <w:r>
              <w:rPr>
                <w:color w:val="000000"/>
                <w:sz w:val="24"/>
                <w:szCs w:val="24"/>
              </w:rPr>
              <w:t>8</w:t>
            </w:r>
          </w:p>
        </w:tc>
        <w:tc>
          <w:tcPr>
            <w:vAlign w:val="center"/>
          </w:tcPr>
          <w:p>
            <w:pPr>
              <w:jc w:val="center"/>
            </w:pPr>
            <w:r>
              <w:rPr>
                <w:color w:val="000000"/>
                <w:sz w:val="24"/>
                <w:szCs w:val="24"/>
              </w:rPr>
              <w:t>603288</w:t>
            </w:r>
          </w:p>
        </w:tc>
        <w:tc>
          <w:tcPr>
            <w:vAlign w:val="center"/>
          </w:tcPr>
          <w:p>
            <w:pPr>
              <w:jc w:val="center"/>
            </w:pPr>
            <w:r>
              <w:rPr>
                <w:color w:val="000000"/>
                <w:sz w:val="24"/>
                <w:szCs w:val="24"/>
              </w:rPr>
              <w:t>海天味业</w:t>
            </w:r>
          </w:p>
        </w:tc>
        <w:tc>
          <w:tcPr>
            <w:vAlign w:val="center"/>
          </w:tcPr>
          <w:p>
            <w:pPr>
              <w:jc w:val="right"/>
            </w:pPr>
            <w:r>
              <w:rPr>
                <w:color w:val="000000"/>
                <w:sz w:val="24"/>
                <w:szCs w:val="24"/>
              </w:rPr>
              <w:t>700</w:t>
            </w:r>
          </w:p>
        </w:tc>
        <w:tc>
          <w:tcPr>
            <w:vAlign w:val="center"/>
          </w:tcPr>
          <w:p>
            <w:pPr>
              <w:jc w:val="right"/>
            </w:pPr>
            <w:r>
              <w:rPr>
                <w:color w:val="000000"/>
                <w:sz w:val="24"/>
                <w:szCs w:val="24"/>
              </w:rPr>
              <w:t>140,378.00</w:t>
            </w:r>
          </w:p>
        </w:tc>
        <w:tc>
          <w:tcPr>
            <w:vAlign w:val="center"/>
          </w:tcPr>
          <w:p>
            <w:pPr>
              <w:jc w:val="right"/>
            </w:pPr>
            <w:r>
              <w:rPr>
                <w:color w:val="000000"/>
                <w:sz w:val="24"/>
                <w:szCs w:val="24"/>
              </w:rPr>
              <w:t>0.89</w:t>
            </w:r>
          </w:p>
        </w:tc>
      </w:tr>
      <w:tr>
        <w:tc>
          <w:tcPr>
            <w:vAlign w:val="center"/>
          </w:tcPr>
          <w:p>
            <w:pPr>
              <w:jc w:val="center"/>
            </w:pPr>
            <w:r>
              <w:rPr>
                <w:color w:val="000000"/>
                <w:sz w:val="24"/>
                <w:szCs w:val="24"/>
              </w:rPr>
              <w:t>9</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1,900</w:t>
            </w:r>
          </w:p>
        </w:tc>
        <w:tc>
          <w:tcPr>
            <w:vAlign w:val="center"/>
          </w:tcPr>
          <w:p>
            <w:pPr>
              <w:jc w:val="right"/>
            </w:pPr>
            <w:r>
              <w:rPr>
                <w:color w:val="000000"/>
                <w:sz w:val="24"/>
                <w:szCs w:val="24"/>
              </w:rPr>
              <w:t>137,750.00</w:t>
            </w:r>
          </w:p>
        </w:tc>
        <w:tc>
          <w:tcPr>
            <w:vAlign w:val="center"/>
          </w:tcPr>
          <w:p>
            <w:pPr>
              <w:jc w:val="right"/>
            </w:pPr>
            <w:r>
              <w:rPr>
                <w:color w:val="000000"/>
                <w:sz w:val="24"/>
                <w:szCs w:val="24"/>
              </w:rPr>
              <w:t>0.88</w:t>
            </w:r>
          </w:p>
        </w:tc>
      </w:tr>
      <w:tr>
        <w:tc>
          <w:tcPr>
            <w:vAlign w:val="center"/>
          </w:tcPr>
          <w:p>
            <w:pPr>
              <w:jc w:val="center"/>
            </w:pPr>
            <w:r>
              <w:rPr>
                <w:color w:val="000000"/>
                <w:sz w:val="24"/>
                <w:szCs w:val="24"/>
              </w:rPr>
              <w:t>10</w:t>
            </w:r>
          </w:p>
        </w:tc>
        <w:tc>
          <w:tcPr>
            <w:vAlign w:val="center"/>
          </w:tcPr>
          <w:p>
            <w:pPr>
              <w:jc w:val="center"/>
            </w:pPr>
            <w:r>
              <w:rPr>
                <w:color w:val="000000"/>
                <w:sz w:val="24"/>
                <w:szCs w:val="24"/>
              </w:rPr>
              <w:t>600031</w:t>
            </w:r>
          </w:p>
        </w:tc>
        <w:tc>
          <w:tcPr>
            <w:vAlign w:val="center"/>
          </w:tcPr>
          <w:p>
            <w:pPr>
              <w:jc w:val="center"/>
            </w:pPr>
            <w:r>
              <w:rPr>
                <w:color w:val="000000"/>
                <w:sz w:val="24"/>
                <w:szCs w:val="24"/>
              </w:rPr>
              <w:t>三一重工</w:t>
            </w:r>
          </w:p>
        </w:tc>
        <w:tc>
          <w:tcPr>
            <w:vAlign w:val="center"/>
          </w:tcPr>
          <w:p>
            <w:pPr>
              <w:jc w:val="right"/>
            </w:pPr>
            <w:r>
              <w:rPr>
                <w:color w:val="000000"/>
                <w:sz w:val="24"/>
                <w:szCs w:val="24"/>
              </w:rPr>
              <w:t>3,900</w:t>
            </w:r>
          </w:p>
        </w:tc>
        <w:tc>
          <w:tcPr>
            <w:vAlign w:val="center"/>
          </w:tcPr>
          <w:p>
            <w:pPr>
              <w:jc w:val="right"/>
            </w:pPr>
            <w:r>
              <w:rPr>
                <w:color w:val="000000"/>
                <w:sz w:val="24"/>
                <w:szCs w:val="24"/>
              </w:rPr>
              <w:t>136,422.00</w:t>
            </w:r>
          </w:p>
        </w:tc>
        <w:tc>
          <w:tcPr>
            <w:vAlign w:val="center"/>
          </w:tcPr>
          <w:p>
            <w:pPr>
              <w:jc w:val="right"/>
            </w:pPr>
            <w:r>
              <w:rPr>
                <w:color w:val="000000"/>
                <w:sz w:val="24"/>
                <w:szCs w:val="24"/>
              </w:rPr>
              <w:t>0.87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8,013,567.30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51.07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4,910,610.10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4,910,610.10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31.30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12,924,177.40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82.37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72,800</w:t>
            </w:r>
          </w:p>
        </w:tc>
        <w:tc>
          <w:tcPr>
            <w:vAlign w:val="center"/>
          </w:tcPr>
          <w:p>
            <w:pPr>
              <w:jc w:val="right"/>
            </w:pPr>
            <w:r>
              <w:rPr>
                <w:color w:val="000000"/>
                <w:sz w:val="24"/>
                <w:szCs w:val="24"/>
              </w:rPr>
              <w:t>7,366,632.00</w:t>
            </w:r>
          </w:p>
        </w:tc>
        <w:tc>
          <w:tcPr>
            <w:vAlign w:val="center"/>
          </w:tcPr>
          <w:p>
            <w:pPr>
              <w:jc w:val="right"/>
            </w:pPr>
            <w:r>
              <w:rPr>
                <w:color w:val="000000"/>
                <w:sz w:val="24"/>
                <w:szCs w:val="24"/>
              </w:rPr>
              <w:t>46.95</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48,290</w:t>
            </w:r>
          </w:p>
        </w:tc>
        <w:tc>
          <w:tcPr>
            <w:vAlign w:val="center"/>
          </w:tcPr>
          <w:p>
            <w:pPr>
              <w:jc w:val="right"/>
            </w:pPr>
            <w:r>
              <w:rPr>
                <w:color w:val="000000"/>
                <w:sz w:val="24"/>
                <w:szCs w:val="24"/>
              </w:rPr>
              <w:t>4,910,610.10</w:t>
            </w:r>
          </w:p>
        </w:tc>
        <w:tc>
          <w:tcPr>
            <w:vAlign w:val="center"/>
          </w:tcPr>
          <w:p>
            <w:pPr>
              <w:jc w:val="right"/>
            </w:pPr>
            <w:r>
              <w:rPr>
                <w:color w:val="000000"/>
                <w:sz w:val="24"/>
                <w:szCs w:val="24"/>
              </w:rPr>
              <w:t>31.30</w:t>
            </w:r>
          </w:p>
        </w:tc>
      </w:tr>
      <w:tr>
        <w:tc>
          <w:tcPr>
            <w:vAlign w:val="center"/>
          </w:tcPr>
          <w:p>
            <w:pPr>
              <w:jc w:val="center"/>
            </w:pPr>
            <w:r>
              <w:rPr>
                <w:color w:val="000000"/>
                <w:sz w:val="24"/>
                <w:szCs w:val="24"/>
              </w:rPr>
              <w:t>3</w:t>
            </w:r>
          </w:p>
        </w:tc>
        <w:tc>
          <w:tcPr>
            <w:vAlign w:val="center"/>
          </w:tcPr>
          <w:p>
            <w:pPr>
              <w:jc w:val="center"/>
            </w:pPr>
            <w:r>
              <w:rPr>
                <w:color w:val="000000"/>
                <w:sz w:val="24"/>
                <w:szCs w:val="24"/>
              </w:rPr>
              <w:t>019627</w:t>
            </w:r>
          </w:p>
        </w:tc>
        <w:tc>
          <w:tcPr>
            <w:vAlign w:val="center"/>
          </w:tcPr>
          <w:p>
            <w:pPr>
              <w:jc w:val="center"/>
            </w:pPr>
            <w:r>
              <w:rPr>
                <w:color w:val="000000"/>
                <w:sz w:val="24"/>
                <w:szCs w:val="24"/>
              </w:rPr>
              <w:t>20国债01</w:t>
            </w:r>
          </w:p>
        </w:tc>
        <w:tc>
          <w:tcPr>
            <w:vAlign w:val="center"/>
          </w:tcPr>
          <w:p>
            <w:pPr>
              <w:jc w:val="right"/>
            </w:pPr>
            <w:r>
              <w:rPr>
                <w:color w:val="000000"/>
                <w:sz w:val="24"/>
                <w:szCs w:val="24"/>
              </w:rPr>
              <w:t>6,470</w:t>
            </w:r>
          </w:p>
        </w:tc>
        <w:tc>
          <w:tcPr>
            <w:vAlign w:val="center"/>
          </w:tcPr>
          <w:p>
            <w:pPr>
              <w:jc w:val="right"/>
            </w:pPr>
            <w:r>
              <w:rPr>
                <w:color w:val="000000"/>
                <w:sz w:val="24"/>
                <w:szCs w:val="24"/>
              </w:rPr>
              <w:t>646,935.30</w:t>
            </w:r>
          </w:p>
        </w:tc>
        <w:tc>
          <w:tcPr>
            <w:vAlign w:val="center"/>
          </w:tcPr>
          <w:p>
            <w:pPr>
              <w:jc w:val="right"/>
            </w:pPr>
            <w:r>
              <w:rPr>
                <w:color w:val="000000"/>
                <w:sz w:val="24"/>
                <w:szCs w:val="24"/>
              </w:rPr>
              <w:t>4.12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11,252.02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3,505.59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284,946.64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299,724.23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12,124,798.93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33,859.60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1,398,484.83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10,760,173.70</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2020/10/1-2020/12/31</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46.47%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交银施罗德增强收益债券型证券投资基金2020年第4季度报告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