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2279D3" w:rsidRDefault="002279D3" w:rsidRPr="0081286B">
      <w:pPr>
        <w:spacing w:before="29" w:line="288" w:lineRule="auto"/>
        <w:jc w:val="center"/>
        <w:rPr>
          <w:b/>
          <w:sz w:val="36"/>
          <w:szCs w:val="36"/>
        </w:rPr>
      </w:pPr>
      <w:r w:rsidRPr="0081286B">
        <w:rPr>
          <w:b/>
          <w:sz w:val="36"/>
          <w:szCs w:val="36"/>
        </w:rPr>
        <w:t>交银施罗德增强收益债券型证券投资基金</w:t>
      </w:r>
    </w:p>
    <w:p w:rsidP="00C15CAC" w:rsidR="002279D3" w:rsidRDefault="002279D3" w:rsidRPr="0081286B">
      <w:pPr>
        <w:spacing w:before="29" w:line="288" w:lineRule="auto"/>
        <w:jc w:val="center"/>
        <w:rPr>
          <w:b/>
          <w:sz w:val="36"/>
          <w:szCs w:val="36"/>
        </w:rPr>
      </w:pPr>
      <w:r w:rsidRPr="0081286B">
        <w:rPr>
          <w:b/>
          <w:sz w:val="36"/>
          <w:szCs w:val="36"/>
        </w:rPr>
        <w:t>2020年第4季度报告</w:t>
      </w:r>
    </w:p>
    <w:p w:rsidP="00C15CAC" w:rsidR="004061AC" w:rsidRDefault="00655CD8" w:rsidRPr="0081286B">
      <w:pPr>
        <w:spacing w:before="29" w:line="288" w:lineRule="auto"/>
        <w:jc w:val="center"/>
        <w:rPr>
          <w:b/>
          <w:sz w:val="36"/>
          <w:szCs w:val="36"/>
        </w:rPr>
      </w:pPr>
      <w:r w:rsidRPr="0081286B">
        <w:rPr>
          <w:b/>
          <w:sz w:val="36"/>
          <w:szCs w:val="36"/>
        </w:rPr>
        <w:t>2020年12月31日</w:t>
      </w: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基金管理人：</w:t>
      </w:r>
      <w:r w:rsidRPr="0081286B">
        <w:rPr>
          <w:b/>
          <w:color w:val="000000"/>
          <w:sz w:val="24"/>
          <w:szCs w:val="24"/>
        </w:rPr>
        <w:t>交银施罗德基金管理有限公司</w:t>
      </w: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基金托管人：</w:t>
      </w:r>
      <w:r w:rsidRPr="0081286B">
        <w:rPr>
          <w:b/>
          <w:color w:val="000000"/>
          <w:sz w:val="24"/>
          <w:szCs w:val="24"/>
        </w:rPr>
        <w:t>中国建设银行股份有限公司</w:t>
      </w:r>
    </w:p>
    <w:p w:rsidP="00C15CAC" w:rsidR="004061AC" w:rsidRDefault="004061AC" w:rsidRPr="0081286B">
      <w:pPr>
        <w:spacing w:before="29" w:line="288" w:lineRule="auto"/>
        <w:ind w:firstLine="2168" w:firstLineChars="900"/>
        <w:rPr>
          <w:b/>
          <w:color w:val="000000"/>
          <w:sz w:val="24"/>
          <w:szCs w:val="24"/>
        </w:rPr>
        <w:sectPr w:rsidR="004061AC" w:rsidRPr="0081286B" w:rsidSect="00DC456F">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40" w:right="1440" w:top="1418"/>
          <w:cols w:space="720"/>
          <w:noEndnote/>
          <w:titlePg/>
          <w:docGrid w:linePitch="286"/>
        </w:sectPr>
      </w:pPr>
      <w:r w:rsidRPr="0081286B">
        <w:rPr>
          <w:b/>
          <w:color w:val="000000"/>
          <w:sz w:val="24"/>
          <w:szCs w:val="24"/>
        </w:rPr>
        <w:t>报告送出日期：</w:t>
      </w:r>
      <w:r w:rsidR="00F16E3F" w:rsidRPr="0081286B">
        <w:rPr>
          <w:b/>
          <w:color w:val="000000"/>
          <w:sz w:val="24"/>
          <w:szCs w:val="24"/>
        </w:rPr>
        <w:t/>
      </w:r>
      <w:r w:rsidR="0042009D" w:rsidRPr="0081286B">
        <w:rPr>
          <w:b/>
          <w:color w:val="000000"/>
          <w:sz w:val="24"/>
          <w:szCs w:val="24"/>
        </w:rPr>
        <w:t/>
      </w:r>
      <w:r w:rsidR="00F16E3F" w:rsidRPr="0081286B">
        <w:rPr>
          <w:b/>
          <w:color w:val="000000"/>
          <w:sz w:val="24"/>
          <w:szCs w:val="24"/>
        </w:rPr>
        <w:t>二〇二一年一月二十一日</w:t>
      </w:r>
    </w:p>
    <w:p w:rsidP="0011537B" w:rsidR="004061AC" w:rsidRDefault="004061AC" w:rsidRPr="00414345">
      <w:pPr>
        <w:pStyle w:val="1"/>
        <w:spacing w:after="312" w:afterLines="100" w:before="312" w:beforeLines="100"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pPr>
        <w:spacing w:before="29" w:line="288" w:lineRule="auto"/>
        <w:ind w:firstLine="480" w:firstLineChars="200"/>
        <w:rPr>
          <w:color w:val="000000"/>
          <w:sz w:val="24"/>
          <w:szCs w:val="24"/>
        </w:rPr>
      </w:pPr>
      <w:r>
        <w:rPr>
          <w:color w:val="000000"/>
          <w:sz w:val="24"/>
          <w:szCs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480" w:firstLineChars="200"/>
        <w:rPr>
          <w:color w:val="000000"/>
          <w:sz w:val="24"/>
          <w:szCs w:val="24"/>
        </w:rPr>
      </w:pPr>
      <w:r>
        <w:rPr>
          <w:color w:val="000000"/>
          <w:sz w:val="24"/>
          <w:szCs w:val="24"/>
        </w:rPr>
        <w:t xml:space="preserve">基金托管人中国建设银行股份有限公司根据本基金合同规定，于2021年1月20日复核了本报告中的财务指标、净值表现和投资组合报告等内容，保证复核内容不存在虚假记载、误导性陈述或者重大遗漏。 </w:t>
      </w:r>
    </w:p>
    <w:p>
      <w:pPr>
        <w:spacing w:before="29" w:line="288" w:lineRule="auto"/>
        <w:ind w:firstLine="480" w:firstLineChars="200"/>
        <w:rPr>
          <w:color w:val="000000"/>
          <w:sz w:val="24"/>
          <w:szCs w:val="24"/>
        </w:rPr>
      </w:pPr>
      <w:r>
        <w:rPr>
          <w:color w:val="000000"/>
          <w:sz w:val="24"/>
          <w:szCs w:val="24"/>
        </w:rPr>
        <w:t xml:space="preserve">基金管理人承诺以诚实信用、勤勉尽责的原则管理和运用基金资产，但不保证基金一定盈利。 </w:t>
      </w:r>
    </w:p>
    <w:p>
      <w:pPr>
        <w:spacing w:before="29" w:line="288" w:lineRule="auto"/>
        <w:ind w:firstLine="480" w:firstLineChars="200"/>
        <w:rPr>
          <w:color w:val="000000"/>
          <w:sz w:val="24"/>
          <w:szCs w:val="24"/>
        </w:rPr>
      </w:pPr>
      <w:r>
        <w:rPr>
          <w:color w:val="000000"/>
          <w:sz w:val="24"/>
          <w:szCs w:val="24"/>
        </w:rPr>
        <w:t xml:space="preserve">基金的过往业绩并不代表其未来表现。投资有风险，投资者在作出投资决策前应仔细阅读本基金的招募说明书。 </w:t>
      </w:r>
    </w:p>
    <w:p>
      <w:pPr>
        <w:spacing w:before="29" w:line="288" w:lineRule="auto"/>
        <w:ind w:firstLine="480" w:firstLineChars="200"/>
        <w:rPr>
          <w:color w:val="000000"/>
          <w:sz w:val="24"/>
          <w:szCs w:val="24"/>
        </w:rPr>
      </w:pPr>
      <w:r>
        <w:rPr>
          <w:color w:val="000000"/>
          <w:sz w:val="24"/>
          <w:szCs w:val="24"/>
        </w:rPr>
        <w:t>本报告中财务资料未经审计。</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本报告期自2020年10月1日起至12月31日止。</w:t>
      </w:r>
    </w:p>
    <w:p w:rsidP="00C15CAC" w:rsidR="00627E2D" w:rsidRDefault="00627E2D" w:rsidRPr="00414345">
      <w:pPr>
        <w:spacing w:before="29" w:line="288" w:lineRule="auto"/>
        <w:ind w:firstLine="480" w:firstLineChars="200"/>
        <w:rPr>
          <w:color w:val="00000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2923"/>
      </w:tblGrid>
      <w:tr w:rsidR="004061AC" w:rsidRPr="00414345" w:rsidTr="006E6726">
        <w:trPr>
          <w:jc w:val="center"/>
        </w:trPr>
        <w:tc>
          <w:tcPr>
            <w:tcW w:type="dxa" w:w="3023"/>
            <w:vAlign w:val="center"/>
          </w:tcPr>
          <w:p w:rsidP="00C15CAC" w:rsidR="004061AC" w:rsidRDefault="004061AC" w:rsidRPr="00414345">
            <w:pPr>
              <w:adjustRightInd w:val="0"/>
              <w:spacing w:before="29" w:line="288" w:lineRule="auto"/>
              <w:ind w:left="17"/>
              <w:jc w:val="left"/>
              <w:rPr>
                <w:kern w:val="0"/>
                <w:sz w:val="24"/>
                <w:szCs w:val="24"/>
              </w:rPr>
            </w:pPr>
            <w:r w:rsidRPr="00414345">
              <w:rPr>
                <w:kern w:val="0"/>
                <w:sz w:val="24"/>
                <w:szCs w:val="24"/>
              </w:rPr>
              <w:t>基金简称</w:t>
            </w:r>
          </w:p>
        </w:tc>
        <w:tc>
          <w:tcPr>
            <w:tcW w:type="dxa" w:w="5845"/>
            <w:gridSpan w:val="2"/>
            <w:vAlign w:val="center"/>
          </w:tcPr>
          <w:p w:rsidP="00C15CAC" w:rsidR="004061AC" w:rsidRDefault="004061AC" w:rsidRPr="00414345">
            <w:pPr>
              <w:adjustRightInd w:val="0"/>
              <w:spacing w:before="29" w:line="288" w:lineRule="auto"/>
              <w:ind w:left="17"/>
              <w:jc w:val="left"/>
              <w:rPr>
                <w:color w:val="000000"/>
                <w:kern w:val="0"/>
                <w:sz w:val="24"/>
                <w:szCs w:val="24"/>
              </w:rPr>
            </w:pPr>
            <w:r w:rsidRPr="00414345">
              <w:rPr>
                <w:color w:val="000000"/>
                <w:kern w:val="0"/>
                <w:sz w:val="24"/>
                <w:szCs w:val="24"/>
              </w:rPr>
              <w:t>交银增强收益债券</w:t>
            </w:r>
          </w:p>
        </w:tc>
      </w:tr>
      <w:tr w:rsidR="00D94B8D"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kern w:val="0"/>
                <w:sz w:val="24"/>
                <w:szCs w:val="24"/>
              </w:rPr>
            </w:pPr>
            <w:r w:rsidRPr="00414345">
              <w:rPr>
                <w:kern w:val="0"/>
                <w:sz w:val="24"/>
                <w:szCs w:val="24"/>
              </w:rPr>
              <w:t>基金主代码</w:t>
            </w:r>
          </w:p>
        </w:tc>
        <w:tc>
          <w:tcPr>
            <w:tcW w:type="dxa" w:w="5845"/>
            <w:gridSpan w:val="2"/>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color w:val="000000"/>
                <w:kern w:val="0"/>
                <w:sz w:val="24"/>
                <w:szCs w:val="24"/>
              </w:rPr>
            </w:pPr>
            <w:r w:rsidRPr="00414345">
              <w:rPr>
                <w:color w:val="000000"/>
                <w:kern w:val="0"/>
                <w:sz w:val="24"/>
                <w:szCs w:val="24"/>
              </w:rPr>
              <w:t>519729</w:t>
            </w:r>
          </w:p>
        </w:tc>
      </w:tr>
      <w:tr w:rsidR="001B2F35"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tcPr>
          <w:p w:rsidP="00C15CAC" w:rsidR="001B2F35" w:rsidRDefault="001B2F35" w:rsidRPr="00414345">
            <w:pPr>
              <w:adjustRightInd w:val="0"/>
              <w:spacing w:before="29" w:line="288" w:lineRule="auto"/>
              <w:ind w:left="17"/>
              <w:jc w:val="left"/>
              <w:rPr>
                <w:kern w:val="0"/>
                <w:sz w:val="24"/>
                <w:szCs w:val="24"/>
              </w:rPr>
            </w:pPr>
            <w:r w:rsidRPr="00414345">
              <w:rPr>
                <w:kern w:val="0"/>
                <w:sz w:val="24"/>
                <w:szCs w:val="24"/>
              </w:rPr>
              <w:t>交易代码</w:t>
            </w:r>
          </w:p>
        </w:tc>
        <w:tc>
          <w:tcPr>
            <w:tcW w:type="dxa" w:w="5845"/>
            <w:gridSpan w:val="2"/>
            <w:tcBorders>
              <w:top w:color="auto" w:space="0" w:sz="4" w:val="single"/>
              <w:left w:color="auto" w:space="0" w:sz="4" w:val="single"/>
              <w:bottom w:color="auto" w:space="0" w:sz="4" w:val="single"/>
              <w:right w:color="auto" w:space="0" w:sz="4" w:val="single"/>
            </w:tcBorders>
            <w:vAlign w:val="center"/>
          </w:tcPr>
          <w:p w:rsidP="00C15CAC" w:rsidR="001B2F35" w:rsidRDefault="00C5218C" w:rsidRPr="00414345">
            <w:pPr>
              <w:adjustRightInd w:val="0"/>
              <w:spacing w:before="29" w:line="288" w:lineRule="auto"/>
              <w:ind w:left="17"/>
              <w:jc w:val="left"/>
              <w:rPr>
                <w:color w:val="000000"/>
                <w:kern w:val="0"/>
                <w:sz w:val="24"/>
                <w:szCs w:val="24"/>
              </w:rPr>
            </w:pPr>
            <w:r w:rsidRPr="00414345">
              <w:rPr>
                <w:kern w:val="0"/>
                <w:sz w:val="24"/>
              </w:rPr>
              <w:t>519729</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基金运作方式</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基金合同生效日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2016年12月30日</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报告期末基金份额总额</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10,760,173.70</w:t>
            </w:r>
            <w:r w:rsidRPr="00414345">
              <w:rPr>
                <w:color w:val="000000"/>
                <w:kern w:val="0"/>
                <w:sz w:val="24"/>
                <w:szCs w:val="24"/>
              </w:rPr>
              <w:t>份</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投资目标</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在严格控制投资风险的基础上，力争实现基金资产的长期稳定增值。</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投资策略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将依据宏观经济数据和金融运行数据、货币政策、财政政策、以及债券市场和股票市场风险收益特征，分析判断市场利率水平变动趋势和股票市场走势。并根据宏观经济、基准利率水平、股票市场整体估值水平，预测债券、可转债、新股申购等大类资产下一阶段的预期收益率水平，结合各类别资产的波动性以及流动性状况分析，进行大类资产配置。</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业绩比较基准</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90%×中证综合债券指数收益率+10%×沪深300指数收益率</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风险收益特征</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本基金为债券型证券投资基金，其长期平均的预期收益和风险高于货币市场基金，低于混合型基金和股票型基金，属于证券投资基金中中等风险品种。</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基金管理人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基金托管人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中国建设银行股份有限公司</w:t>
            </w:r>
          </w:p>
        </w:tc>
      </w:tr>
    </w:tbl>
    <w:p w:rsidP="00C15CAC" w:rsidR="005910BF" w:rsidRDefault="005910BF" w:rsidRPr="00414345">
      <w:pPr>
        <w:autoSpaceDE w:val="0"/>
        <w:autoSpaceDN w:val="0"/>
        <w:adjustRightInd w:val="0"/>
        <w:spacing w:before="29" w:line="288" w:lineRule="auto"/>
        <w:jc w:val="left"/>
        <w:rPr>
          <w:color w:val="000000"/>
          <w:kern w:val="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7"/>
        <w:gridCol w:w="2706"/>
        <w:gridCol w:w="2555"/>
      </w:tblGrid>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jc w:val="center"/>
              <w:rPr>
                <w:kern w:val="0"/>
                <w:sz w:val="24"/>
                <w:szCs w:val="24"/>
              </w:rPr>
            </w:pPr>
            <w:r w:rsidRPr="00414345">
              <w:rPr>
                <w:kern w:val="0"/>
                <w:sz w:val="24"/>
                <w:szCs w:val="24"/>
              </w:rPr>
              <w:t>主要财务指标</w:t>
            </w:r>
            <w:r w:rsidR="00D96C8D" w:rsidRPr="00414345">
              <w:rPr>
                <w:kern w:val="0"/>
                <w:sz w:val="24"/>
                <w:szCs w:val="24"/>
              </w:rPr>
              <w:t/>
            </w:r>
          </w:p>
        </w:tc>
        <w:tc>
          <w:tcPr>
            <w:tcW w:type="dxa" w:w="4962"/>
            <w:hMerge w:val="restart"/>
            <w:vAlign w:val="center"/>
          </w:tcPr>
          <w:p w:rsidP="00C15CAC" w:rsidR="009C60F7" w:rsidRDefault="009C60F7" w:rsidRPr="00414345">
            <w:pPr>
              <w:adjustRightInd w:val="0"/>
              <w:spacing w:before="29" w:line="288" w:lineRule="auto"/>
              <w:ind w:left="17"/>
              <w:jc w:val="center"/>
              <w:rPr>
                <w:color w:val="000000"/>
                <w:sz w:val="24"/>
                <w:szCs w:val="24"/>
              </w:rPr>
            </w:pPr>
            <w:r w:rsidRPr="00414345">
              <w:rPr>
                <w:color w:val="000000"/>
                <w:sz w:val="24"/>
                <w:szCs w:val="24"/>
              </w:rPr>
              <w:t>报告期</w:t>
            </w:r>
          </w:p>
          <w:p w:rsidP="00C15CAC" w:rsidR="00C21520" w:rsidRDefault="009C60F7" w:rsidRPr="00414345">
            <w:pPr>
              <w:adjustRightInd w:val="0"/>
              <w:spacing w:before="29" w:line="288" w:lineRule="auto"/>
              <w:ind w:left="17"/>
              <w:jc w:val="center"/>
              <w:rPr>
                <w:color w:val="000000"/>
                <w:sz w:val="24"/>
                <w:szCs w:val="24"/>
              </w:rPr>
            </w:pPr>
            <w:r w:rsidRPr="00414345">
              <w:rPr>
                <w:color w:val="000000"/>
                <w:sz w:val="24"/>
                <w:szCs w:val="24"/>
              </w:rPr>
              <w:t>(2020年10月1日-2020年12月31日)</w:t>
            </w:r>
          </w:p>
        </w:tc>
        <w:tc>
          <w:tcPr>
            <w:tcW w:type="dxa" w:w="2410"/>
            <w:hMerge/>
            <w:vAlign w:val="center"/>
          </w:tcPr>
          <w:p w:rsidP="00C15CAC" w:rsidR="00C21520" w:rsidRDefault="00C21520" w:rsidRPr="00414345">
            <w:pPr>
              <w:adjustRightInd w:val="0"/>
              <w:spacing w:before="29" w:line="288" w:lineRule="auto"/>
              <w:ind w:left="17"/>
              <w:jc w:val="center"/>
              <w:rPr>
                <w:color w:val="000000"/>
                <w:sz w:val="24"/>
                <w:szCs w:val="24"/>
              </w:rPr>
            </w:pPr>
            <w:r w:rsidRPr="00414345">
              <w:rPr>
                <w:color w:val="000000"/>
                <w:sz w:val="24"/>
                <w:szCs w:val="24"/>
              </w:rPr>
              <w:t>上期金额</w:t>
            </w:r>
            <w:r w:rsidR="006A7AF1" w:rsidRPr="00414345">
              <w:rPr>
                <w:color w:val="000000"/>
                <w:sz w:val="24"/>
                <w:szCs w:val="24"/>
              </w:rPr>
              <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lastRenderedPageBreak/>
              <w:t>1.</w:t>
            </w:r>
            <w:r w:rsidRPr="00414345">
              <w:rPr>
                <w:kern w:val="0"/>
                <w:sz w:val="24"/>
                <w:szCs w:val="24"/>
              </w:rPr>
              <w:t>本期已实现收益</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7,208.69</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267,311.65</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0.0237</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15,690,835.07</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trHeight w:val="158"/>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1.458</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bl>
    <w:p>
      <w:pPr>
        <w:autoSpaceDE w:val="0"/>
        <w:autoSpaceDN w:val="0"/>
        <w:adjustRightInd w:val="0"/>
        <w:spacing w:before="29" w:line="288" w:lineRule="auto"/>
        <w:jc w:val="left"/>
        <w:rPr>
          <w:color w:val="000000"/>
          <w:sz w:val="24"/>
          <w:szCs w:val="24"/>
        </w:rPr>
      </w:pPr>
      <w:r>
        <w:rPr>
          <w:color w:val="000000"/>
          <w:sz w:val="24"/>
          <w:szCs w:val="24"/>
        </w:rPr>
        <w:t>注：1、上述基金业绩指标不包括持有人认购或交易基金的各项费用，计入费用后的实际收益水平要低于所列数字；</w:t>
      </w:r>
    </w:p>
    <w:p w:rsidP="00C15CAC" w:rsidR="004061AC" w:rsidRDefault="00A5612C"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xml:space="preserve">    2、本期已实现收益指基金本期利息收入、投资收益、其他收入（不含公允价值变动收益）扣除相关费用后的余额，本期利润为本期已实现收益加上本期公允价值变动收益。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P="00C15CAC" w:rsidR="00CF6572"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type="dxa" w:w="8868"/>
        <w:jc w:val="center"/>
        <w:tblLayout w:type="fixed"/>
        <w:tblCellMar>
          <w:top w:type="dxa" w:w="57"/>
          <w:bottom w:type="dxa" w:w="57"/>
        </w:tblCellMar>
        <w:tblLook w:firstColumn="1" w:firstRow="1" w:lastColumn="0" w:lastRow="0" w:noHBand="0" w:noVBand="1" w:val="04A0"/>
      </w:tblPr>
      <w:tblGrid>
        <w:gridCol w:w="1701"/>
        <w:gridCol w:w="1045"/>
        <w:gridCol w:w="1344"/>
        <w:gridCol w:w="1194"/>
        <w:gridCol w:w="1492"/>
        <w:gridCol w:w="1194"/>
        <w:gridCol w:w="898"/>
      </w:tblGrid>
      <w:tr w:rsidR="00EF6FA5" w:rsidRPr="00414345" w:rsidTr="00A324F4">
        <w:trPr>
          <w:jc w:val="center"/>
        </w:trPr>
        <w:tc>
          <w:tcPr>
            <w:tcW w:type="dxa" w:w="161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r w:rsidR="00200FAB" w:rsidRPr="00414345">
              <w:rPr>
                <w:color w:val="000000"/>
                <w:sz w:val="24"/>
                <w:szCs w:val="24"/>
              </w:rPr>
              <w:t/>
            </w:r>
          </w:p>
        </w:tc>
        <w:tc>
          <w:tcPr>
            <w:tcW w:type="dxa" w:w="992"/>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type="dxa" w:w="1276"/>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type="dxa" w:w="1417"/>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type="dxa" w:w="853"/>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tc>
          <w:tcPr>
            <w:vAlign w:val="center"/>
          </w:tcPr>
          <w:p>
            <w:pPr>
              <w:jc w:val="left"/>
            </w:pPr>
            <w:r>
              <w:rPr>
                <w:color w:val="000000"/>
                <w:sz w:val="24"/>
                <w:szCs w:val="24"/>
              </w:rPr>
              <w:t>过去三个月</w:t>
            </w:r>
          </w:p>
        </w:tc>
        <w:tc>
          <w:tcPr>
            <w:vAlign w:val="center"/>
          </w:tcPr>
          <w:p>
            <w:pPr>
              <w:jc w:val="center"/>
            </w:pPr>
            <w:r>
              <w:rPr>
                <w:color w:val="000000"/>
                <w:sz w:val="24"/>
                <w:szCs w:val="24"/>
              </w:rPr>
              <w:t>1.82%</w:t>
            </w:r>
          </w:p>
        </w:tc>
        <w:tc>
          <w:tcPr>
            <w:vAlign w:val="center"/>
          </w:tcPr>
          <w:p>
            <w:pPr>
              <w:jc w:val="center"/>
            </w:pPr>
            <w:r>
              <w:rPr>
                <w:color w:val="000000"/>
                <w:sz w:val="24"/>
                <w:szCs w:val="24"/>
              </w:rPr>
              <w:t>0.23%</w:t>
            </w:r>
          </w:p>
        </w:tc>
        <w:tc>
          <w:tcPr>
            <w:vAlign w:val="center"/>
          </w:tcPr>
          <w:p>
            <w:pPr>
              <w:jc w:val="center"/>
            </w:pPr>
            <w:r>
              <w:rPr>
                <w:color w:val="000000"/>
                <w:sz w:val="24"/>
                <w:szCs w:val="24"/>
              </w:rPr>
              <w:t>2.42%</w:t>
            </w:r>
          </w:p>
        </w:tc>
        <w:tc>
          <w:tcPr>
            <w:vAlign w:val="center"/>
          </w:tcPr>
          <w:p>
            <w:pPr>
              <w:jc w:val="center"/>
            </w:pPr>
            <w:r>
              <w:rPr>
                <w:color w:val="000000"/>
                <w:sz w:val="24"/>
                <w:szCs w:val="24"/>
              </w:rPr>
              <w:t>0.11%</w:t>
            </w:r>
          </w:p>
        </w:tc>
        <w:tc>
          <w:tcPr>
            <w:vAlign w:val="center"/>
          </w:tcPr>
          <w:p>
            <w:pPr>
              <w:jc w:val="center"/>
            </w:pPr>
            <w:r>
              <w:rPr>
                <w:color w:val="000000"/>
                <w:sz w:val="24"/>
                <w:szCs w:val="24"/>
              </w:rPr>
              <w:t>-0.60%</w:t>
            </w:r>
          </w:p>
        </w:tc>
        <w:tc>
          <w:tcPr>
            <w:vAlign w:val="center"/>
          </w:tcPr>
          <w:p>
            <w:pPr>
              <w:jc w:val="center"/>
            </w:pPr>
            <w:r>
              <w:rPr>
                <w:color w:val="000000"/>
                <w:sz w:val="24"/>
                <w:szCs w:val="24"/>
              </w:rPr>
              <w:t>0.12%</w:t>
            </w:r>
          </w:p>
        </w:tc>
      </w:tr>
      <w:tr>
        <w:tc>
          <w:tcPr>
            <w:vAlign w:val="center"/>
          </w:tcPr>
          <w:p>
            <w:pPr>
              <w:jc w:val="left"/>
            </w:pPr>
            <w:r>
              <w:rPr>
                <w:color w:val="000000"/>
                <w:sz w:val="24"/>
                <w:szCs w:val="24"/>
              </w:rPr>
              <w:t>过去六个月</w:t>
            </w:r>
          </w:p>
        </w:tc>
        <w:tc>
          <w:tcPr>
            <w:vAlign w:val="center"/>
          </w:tcPr>
          <w:p>
            <w:pPr>
              <w:jc w:val="center"/>
            </w:pPr>
            <w:r>
              <w:rPr>
                <w:color w:val="000000"/>
                <w:sz w:val="24"/>
                <w:szCs w:val="24"/>
              </w:rPr>
              <w:t>1.82%</w:t>
            </w:r>
          </w:p>
        </w:tc>
        <w:tc>
          <w:tcPr>
            <w:vAlign w:val="center"/>
          </w:tcPr>
          <w:p>
            <w:pPr>
              <w:jc w:val="center"/>
            </w:pPr>
            <w:r>
              <w:rPr>
                <w:color w:val="000000"/>
                <w:sz w:val="24"/>
                <w:szCs w:val="24"/>
              </w:rPr>
              <w:t>0.22%</w:t>
            </w:r>
          </w:p>
        </w:tc>
        <w:tc>
          <w:tcPr>
            <w:vAlign w:val="center"/>
          </w:tcPr>
          <w:p>
            <w:pPr>
              <w:jc w:val="center"/>
            </w:pPr>
            <w:r>
              <w:rPr>
                <w:color w:val="000000"/>
                <w:sz w:val="24"/>
                <w:szCs w:val="24"/>
              </w:rPr>
              <w:t>2.96%</w:t>
            </w:r>
          </w:p>
        </w:tc>
        <w:tc>
          <w:tcPr>
            <w:vAlign w:val="center"/>
          </w:tcPr>
          <w:p>
            <w:pPr>
              <w:jc w:val="center"/>
            </w:pPr>
            <w:r>
              <w:rPr>
                <w:color w:val="000000"/>
                <w:sz w:val="24"/>
                <w:szCs w:val="24"/>
              </w:rPr>
              <w:t>0.13%</w:t>
            </w:r>
          </w:p>
        </w:tc>
        <w:tc>
          <w:tcPr>
            <w:vAlign w:val="center"/>
          </w:tcPr>
          <w:p>
            <w:pPr>
              <w:jc w:val="center"/>
            </w:pPr>
            <w:r>
              <w:rPr>
                <w:color w:val="000000"/>
                <w:sz w:val="24"/>
                <w:szCs w:val="24"/>
              </w:rPr>
              <w:t>-1.14%</w:t>
            </w:r>
          </w:p>
        </w:tc>
        <w:tc>
          <w:tcPr>
            <w:vAlign w:val="center"/>
          </w:tcPr>
          <w:p>
            <w:pPr>
              <w:jc w:val="center"/>
            </w:pPr>
            <w:r>
              <w:rPr>
                <w:color w:val="000000"/>
                <w:sz w:val="24"/>
                <w:szCs w:val="24"/>
              </w:rPr>
              <w:t>0.09%</w:t>
            </w:r>
          </w:p>
        </w:tc>
      </w:tr>
      <w:tr>
        <w:tc>
          <w:tcPr>
            <w:vAlign w:val="center"/>
          </w:tcPr>
          <w:p>
            <w:pPr>
              <w:jc w:val="left"/>
            </w:pPr>
            <w:r>
              <w:rPr>
                <w:color w:val="000000"/>
                <w:sz w:val="24"/>
                <w:szCs w:val="24"/>
              </w:rPr>
              <w:t>过去一年</w:t>
            </w:r>
          </w:p>
        </w:tc>
        <w:tc>
          <w:tcPr>
            <w:vAlign w:val="center"/>
          </w:tcPr>
          <w:p>
            <w:pPr>
              <w:jc w:val="center"/>
            </w:pPr>
            <w:r>
              <w:rPr>
                <w:color w:val="000000"/>
                <w:sz w:val="24"/>
                <w:szCs w:val="24"/>
              </w:rPr>
              <w:t>4.89%</w:t>
            </w:r>
          </w:p>
        </w:tc>
        <w:tc>
          <w:tcPr>
            <w:vAlign w:val="center"/>
          </w:tcPr>
          <w:p>
            <w:pPr>
              <w:jc w:val="center"/>
            </w:pPr>
            <w:r>
              <w:rPr>
                <w:color w:val="000000"/>
                <w:sz w:val="24"/>
                <w:szCs w:val="24"/>
              </w:rPr>
              <w:t>0.22%</w:t>
            </w:r>
          </w:p>
        </w:tc>
        <w:tc>
          <w:tcPr>
            <w:vAlign w:val="center"/>
          </w:tcPr>
          <w:p>
            <w:pPr>
              <w:jc w:val="center"/>
            </w:pPr>
            <w:r>
              <w:rPr>
                <w:color w:val="000000"/>
                <w:sz w:val="24"/>
                <w:szCs w:val="24"/>
              </w:rPr>
              <w:t>5.41%</w:t>
            </w:r>
          </w:p>
        </w:tc>
        <w:tc>
          <w:tcPr>
            <w:vAlign w:val="center"/>
          </w:tcPr>
          <w:p>
            <w:pPr>
              <w:jc w:val="center"/>
            </w:pPr>
            <w:r>
              <w:rPr>
                <w:color w:val="000000"/>
                <w:sz w:val="24"/>
                <w:szCs w:val="24"/>
              </w:rPr>
              <w:t>0.14%</w:t>
            </w:r>
          </w:p>
        </w:tc>
        <w:tc>
          <w:tcPr>
            <w:vAlign w:val="center"/>
          </w:tcPr>
          <w:p>
            <w:pPr>
              <w:jc w:val="center"/>
            </w:pPr>
            <w:r>
              <w:rPr>
                <w:color w:val="000000"/>
                <w:sz w:val="24"/>
                <w:szCs w:val="24"/>
              </w:rPr>
              <w:t>-0.52%</w:t>
            </w:r>
          </w:p>
        </w:tc>
        <w:tc>
          <w:tcPr>
            <w:vAlign w:val="center"/>
          </w:tcPr>
          <w:p>
            <w:pPr>
              <w:jc w:val="center"/>
            </w:pPr>
            <w:r>
              <w:rPr>
                <w:color w:val="000000"/>
                <w:sz w:val="24"/>
                <w:szCs w:val="24"/>
              </w:rPr>
              <w:t>0.08%</w:t>
            </w:r>
          </w:p>
        </w:tc>
      </w:tr>
      <w:tr>
        <w:tc>
          <w:tcPr>
            <w:vAlign w:val="center"/>
          </w:tcPr>
          <w:p>
            <w:pPr>
              <w:jc w:val="left"/>
            </w:pPr>
            <w:r>
              <w:rPr>
                <w:color w:val="000000"/>
                <w:sz w:val="24"/>
                <w:szCs w:val="24"/>
              </w:rPr>
              <w:t>过去三年</w:t>
            </w:r>
          </w:p>
        </w:tc>
        <w:tc>
          <w:tcPr>
            <w:vAlign w:val="center"/>
          </w:tcPr>
          <w:p>
            <w:pPr>
              <w:jc w:val="center"/>
            </w:pPr>
            <w:r>
              <w:rPr>
                <w:color w:val="000000"/>
                <w:sz w:val="24"/>
                <w:szCs w:val="24"/>
              </w:rPr>
              <w:t>14.80%</w:t>
            </w:r>
          </w:p>
        </w:tc>
        <w:tc>
          <w:tcPr>
            <w:vAlign w:val="center"/>
          </w:tcPr>
          <w:p>
            <w:pPr>
              <w:jc w:val="center"/>
            </w:pPr>
            <w:r>
              <w:rPr>
                <w:color w:val="000000"/>
                <w:sz w:val="24"/>
                <w:szCs w:val="24"/>
              </w:rPr>
              <w:t>0.26%</w:t>
            </w:r>
          </w:p>
        </w:tc>
        <w:tc>
          <w:tcPr>
            <w:vAlign w:val="center"/>
          </w:tcPr>
          <w:p>
            <w:pPr>
              <w:jc w:val="center"/>
            </w:pPr>
            <w:r>
              <w:rPr>
                <w:color w:val="000000"/>
                <w:sz w:val="24"/>
                <w:szCs w:val="24"/>
              </w:rPr>
              <w:t>18.47%</w:t>
            </w:r>
          </w:p>
        </w:tc>
        <w:tc>
          <w:tcPr>
            <w:vAlign w:val="center"/>
          </w:tcPr>
          <w:p>
            <w:pPr>
              <w:jc w:val="center"/>
            </w:pPr>
            <w:r>
              <w:rPr>
                <w:color w:val="000000"/>
                <w:sz w:val="24"/>
                <w:szCs w:val="24"/>
              </w:rPr>
              <w:t>0.13%</w:t>
            </w:r>
          </w:p>
        </w:tc>
        <w:tc>
          <w:tcPr>
            <w:vAlign w:val="center"/>
          </w:tcPr>
          <w:p>
            <w:pPr>
              <w:jc w:val="center"/>
            </w:pPr>
            <w:r>
              <w:rPr>
                <w:color w:val="000000"/>
                <w:sz w:val="24"/>
                <w:szCs w:val="24"/>
              </w:rPr>
              <w:t>-3.67%</w:t>
            </w:r>
          </w:p>
        </w:tc>
        <w:tc>
          <w:tcPr>
            <w:vAlign w:val="center"/>
          </w:tcPr>
          <w:p>
            <w:pPr>
              <w:jc w:val="center"/>
            </w:pPr>
            <w:r>
              <w:rPr>
                <w:color w:val="000000"/>
                <w:sz w:val="24"/>
                <w:szCs w:val="24"/>
              </w:rPr>
              <w:t>0.13%</w:t>
            </w:r>
          </w:p>
        </w:tc>
      </w:tr>
      <w:tr>
        <w:tc>
          <w:tcPr>
            <w:vAlign w:val="center"/>
          </w:tcPr>
          <w:p>
            <w:pPr>
              <w:jc w:val="left"/>
            </w:pPr>
            <w:r>
              <w:rPr>
                <w:color w:val="000000"/>
                <w:sz w:val="24"/>
                <w:szCs w:val="24"/>
              </w:rPr>
              <w:t>自基金合同生效至今</w:t>
            </w:r>
          </w:p>
        </w:tc>
        <w:tc>
          <w:tcPr>
            <w:vAlign w:val="center"/>
          </w:tcPr>
          <w:p>
            <w:pPr>
              <w:jc w:val="center"/>
            </w:pPr>
            <w:r>
              <w:rPr>
                <w:color w:val="000000"/>
                <w:sz w:val="24"/>
                <w:szCs w:val="24"/>
              </w:rPr>
              <w:t>14.80%</w:t>
            </w:r>
          </w:p>
        </w:tc>
        <w:tc>
          <w:tcPr>
            <w:vAlign w:val="center"/>
          </w:tcPr>
          <w:p>
            <w:pPr>
              <w:jc w:val="center"/>
            </w:pPr>
            <w:r>
              <w:rPr>
                <w:color w:val="000000"/>
                <w:sz w:val="24"/>
                <w:szCs w:val="24"/>
              </w:rPr>
              <w:t>0.24%</w:t>
            </w:r>
          </w:p>
        </w:tc>
        <w:tc>
          <w:tcPr>
            <w:vAlign w:val="center"/>
          </w:tcPr>
          <w:p>
            <w:pPr>
              <w:jc w:val="center"/>
            </w:pPr>
            <w:r>
              <w:rPr>
                <w:color w:val="000000"/>
                <w:sz w:val="24"/>
                <w:szCs w:val="24"/>
              </w:rPr>
              <w:t>21.44%</w:t>
            </w:r>
          </w:p>
        </w:tc>
        <w:tc>
          <w:tcPr>
            <w:vAlign w:val="center"/>
          </w:tcPr>
          <w:p>
            <w:pPr>
              <w:jc w:val="center"/>
            </w:pPr>
            <w:r>
              <w:rPr>
                <w:color w:val="000000"/>
                <w:sz w:val="24"/>
                <w:szCs w:val="24"/>
              </w:rPr>
              <w:t>0.12%</w:t>
            </w:r>
          </w:p>
        </w:tc>
        <w:tc>
          <w:tcPr>
            <w:vAlign w:val="center"/>
          </w:tcPr>
          <w:p>
            <w:pPr>
              <w:jc w:val="center"/>
            </w:pPr>
            <w:r>
              <w:rPr>
                <w:color w:val="000000"/>
                <w:sz w:val="24"/>
                <w:szCs w:val="24"/>
              </w:rPr>
              <w:t>-6.64%</w:t>
            </w:r>
          </w:p>
        </w:tc>
        <w:tc>
          <w:tcPr>
            <w:vAlign w:val="center"/>
          </w:tcPr>
          <w:p>
            <w:pPr>
              <w:jc w:val="center"/>
            </w:pPr>
            <w:r>
              <w:rPr>
                <w:color w:val="000000"/>
                <w:sz w:val="24"/>
                <w:szCs w:val="24"/>
              </w:rPr>
              <w:t>0.12%</w:t>
            </w:r>
          </w:p>
        </w:tc>
      </w:tr>
    </w:tbl>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自基金转型以来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P="00C15CAC" w:rsidR="008606B6" w:rsidRDefault="008606B6" w:rsidRPr="00414345">
      <w:pPr>
        <w:spacing w:before="29" w:line="288" w:lineRule="auto"/>
        <w:jc w:val="center"/>
        <w:rPr>
          <w:color w:val="000000"/>
          <w:sz w:val="24"/>
          <w:szCs w:val="24"/>
        </w:rPr>
      </w:pPr>
      <w:r w:rsidRPr="00414345">
        <w:rPr>
          <w:color w:val="000000"/>
          <w:sz w:val="24"/>
          <w:szCs w:val="24"/>
        </w:rPr>
        <w:t>交银施罗德增强收益债券型证券投资基金</w:t>
      </w:r>
    </w:p>
    <w:p w:rsidP="00C15CAC" w:rsidR="004061AC" w:rsidRDefault="00B56F53"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color w:val="000000"/>
          <w:sz w:val="24"/>
          <w:szCs w:val="24"/>
        </w:rPr>
        <w:t>份额累计净值增长率与业绩比较基准收益率历史走势对比图</w:t>
      </w:r>
    </w:p>
    <w:p w:rsidP="00C15CAC" w:rsidR="00AE7962" w:rsidRDefault="00DE4B43" w:rsidRPr="00414345">
      <w:pPr>
        <w:pStyle w:val="a5"/>
        <w:snapToGrid w:val="0"/>
        <w:spacing w:before="29" w:line="288" w:lineRule="auto"/>
        <w:ind w:firstLine="480"/>
        <w:jc w:val="center"/>
        <w:rPr>
          <w:rFonts w:ascii="Times New Roman" w:cs="Times New Roman" w:hAnsi="Times New Roman"/>
          <w:sz w:val="24"/>
          <w:szCs w:val="24"/>
        </w:rPr>
      </w:pPr>
      <w:r w:rsidRPr="00414345">
        <w:rPr>
          <w:rFonts w:ascii="Times New Roman" w:cs="Times New Roman" w:hAnsi="Times New Roman"/>
          <w:color w:val="000000"/>
          <w:sz w:val="24"/>
          <w:szCs w:val="24"/>
        </w:rPr>
        <w:lastRenderedPageBreak/>
        <w:t>（</w:t>
      </w:r>
      <w:r w:rsidR="0042009D" w:rsidRPr="00414345">
        <w:rPr>
          <w:rFonts w:ascii="Times New Roman" w:cs="Times New Roman" w:hAnsi="Times New Roman"/>
          <w:sz w:val="24"/>
          <w:szCs w:val="24"/>
        </w:rPr>
        <w:t>2016年12月30日</w:t>
      </w:r>
      <w:r w:rsidR="00AE7962" w:rsidRPr="00414345">
        <w:rPr>
          <w:rFonts w:ascii="Times New Roman" w:cs="Times New Roman" w:hAnsi="Times New Roman"/>
          <w:sz w:val="24"/>
          <w:szCs w:val="24"/>
        </w:rPr>
        <w:t>至</w:t>
      </w:r>
      <w:r w:rsidR="00AE7962" w:rsidRPr="00414345">
        <w:rPr>
          <w:rFonts w:ascii="Times New Roman" w:cs="Times New Roman" w:hAnsi="Times New Roman"/>
          <w:sz w:val="24"/>
          <w:szCs w:val="24"/>
        </w:rPr>
        <w:t>2020年12月31日</w:t>
      </w:r>
      <w:r w:rsidRPr="00414345">
        <w:rPr>
          <w:rFonts w:ascii="Times New Roman" w:cs="Times New Roman" w:hAnsi="Times New Roman"/>
          <w:color w:val="000000"/>
          <w:sz w:val="24"/>
          <w:szCs w:val="24"/>
        </w:rPr>
        <w:t>）</w:t>
      </w:r>
    </w:p>
    <w:p w:rsidP="00C15CAC" w:rsidR="004061AC" w:rsidRDefault="00B816A7"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noProof/>
          <w:color w:val="000000"/>
          <w:sz w:val="24"/>
          <w:szCs w:val="24"/>
        </w:rPr>
        <w:drawing>
          <wp:inline distB="0" distL="0" distR="0" distT="0">
            <wp:extent cx="5731510" cy="3356610"/>
            <wp:effectExtent b="0" l="19050" r="2540" t="0"/>
            <wp:docPr descr="走势图1.jpg"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31510" cy="3356610"/>
                    </a:xfrm>
                    <a:prstGeom prst="rect">
                      <a:avLst/>
                    </a:prstGeom>
                  </pic:spPr>
                </pic:pic>
              </a:graphicData>
            </a:graphic>
          </wp:inline>
        </w:drawing>
      </w:r>
    </w:p>
    <w:p w:rsidP="00C15CAC" w:rsidR="004061AC" w:rsidRDefault="001C79F2"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8700EC" w:rsidRPr="00414345">
        <w:rPr>
          <w:color w:val="000000"/>
          <w:sz w:val="24"/>
          <w:szCs w:val="24"/>
        </w:rPr>
        <w:t/>
      </w:r>
      <w:r w:rsidRPr="00414345">
        <w:rPr>
          <w:color w:val="000000"/>
          <w:sz w:val="24"/>
          <w:szCs w:val="24"/>
        </w:rPr>
        <w:t/>
      </w:r>
      <w:r w:rsidR="004061AC" w:rsidRPr="00414345">
        <w:rPr>
          <w:color w:val="000000"/>
          <w:sz w:val="24"/>
          <w:szCs w:val="24"/>
        </w:rPr>
        <w:t>注：本基金由交银施罗德荣泰保本混合型证券投资基金转型而来。基金转型日为2016年12月30日。本基金的投资转型期为交银施罗德荣泰保本混合型证券投资基金保本周期到期期间截止日的次日（即2016年12月30日）起的3个月。截至投资转型期结束，本基金各项资产配置比例符合基金合同及招募说明书有关投资比例的约定。</w:t>
      </w:r>
    </w:p>
    <w:p w:rsidP="00C15CAC" w:rsidR="00957594" w:rsidRDefault="00957594" w:rsidRPr="00414345">
      <w:pPr>
        <w:tabs>
          <w:tab w:pos="1800" w:val="left"/>
        </w:tabs>
        <w:spacing w:before="29" w:line="288" w:lineRule="auto"/>
        <w:rPr>
          <w:color w:val="000000"/>
          <w:sz w:val="24"/>
          <w:szCs w:val="24"/>
        </w:rPr>
      </w:pPr>
    </w:p>
    <w:p w:rsidP="00C15CAC" w:rsidR="00693843" w:rsidRDefault="00693843" w:rsidRPr="00414345">
      <w:pPr>
        <w:tabs>
          <w:tab w:pos="1800" w:val="left"/>
        </w:tabs>
        <w:spacing w:before="29" w:line="288" w:lineRule="auto"/>
        <w:rPr>
          <w:color w:val="00000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P="00C15CAC" w:rsidR="00B12B7D"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0" w:val="00A0"/>
      </w:tblPr>
      <w:tblGrid>
        <w:gridCol w:w="846"/>
        <w:gridCol w:w="845"/>
        <w:gridCol w:w="1549"/>
        <w:gridCol w:w="1548"/>
        <w:gridCol w:w="1407"/>
        <w:gridCol w:w="2673"/>
      </w:tblGrid>
      <w:tr w:rsidR="00286BEF" w:rsidRPr="00414345" w:rsidTr="006A10AB">
        <w:trPr>
          <w:trHeight w:val="292"/>
          <w:jc w:val="center"/>
        </w:trPr>
        <w:tc>
          <w:tcPr>
            <w:tcW w:type="dxa" w:w="851"/>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type="dxa" w:w="850"/>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type="dxa" w:w="3119"/>
            <w:gridSpan w:val="2"/>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type="dxa" w:w="1417"/>
            <w:vMerge w:val="restart"/>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w:t>
            </w:r>
            <w:r w:rsidRPr="00414345">
              <w:rPr>
                <w:color w:val="000000"/>
                <w:kern w:val="0"/>
                <w:sz w:val="24"/>
                <w:szCs w:val="24"/>
              </w:rPr>
              <w:lastRenderedPageBreak/>
              <w:t>年限</w:t>
            </w:r>
          </w:p>
        </w:tc>
        <w:tc>
          <w:tcPr>
            <w:tcW w:type="dxa" w:w="2694"/>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lastRenderedPageBreak/>
              <w:t>说明</w:t>
            </w:r>
          </w:p>
        </w:tc>
      </w:tr>
      <w:tr w:rsidR="00D13737" w:rsidRPr="00414345" w:rsidTr="006A10AB">
        <w:trPr>
          <w:jc w:val="center"/>
        </w:trPr>
        <w:tc>
          <w:tcPr>
            <w:tcW w:type="dxa" w:w="851"/>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850"/>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1560"/>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type="dxa" w:w="1559"/>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type="dxa" w:w="1417"/>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2694"/>
            <w:vMerge/>
            <w:vAlign w:val="center"/>
          </w:tcPr>
          <w:p w:rsidP="00C15CAC" w:rsidR="004061AC" w:rsidRDefault="004061AC" w:rsidRPr="00414345">
            <w:pPr>
              <w:widowControl/>
              <w:spacing w:before="29" w:line="288" w:lineRule="auto"/>
              <w:jc w:val="left"/>
              <w:rPr>
                <w:color w:val="000000"/>
                <w:kern w:val="0"/>
                <w:sz w:val="24"/>
                <w:szCs w:val="24"/>
              </w:rPr>
            </w:pPr>
          </w:p>
        </w:tc>
      </w:tr>
      <w:tr>
        <w:tc>
          <w:tcPr>
            <w:vAlign w:val="center"/>
          </w:tcPr>
          <w:p>
            <w:pPr>
              <w:jc w:val="center"/>
            </w:pPr>
            <w:r>
              <w:rPr>
                <w:color w:val="000000"/>
                <w:sz w:val="24"/>
                <w:szCs w:val="24"/>
              </w:rPr>
              <w:t>唐赟</w:t>
            </w:r>
          </w:p>
        </w:tc>
        <w:tc>
          <w:tcPr>
            <w:vAlign w:val="center"/>
          </w:tcPr>
          <w:p>
            <w:pPr>
              <w:jc w:val="center"/>
            </w:pPr>
            <w:r>
              <w:rPr>
                <w:color w:val="000000"/>
                <w:sz w:val="24"/>
                <w:szCs w:val="24"/>
              </w:rPr>
              <w:t>交银信用添利债券(LOF)、交银双利债券、交银双轮动债券、交银定期支付月月丰债券、交银增强收益债券、交银强化回报债券、交银荣鑫灵活配置混合、交银稳固收益债券的基金经理</w:t>
            </w:r>
          </w:p>
        </w:tc>
        <w:tc>
          <w:tcPr>
            <w:vAlign w:val="center"/>
          </w:tcPr>
          <w:p>
            <w:pPr>
              <w:jc w:val="center"/>
            </w:pPr>
            <w:r>
              <w:rPr>
                <w:color w:val="000000"/>
                <w:sz w:val="24"/>
                <w:szCs w:val="24"/>
              </w:rPr>
              <w:t>2020-07-14</w:t>
            </w:r>
          </w:p>
        </w:tc>
        <w:tc>
          <w:tcPr>
            <w:vAlign w:val="center"/>
          </w:tcPr>
          <w:p>
            <w:pPr>
              <w:jc w:val="center"/>
            </w:pPr>
            <w:r>
              <w:rPr>
                <w:color w:val="000000"/>
                <w:sz w:val="24"/>
                <w:szCs w:val="24"/>
              </w:rPr>
              <w:t>-</w:t>
            </w:r>
          </w:p>
        </w:tc>
        <w:tc>
          <w:tcPr>
            <w:vAlign w:val="center"/>
          </w:tcPr>
          <w:p>
            <w:pPr>
              <w:jc w:val="center"/>
            </w:pPr>
            <w:r>
              <w:rPr>
                <w:color w:val="000000"/>
                <w:sz w:val="24"/>
                <w:szCs w:val="24"/>
              </w:rPr>
              <w:t>10年</w:t>
            </w:r>
          </w:p>
        </w:tc>
        <w:tc>
          <w:tcPr>
            <w:vAlign w:val="center"/>
          </w:tcPr>
          <w:p>
            <w:pPr>
              <w:jc w:val="both"/>
            </w:pPr>
            <w:r>
              <w:rPr>
                <w:color w:val="000000"/>
                <w:sz w:val="24"/>
                <w:szCs w:val="24"/>
              </w:rPr>
              <w:t>唐赟先生，香港城市大学电子工程硕士。历任渣打银行环球企业部助理客户经理、平安资产管理公司信用分析员。2012年加入交银施罗德基金管理有限公司，历任固定收益研究员、基金经理助理。2015年11月7日至2018年6月1日担任转型前的交银施罗德荣和保本混合型证券投资基金的基金经理。2017年3月31日至2019年10月23日担任交银施罗德裕通纯债债券型证券投资基金的基金经理。2018年6月2日至2019年12月13日担任交银施罗德安心收益债券型证券投资基金的基金经理。</w:t>
            </w:r>
          </w:p>
        </w:tc>
      </w:tr>
    </w:tbl>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注：基金经理（或基金经理小组）期后变动（如有）敬请关注基金管理人发布的相关公告。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P="00C15CAC" w:rsidR="004061AC" w:rsidRDefault="004061AC" w:rsidRPr="00414345">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pPr>
        <w:spacing w:before="29" w:line="288" w:lineRule="auto"/>
        <w:ind w:firstLine="480" w:firstLineChars="20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本公司制定了严格的投资控制制度和公平交易监控制度来保证旗下基金运作的公平，旗下所管理的所有资产组合，包括证券投资基金和私募资产管理计划均严格遵循制度进行公平交易。</w:t>
      </w:r>
    </w:p>
    <w:p>
      <w:pPr>
        <w:spacing w:before="29" w:line="288" w:lineRule="auto"/>
        <w:ind w:firstLine="480" w:firstLineChars="20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价格优先、时间优先”的原则，全部通过交易系统进行比例分配；对于非集中竞价交易、以公司名义进行的场外交易，遵循公平交易分配原则对交易结果进行分配。</w:t>
      </w:r>
    </w:p>
    <w:p>
      <w:pPr>
        <w:spacing w:before="29" w:line="288" w:lineRule="auto"/>
        <w:ind w:firstLine="480" w:firstLineChars="20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
      </w:r>
      <w:r w:rsidR="00957594" w:rsidRPr="00414345">
        <w:rPr>
          <w:color w:val="000000"/>
          <w:sz w:val="24"/>
          <w:szCs w:val="24"/>
        </w:rPr>
        <w:t/>
      </w:r>
      <w:r w:rsidRPr="00414345">
        <w:rPr>
          <w:color w:val="000000"/>
          <w:sz w:val="24"/>
          <w:szCs w:val="24"/>
        </w:rPr>
        <w:t>报告期内本公司严格执行公平交易制度，公平对待旗下各投资组合，未发现任何违反公平交易的行为。</w:t>
      </w:r>
    </w:p>
    <w:p w:rsidP="00C15CAC" w:rsidR="004061AC" w:rsidRDefault="004061AC" w:rsidRPr="00414345">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P="00C15CAC" w:rsidR="004061AC" w:rsidRDefault="00957594" w:rsidRPr="00414345">
      <w:pPr>
        <w:spacing w:before="29" w:line="288" w:lineRule="auto"/>
        <w:ind w:firstLine="480" w:firstLineChars="20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C15CAC" w:rsidR="004061AC" w:rsidRDefault="004061AC"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pPr>
        <w:spacing w:before="29" w:line="288" w:lineRule="auto"/>
        <w:ind w:firstLine="480" w:firstLineChars="200"/>
        <w:rPr>
          <w:color w:val="000000"/>
          <w:sz w:val="24"/>
          <w:szCs w:val="24"/>
        </w:rPr>
      </w:pPr>
      <w:r>
        <w:rPr>
          <w:color w:val="000000"/>
          <w:sz w:val="24"/>
          <w:szCs w:val="24"/>
        </w:rPr>
        <w:t>2020年四季度债券市场总体呈现出收益率先上后下的震荡行情。进入十月后，央行重提总闸门引发货币政策进一步收紧的预期，收益率小幅震荡上行。十一月上旬，部分信用债超预期违约事件爆发，引起市场对于弱资质国企信用风险的一致担忧，信用债和利率债均经历了一波大幅下跌。当月下旬开始到年底，随着金稳委出面强调坚决打击逃废债行为，央行配合超预期投放流动性，加上经济工作会议表态不会出现政策“急转弯”，债券市场在配置和交易力量的共同带动下，收益率转而下行，市场情绪明显缓和。权益类资产方面，市场在报告期内大部分时间处于窄幅震荡行情，新能源车、光伏等部分行业有结构性行情。</w:t>
      </w:r>
    </w:p>
    <w:p>
      <w:pPr>
        <w:spacing w:before="29" w:line="288" w:lineRule="auto"/>
        <w:ind w:firstLine="480" w:firstLineChars="200"/>
        <w:rPr>
          <w:color w:val="000000"/>
          <w:sz w:val="24"/>
          <w:szCs w:val="24"/>
        </w:rPr>
      </w:pPr>
      <w:r>
        <w:rPr>
          <w:color w:val="000000"/>
          <w:sz w:val="24"/>
          <w:szCs w:val="24"/>
        </w:rPr>
        <w:t>报告期内，组合的债券资产维持短久期低仓位配置。权益资产则维持在中性仓位附近，行业配置上以消费、新能源板块等行业为主。</w:t>
      </w:r>
    </w:p>
    <w:p>
      <w:pPr>
        <w:spacing w:before="29" w:line="288" w:lineRule="auto"/>
        <w:ind w:firstLine="480" w:firstLineChars="200"/>
        <w:rPr>
          <w:color w:val="000000"/>
          <w:sz w:val="24"/>
          <w:szCs w:val="24"/>
        </w:rPr>
      </w:pPr>
      <w:r>
        <w:rPr>
          <w:color w:val="000000"/>
          <w:sz w:val="24"/>
          <w:szCs w:val="24"/>
        </w:rPr>
        <w:t>展望2021年一季度，经济增长动能将从疫情后以基建、地产等逆周期因素拉动，继续逐步切换到以消费、制造业为支柱的顺周期方向，同时出口受到疫苗接种和海外复苏影响，韧性相对较强，预计2021年的经济运行将回归正常轨道。节奏上，环比增长预计先稳后弱，下半年增长压力或将大于上半年。宏观政策方面，在稳定宏观杠杆率和政策不急转弯的大环境下，2021年或呈现信用环境边际收紧、货币条件先紧后松、通胀趋势先上后稳的格局。对于债券市场，我们认为明年整体机会大于风险。节奏上，预计在二季度前后，经济环比增长动力将边际趋弱，届时债券市场的趋势性配置价值或将显现。同时，2021年信用环境边际收缩、叠加信用债到期压力较大，预计低等级信用债券的信用利差存在持续走扩压力。</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组合策略方面，我们将保持债券资产相对偏低的杠杆和久期，适当关注长端利率的波段交易机会。权益资产方面，我们将寻找未来一段时间景气度较高的行业及行业地位明确、增长确定性较高的公司，在控制组合回撤的前提下，积极把握权益类资产可能带来的增厚组合收益的机会。</w:t>
      </w:r>
    </w:p>
    <w:p w:rsidP="00C15CAC" w:rsidR="00627E2D" w:rsidRDefault="00627E2D"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本基金（各类）份额净值及业绩表现请见“3.1主要财务指标” 及“3.2.1 本报告期基金份额净值增长率及其与同期业绩比较基准收益率的比较”部分披露。</w:t>
      </w:r>
    </w:p>
    <w:p w:rsidP="00C15CAC" w:rsidR="009C5186" w:rsidRDefault="009C5186" w:rsidRPr="00414345">
      <w:pPr>
        <w:spacing w:before="29" w:line="288" w:lineRule="auto"/>
        <w:ind w:firstLine="480" w:firstLineChars="200"/>
        <w:rPr>
          <w:color w:val="000000"/>
          <w:sz w:val="24"/>
          <w:szCs w:val="24"/>
        </w:rPr>
      </w:pPr>
    </w:p>
    <w:p w:rsidP="00421CD2" w:rsidR="00421CD2" w:rsidRDefault="00421CD2"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421CD2" w:rsidR="00421CD2" w:rsidRDefault="00421CD2">
      <w:pPr>
        <w:spacing w:before="29" w:line="288" w:lineRule="auto"/>
        <w:ind w:firstLine="480" w:firstLineChars="200"/>
        <w:rPr>
          <w:color w:val="000000"/>
          <w:sz w:val="24"/>
        </w:rPr>
      </w:pPr>
      <w:r w:rsidRPr="002070B4">
        <w:rPr>
          <w:color w:val="000000"/>
          <w:sz w:val="24"/>
        </w:rPr>
        <w:t>本基金本报告期内连续六十个工作日出现基金资产净值低于5000万元的情形，截至本报告期末，本基金基金资产净值仍低于5000万元。</w:t>
      </w: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P="00BF0019" w:rsidR="00BF0019" w:rsidRDefault="00BF0019">
      <w:pPr>
        <w:autoSpaceDE w:val="0"/>
        <w:autoSpaceDN w:val="0"/>
        <w:adjustRightInd w:val="0"/>
        <w:spacing w:line="360" w:lineRule="auto"/>
        <w:jc w:val="left"/>
        <w:rPr>
          <w:rFonts w:eastAsiaTheme="minorEastAsia"/>
          <w:b/>
          <w:color w:themeColor="text1" w:val="000000"/>
          <w:kern w:val="0"/>
          <w:sz w:val="24"/>
          <w:szCs w:val="24"/>
        </w:rPr>
      </w:pPr>
      <w:r w:rsidRPr="007B5F21">
        <w:rPr>
          <w:rFonts w:eastAsiaTheme="minorEastAsia"/>
          <w:b/>
          <w:color w:themeColor="text1" w:val="000000"/>
          <w:kern w:val="0"/>
          <w:sz w:val="24"/>
          <w:szCs w:val="24"/>
        </w:rPr>
        <w:t xml:space="preserve">5.1 </w:t>
      </w:r>
      <w:r w:rsidRPr="007B5F21">
        <w:rPr>
          <w:rFonts w:eastAsiaTheme="minorEastAsia"/>
          <w:b/>
          <w:color w:themeColor="text1" w:val="000000"/>
          <w:kern w:val="0"/>
          <w:sz w:val="24"/>
          <w:szCs w:val="24"/>
        </w:rPr>
        <w:t>报告期末基金资产组合情况</w:t>
      </w:r>
    </w:p>
    <w:p w:rsidP="009C1009" w:rsidR="006B5F69" w:rsidRDefault="009C1009" w:rsidRPr="007B5F21">
      <w:pPr>
        <w:autoSpaceDE w:val="0"/>
        <w:autoSpaceDN w:val="0"/>
        <w:adjustRightInd w:val="0"/>
        <w:spacing w:line="360" w:lineRule="auto"/>
        <w:jc w:val="right"/>
        <w:rPr>
          <w:rFonts w:eastAsiaTheme="minorEastAsia"/>
          <w:b/>
          <w:color w:themeColor="text1" w:val="000000"/>
          <w:kern w:val="0"/>
          <w:sz w:val="24"/>
          <w:szCs w:val="24"/>
        </w:rPr>
      </w:pPr>
      <w:r w:rsidRPr="009C1009">
        <w:rPr>
          <w:rFonts w:hint="eastAsia"/>
          <w:color w:val="000000"/>
          <w:kern w:val="0"/>
        </w:rPr>
        <w:t/>
      </w:r>
      <w:r w:rsidRPr="009C1009">
        <w:rPr>
          <w:rFonts w:hint="eastAsia"/>
          <w:color w:val="000000"/>
          <w:kern w:val="0"/>
        </w:rPr>
        <w:t>金额单位：人民币元</w:t>
      </w:r>
    </w:p>
    <w:tbl>
      <w:tblPr>
        <w:tblStyle w:val="af7"/>
        <w:tblW w:type="dxa" w:w="8897"/>
        <w:tblInd w:type="dxa" w:w="108"/>
        <w:tblLayout w:type="fixed"/>
        <w:tblLook w:firstColumn="1" w:firstRow="1" w:lastColumn="0" w:lastRow="0" w:noHBand="0" w:noVBand="1" w:val="04A0"/>
      </w:tblPr>
      <w:tblGrid>
        <w:gridCol w:w="720"/>
        <w:gridCol w:w="2682"/>
        <w:gridCol w:w="2552"/>
        <w:gridCol w:w="2943"/>
      </w:tblGrid>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序号</w:t>
            </w:r>
          </w:p>
        </w:tc>
        <w:tc>
          <w:tcPr>
            <w:tcW w:type="dxa" w:w="2682"/>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项目</w:t>
            </w:r>
          </w:p>
        </w:tc>
        <w:tc>
          <w:tcPr>
            <w:tcW w:type="dxa" w:w="2552"/>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金额</w:t>
            </w:r>
          </w:p>
        </w:tc>
        <w:tc>
          <w:tcPr>
            <w:tcW w:type="dxa" w:w="2943"/>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占基金总资产的比例</w:t>
            </w:r>
            <w:r w:rsidR="0018138B">
              <w:rPr>
                <w:rFonts w:eastAsiaTheme="minorEastAsia" w:hint="eastAsia"/>
                <w:color w:themeColor="text1" w:val="000000"/>
                <w:sz w:val="24"/>
                <w:szCs w:val="24"/>
              </w:rPr>
              <w:t>(</w:t>
            </w:r>
            <w:r w:rsidR="0018138B">
              <w:rPr>
                <w:rFonts w:eastAsiaTheme="minorEastAsia"/>
                <w:color w:themeColor="text1" w:val="000000"/>
                <w:sz w:val="24"/>
                <w:szCs w:val="24"/>
              </w:rPr>
              <w:t>%</w:t>
            </w:r>
            <w:r w:rsidR="0018138B">
              <w:rPr>
                <w:rFonts w:eastAsiaTheme="minorEastAsia" w:hint="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lastRenderedPageBreak/>
              <w:t>1</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权益投资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3,024,112.00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17.73</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其中：股票</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3,024,112.00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17.73</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2</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ascii="宋体" w:hAnsi="宋体" w:hint="eastAsia"/>
                <w:sz w:val="24"/>
                <w:szCs w:val="24"/>
              </w:rPr>
              <w:t>基金投资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3</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固定收益投资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12,924,177.40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75.78</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其中：债券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12,924,177.40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75.78</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7B5F21" w:rsidR="00BF0019" w:rsidRDefault="00BF0019" w:rsidRPr="007B5F21">
            <w:pPr>
              <w:autoSpaceDE w:val="0"/>
              <w:autoSpaceDN w:val="0"/>
              <w:adjustRightInd w:val="0"/>
              <w:spacing w:before="29" w:line="360" w:lineRule="auto"/>
              <w:ind w:firstLine="720" w:firstLineChars="300" w:left="17"/>
              <w:jc w:val="left"/>
              <w:rPr>
                <w:rFonts w:eastAsiaTheme="minorEastAsia"/>
                <w:color w:themeColor="text1" w:val="000000"/>
                <w:sz w:val="24"/>
                <w:szCs w:val="24"/>
              </w:rPr>
            </w:pPr>
            <w:r w:rsidRPr="007B5F21">
              <w:rPr>
                <w:rFonts w:eastAsiaTheme="minorEastAsia"/>
                <w:color w:themeColor="text1" w:val="000000"/>
                <w:sz w:val="24"/>
                <w:szCs w:val="24"/>
              </w:rPr>
              <w:t>资产支持证券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4</w:t>
            </w:r>
          </w:p>
        </w:tc>
        <w:tc>
          <w:tcPr>
            <w:tcW w:type="dxa" w:w="2682"/>
            <w:vAlign w:val="center"/>
          </w:tcPr>
          <w:p w:rsidP="002D2971" w:rsidR="00BF0019" w:rsidRDefault="00BF0019" w:rsidRPr="007B5F21">
            <w:pPr>
              <w:spacing w:before="29" w:line="360" w:lineRule="auto"/>
              <w:ind w:left="105" w:leftChars="50"/>
              <w:rPr>
                <w:rFonts w:eastAsiaTheme="minorEastAsia"/>
                <w:color w:themeColor="text1" w:val="000000"/>
                <w:sz w:val="24"/>
                <w:szCs w:val="24"/>
              </w:rPr>
            </w:pPr>
            <w:r w:rsidRPr="007B5F21">
              <w:rPr>
                <w:rFonts w:eastAsiaTheme="minorEastAsia"/>
                <w:color w:themeColor="text1" w:val="000000"/>
                <w:sz w:val="24"/>
                <w:szCs w:val="24"/>
              </w:rPr>
              <w:t>贵金属投资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5</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金融衍生品投资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6</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color w:themeColor="text1" w:val="000000"/>
                <w:sz w:val="24"/>
                <w:szCs w:val="24"/>
              </w:rPr>
              <w:lastRenderedPageBreak/>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lastRenderedPageBreak/>
              <w:t/>
            </w:r>
            <w:r w:rsidRPr="007B5F21">
              <w:rPr>
                <w:rFonts w:eastAsiaTheme="minorEastAsia"/>
                <w:color w:themeColor="text1" w:val="000000"/>
                <w:sz w:val="24"/>
                <w:szCs w:val="24"/>
              </w:rPr>
              <w:lastRenderedPageBreak/>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其中：买断式回购的买入返售金融资产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7</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银行存款和结算备付金合计</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807,912.92</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4.74</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8</w:t>
            </w:r>
          </w:p>
        </w:tc>
        <w:tc>
          <w:tcPr>
            <w:tcW w:type="dxa" w:w="2682"/>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其他各项资产</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299,724.23</w:t>
            </w:r>
          </w:p>
        </w:tc>
        <w:tc>
          <w:tcPr>
            <w:tcW w:type="dxa" w:w="2943"/>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1.76</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9</w:t>
            </w:r>
          </w:p>
        </w:tc>
        <w:tc>
          <w:tcPr>
            <w:tcW w:type="dxa" w:w="2682"/>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合计</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17,055,926.55</w:t>
            </w:r>
          </w:p>
        </w:tc>
        <w:tc>
          <w:tcPr>
            <w:tcW w:type="dxa" w:w="2943"/>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100.00</w:t>
            </w:r>
          </w:p>
        </w:tc>
      </w:tr>
    </w:tbl>
    <w:p w:rsidP="00C15CAC" w:rsidR="004061AC" w:rsidRDefault="004061AC" w:rsidRPr="00414345">
      <w:pPr>
        <w:autoSpaceDE w:val="0"/>
        <w:autoSpaceDN w:val="0"/>
        <w:adjustRightInd w:val="0"/>
        <w:spacing w:before="29" w:line="288" w:lineRule="auto"/>
        <w:jc w:val="left"/>
        <w:rPr>
          <w:color w:val="00000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P="00F51C4E" w:rsidR="00F51C4E" w:rsidRDefault="00F51C4E">
      <w:pPr>
        <w:rPr>
          <w:rFonts w:eastAsiaTheme="minorEastAsia"/>
          <w:b/>
          <w:color w:themeColor="text1" w:val="000000"/>
          <w:kern w:val="0"/>
          <w:sz w:val="24"/>
        </w:rPr>
      </w:pPr>
      <w:r w:rsidRPr="004A3846">
        <w:rPr>
          <w:b/>
          <w:color w:themeColor="text1" w:val="000000"/>
          <w:sz w:val="24"/>
        </w:rPr>
        <w:t/>
      </w:r>
      <w:r w:rsidRPr="004A3846">
        <w:rPr>
          <w:rFonts w:eastAsiaTheme="minorEastAsia" w:hint="eastAsia"/>
          <w:b/>
          <w:color w:themeColor="text1" w:val="000000"/>
          <w:kern w:val="0"/>
          <w:sz w:val="24"/>
        </w:rPr>
        <w:t>5.2.1</w:t>
      </w:r>
      <w:r w:rsidRPr="004A3846">
        <w:rPr>
          <w:rFonts w:eastAsiaTheme="minorEastAsia" w:hint="eastAsia"/>
          <w:b/>
          <w:color w:themeColor="text1" w:val="000000"/>
          <w:kern w:val="0"/>
          <w:sz w:val="24"/>
        </w:rPr>
        <w:t>报告期末按行业分类的境内股票投资组合</w:t>
      </w:r>
    </w:p>
    <w:p w:rsidP="009C1009" w:rsidR="007B2639" w:rsidRDefault="009C1009" w:rsidRPr="007B2639">
      <w:pPr>
        <w:jc w:val="right"/>
        <w:rPr>
          <w:sz w:val="24"/>
        </w:rPr>
      </w:pPr>
      <w:r w:rsidRPr="009C1009">
        <w:rPr>
          <w:rFonts w:eastAsiaTheme="minorEastAsia" w:hint="eastAsia"/>
          <w:color w:themeColor="text1" w:val="000000"/>
          <w:kern w:val="0"/>
          <w:sz w:val="24"/>
        </w:rPr>
        <w:t/>
      </w:r>
      <w:r w:rsidRPr="009C1009">
        <w:rPr>
          <w:rFonts w:eastAsiaTheme="minorEastAsia" w:hint="eastAsia"/>
          <w:color w:themeColor="text1" w:val="000000"/>
          <w:kern w:val="0"/>
          <w:sz w:val="24"/>
        </w:rPr>
        <w:t>金额单位：人民币元</w:t>
      </w:r>
    </w:p>
    <w:tbl>
      <w:tblPr>
        <w:tblW w:type="dxa" w:w="8868"/>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1"/>
          <w:left w:type="dxa" w:w="0"/>
          <w:bottom w:type="dxa" w:w="-1"/>
          <w:right w:type="dxa" w:w="0"/>
        </w:tblCellMar>
        <w:tblLook w:firstColumn="0" w:firstRow="0" w:lastColumn="0" w:lastRow="0" w:noHBand="0" w:noVBand="0" w:val="0000"/>
      </w:tblPr>
      <w:tblGrid>
        <w:gridCol w:w="845"/>
        <w:gridCol w:w="3544"/>
        <w:gridCol w:w="2841"/>
        <w:gridCol w:w="1638"/>
      </w:tblGrid>
      <w:tr w:rsidR="00531F10" w:rsidRPr="00414345" w:rsidTr="006C2C1B">
        <w:trPr>
          <w:trHeight w:val="390"/>
          <w:jc w:val="center"/>
        </w:trPr>
        <w:tc>
          <w:tcPr>
            <w:tcW w:type="dxa" w:w="845"/>
            <w:tcBorders>
              <w:top w:color="000000" w:space="0" w:sz="4" w:val="single"/>
              <w:left w:color="000000"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代码</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行业类别</w:t>
            </w:r>
            <w:r w:rsidR="005E475E" w:rsidRPr="00414345">
              <w:rPr>
                <w:sz w:val="24"/>
                <w:szCs w:val="24"/>
              </w:rPr>
              <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B11F31" w:rsidRPr="00414345">
            <w:pPr>
              <w:adjustRightInd w:val="0"/>
              <w:snapToGrid w:val="0"/>
              <w:spacing w:before="29" w:line="288" w:lineRule="auto"/>
              <w:jc w:val="center"/>
              <w:rPr>
                <w:sz w:val="24"/>
                <w:szCs w:val="24"/>
              </w:rPr>
            </w:pPr>
            <w:r>
              <w:rPr>
                <w:sz w:val="24"/>
                <w:szCs w:val="24"/>
              </w:rPr>
              <w:t>公允价值</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lastRenderedPageBreak/>
              <w:t>A</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农、林、牧、渔业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autoSpaceDE w:val="0"/>
              <w:autoSpaceDN w:val="0"/>
              <w:adjustRightInd w:val="0"/>
              <w:spacing w:before="29" w:line="288" w:lineRule="auto"/>
              <w:ind w:left="15"/>
              <w:jc w:val="right"/>
              <w:rPr>
                <w:sz w:val="24"/>
                <w:szCs w:val="24"/>
              </w:rPr>
            </w:pPr>
            <w:r w:rsidRPr="00414345">
              <w:rPr>
                <w:sz w:val="24"/>
                <w:szCs w:val="24"/>
              </w:rPr>
              <w:t>115,650.00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utoSpaceDE w:val="0"/>
              <w:autoSpaceDN w:val="0"/>
              <w:adjustRightInd w:val="0"/>
              <w:spacing w:before="29" w:line="288" w:lineRule="auto"/>
              <w:ind w:left="15"/>
              <w:jc w:val="right"/>
              <w:rPr>
                <w:sz w:val="24"/>
                <w:szCs w:val="24"/>
              </w:rPr>
            </w:pPr>
            <w:r w:rsidRPr="00414345">
              <w:rPr>
                <w:sz w:val="24"/>
                <w:szCs w:val="24"/>
              </w:rPr>
              <w:t>0.74</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B</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采矿业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1B4DD6"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1B4DD6"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C</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制造业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1,728,620.00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11.02</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D</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电力、热力、燃气及水生产和供应业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E</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建筑业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F</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批发和零售业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G</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交通运输、仓储和邮政业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132,345.00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0.84</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H</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住宿和餐饮业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r w:rsidRPr="00414345">
              <w:rPr>
                <w:sz w:val="24"/>
                <w:szCs w:val="24"/>
              </w:rPr>
              <w:lastRenderedPageBreak/>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lastRenderedPageBreak/>
              <w:t/>
            </w:r>
            <w:r w:rsidRPr="00414345">
              <w:rPr>
                <w:sz w:val="24"/>
                <w:szCs w:val="24"/>
              </w:rPr>
              <w:lastRenderedPageBreak/>
              <w:t>-</w:t>
            </w:r>
          </w:p>
        </w:tc>
      </w:tr>
      <w:tr w:rsidR="00531F10" w:rsidRPr="00414345" w:rsidTr="00DC28F1">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lastRenderedPageBreak/>
              <w:t>I</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DC28F1" w:rsidR="00531F10" w:rsidRDefault="00531F10" w:rsidRPr="00414345">
            <w:pPr>
              <w:adjustRightInd w:val="0"/>
              <w:snapToGrid w:val="0"/>
              <w:spacing w:before="29" w:line="288" w:lineRule="auto"/>
              <w:rPr>
                <w:sz w:val="24"/>
                <w:szCs w:val="24"/>
              </w:rPr>
            </w:pPr>
            <w:r w:rsidRPr="00414345">
              <w:rPr>
                <w:sz w:val="24"/>
                <w:szCs w:val="24"/>
              </w:rPr>
              <w:t>信息传输、软件和信息技术服务业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J</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金融业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363,744.00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2.32</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K</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房地产业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114,800.00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0.73</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L</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169,470.00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1.08</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M</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N</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lastRenderedPageBreak/>
              <w:t>O</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P</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教育</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119,442.00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0.76</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Q</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142,291.00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0.91</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R</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137,750.00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0.88</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S</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综合</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合计</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3,024,112.00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19.27</w:t>
            </w:r>
          </w:p>
        </w:tc>
      </w:tr>
    </w:tbl>
    <w:p w:rsidP="00F51C4E" w:rsidR="00F51C4E" w:rsidRDefault="00F51C4E" w:rsidRPr="008A409E">
      <w:pPr>
        <w:jc w:val="left"/>
        <w:rPr>
          <w:rFonts w:asciiTheme="minorEastAsia" w:eastAsiaTheme="minorEastAsia" w:hAnsiTheme="minorEastAsia"/>
          <w:b/>
          <w:bCs/>
          <w:color w:themeColor="text1" w:val="000000"/>
          <w:kern w:val="0"/>
          <w:sz w:val="24"/>
        </w:rPr>
      </w:pPr>
      <w:r w:rsidRPr="008A409E">
        <w:rPr>
          <w:rFonts w:asciiTheme="minorEastAsia" w:eastAsiaTheme="minorEastAsia" w:hAnsiTheme="minorEastAsia"/>
          <w:b/>
          <w:bCs/>
          <w:color w:themeColor="text1" w:val="000000"/>
          <w:kern w:val="0"/>
          <w:sz w:val="24"/>
        </w:rPr>
        <w:t/>
      </w:r>
      <w:r w:rsidRPr="008A409E">
        <w:rPr>
          <w:rFonts w:asciiTheme="minorEastAsia" w:eastAsiaTheme="minorEastAsia" w:hAnsiTheme="minorEastAsia" w:hint="eastAsia"/>
          <w:b/>
          <w:bCs/>
          <w:color w:themeColor="text1" w:val="000000"/>
          <w:kern w:val="0"/>
          <w:sz w:val="24"/>
        </w:rPr>
        <w:t>5.2.2报告期末按行业分类的</w:t>
      </w:r>
      <w:r w:rsidR="00EE49FE">
        <w:rPr>
          <w:rFonts w:asciiTheme="minorEastAsia" w:eastAsiaTheme="minorEastAsia" w:hAnsiTheme="minorEastAsia" w:hint="eastAsia"/>
          <w:b/>
          <w:bCs/>
          <w:color w:themeColor="text1" w:val="000000"/>
          <w:kern w:val="0"/>
          <w:sz w:val="24"/>
        </w:rPr>
        <w:t>港股通</w:t>
      </w:r>
      <w:r w:rsidRPr="008A409E">
        <w:rPr>
          <w:rFonts w:asciiTheme="minorEastAsia" w:eastAsiaTheme="minorEastAsia" w:hAnsiTheme="minorEastAsia" w:hint="eastAsia"/>
          <w:b/>
          <w:bCs/>
          <w:color w:themeColor="text1" w:val="000000"/>
          <w:kern w:val="0"/>
          <w:sz w:val="24"/>
        </w:rPr>
        <w:t>投资股票投资组合</w:t>
      </w:r>
    </w:p>
    <w:p w:rsidP="00F51C4E" w:rsidR="00F51C4E" w:rsidRDefault="00F51C4E">
      <w:pPr>
        <w:spacing w:before="29" w:line="360" w:lineRule="auto"/>
        <w:ind w:left="17"/>
        <w:rPr>
          <w:color w:val="000000"/>
          <w:sz w:val="24"/>
        </w:rPr>
      </w:pPr>
      <w:r w:rsidRPr="00FF0BBF">
        <w:rPr>
          <w:color w:val="000000"/>
          <w:sz w:val="24"/>
        </w:rPr>
        <w:t>本基金本报告期末未持有通过港股通投资的股票。</w:t>
      </w:r>
    </w:p>
    <w:p w:rsidP="00C15CAC" w:rsidR="004061AC" w:rsidRDefault="004061AC" w:rsidRPr="00F51C4E">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type="dxa" w:w="8868"/>
        <w:jc w:val="center"/>
        <w:tblLayout w:type="fixed"/>
        <w:tblCellMar>
          <w:top w:type="dxa" w:w="57"/>
          <w:bottom w:type="dxa" w:w="57"/>
        </w:tblCellMar>
        <w:tblLook w:firstColumn="1" w:firstRow="1" w:lastColumn="0" w:lastRow="0" w:noHBand="0" w:noVBand="1" w:val="04A0"/>
      </w:tblPr>
      <w:tblGrid>
        <w:gridCol w:w="855"/>
        <w:gridCol w:w="1334"/>
        <w:gridCol w:w="1777"/>
        <w:gridCol w:w="1334"/>
        <w:gridCol w:w="1924"/>
        <w:gridCol w:w="1644"/>
      </w:tblGrid>
      <w:tr w:rsidR="00AC592E" w:rsidRPr="00414345" w:rsidTr="00A324F4">
        <w:trPr>
          <w:jc w:val="center"/>
        </w:trPr>
        <w:tc>
          <w:tcPr>
            <w:tcW w:type="dxa" w:w="869"/>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序号</w:t>
            </w:r>
          </w:p>
        </w:tc>
        <w:tc>
          <w:tcPr>
            <w:tcW w:type="dxa" w:w="1357"/>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股票代码</w:t>
            </w:r>
          </w:p>
        </w:tc>
        <w:tc>
          <w:tcPr>
            <w:tcW w:type="dxa" w:w="1810"/>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股票名称</w:t>
            </w:r>
          </w:p>
        </w:tc>
        <w:tc>
          <w:tcPr>
            <w:tcW w:type="dxa" w:w="1357"/>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type="dxa" w:w="1960"/>
            <w:vAlign w:val="center"/>
          </w:tcPr>
          <w:p w:rsidP="00C15CAC" w:rsidR="00853140" w:rsidRDefault="00853140"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type="dxa" w:w="1674"/>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600519</w:t>
            </w:r>
          </w:p>
        </w:tc>
        <w:tc>
          <w:tcPr>
            <w:vAlign w:val="center"/>
          </w:tcPr>
          <w:p>
            <w:pPr>
              <w:jc w:val="center"/>
            </w:pPr>
            <w:r>
              <w:rPr>
                <w:color w:val="000000"/>
                <w:sz w:val="24"/>
                <w:szCs w:val="24"/>
              </w:rPr>
              <w:t>贵州茅台</w:t>
            </w:r>
          </w:p>
        </w:tc>
        <w:tc>
          <w:tcPr>
            <w:vAlign w:val="center"/>
          </w:tcPr>
          <w:p>
            <w:pPr>
              <w:jc w:val="right"/>
            </w:pPr>
            <w:r>
              <w:rPr>
                <w:color w:val="000000"/>
                <w:sz w:val="24"/>
                <w:szCs w:val="24"/>
              </w:rPr>
              <w:t>100</w:t>
            </w:r>
          </w:p>
        </w:tc>
        <w:tc>
          <w:tcPr>
            <w:vAlign w:val="center"/>
          </w:tcPr>
          <w:p>
            <w:pPr>
              <w:jc w:val="right"/>
            </w:pPr>
            <w:r>
              <w:rPr>
                <w:color w:val="000000"/>
                <w:sz w:val="24"/>
                <w:szCs w:val="24"/>
              </w:rPr>
              <w:t>199,800.00</w:t>
            </w:r>
          </w:p>
        </w:tc>
        <w:tc>
          <w:tcPr>
            <w:vAlign w:val="center"/>
          </w:tcPr>
          <w:p>
            <w:pPr>
              <w:jc w:val="right"/>
            </w:pPr>
            <w:r>
              <w:rPr>
                <w:color w:val="000000"/>
                <w:sz w:val="24"/>
                <w:szCs w:val="24"/>
              </w:rPr>
              <w:t>1.27</w:t>
            </w:r>
          </w:p>
        </w:tc>
      </w:tr>
      <w:tr>
        <w:tc>
          <w:tcPr>
            <w:vAlign w:val="center"/>
          </w:tcPr>
          <w:p>
            <w:pPr>
              <w:jc w:val="center"/>
            </w:pPr>
            <w:r>
              <w:rPr>
                <w:color w:val="000000"/>
                <w:sz w:val="24"/>
                <w:szCs w:val="24"/>
              </w:rPr>
              <w:t>2</w:t>
            </w:r>
          </w:p>
        </w:tc>
        <w:tc>
          <w:tcPr>
            <w:vAlign w:val="center"/>
          </w:tcPr>
          <w:p>
            <w:pPr>
              <w:jc w:val="center"/>
            </w:pPr>
            <w:r>
              <w:rPr>
                <w:color w:val="000000"/>
                <w:sz w:val="24"/>
                <w:szCs w:val="24"/>
              </w:rPr>
              <w:t>300750</w:t>
            </w:r>
          </w:p>
        </w:tc>
        <w:tc>
          <w:tcPr>
            <w:vAlign w:val="center"/>
          </w:tcPr>
          <w:p>
            <w:pPr>
              <w:jc w:val="center"/>
            </w:pPr>
            <w:r>
              <w:rPr>
                <w:color w:val="000000"/>
                <w:sz w:val="24"/>
                <w:szCs w:val="24"/>
              </w:rPr>
              <w:t>宁德时代</w:t>
            </w:r>
          </w:p>
        </w:tc>
        <w:tc>
          <w:tcPr>
            <w:vAlign w:val="center"/>
          </w:tcPr>
          <w:p>
            <w:pPr>
              <w:jc w:val="right"/>
            </w:pPr>
            <w:r>
              <w:rPr>
                <w:color w:val="000000"/>
                <w:sz w:val="24"/>
                <w:szCs w:val="24"/>
              </w:rPr>
              <w:t>500</w:t>
            </w:r>
          </w:p>
        </w:tc>
        <w:tc>
          <w:tcPr>
            <w:vAlign w:val="center"/>
          </w:tcPr>
          <w:p>
            <w:pPr>
              <w:jc w:val="right"/>
            </w:pPr>
            <w:r>
              <w:rPr>
                <w:color w:val="000000"/>
                <w:sz w:val="24"/>
                <w:szCs w:val="24"/>
              </w:rPr>
              <w:t>175,555.00</w:t>
            </w:r>
          </w:p>
        </w:tc>
        <w:tc>
          <w:tcPr>
            <w:vAlign w:val="center"/>
          </w:tcPr>
          <w:p>
            <w:pPr>
              <w:jc w:val="right"/>
            </w:pPr>
            <w:r>
              <w:rPr>
                <w:color w:val="000000"/>
                <w:sz w:val="24"/>
                <w:szCs w:val="24"/>
              </w:rPr>
              <w:t>1.12</w:t>
            </w:r>
          </w:p>
        </w:tc>
      </w:tr>
      <w:tr>
        <w:tc>
          <w:tcPr>
            <w:vAlign w:val="center"/>
          </w:tcPr>
          <w:p>
            <w:pPr>
              <w:jc w:val="center"/>
            </w:pPr>
            <w:r>
              <w:rPr>
                <w:color w:val="000000"/>
                <w:sz w:val="24"/>
                <w:szCs w:val="24"/>
              </w:rPr>
              <w:t>3</w:t>
            </w:r>
          </w:p>
        </w:tc>
        <w:tc>
          <w:tcPr>
            <w:vAlign w:val="center"/>
          </w:tcPr>
          <w:p>
            <w:pPr>
              <w:jc w:val="center"/>
            </w:pPr>
            <w:r>
              <w:rPr>
                <w:color w:val="000000"/>
                <w:sz w:val="24"/>
                <w:szCs w:val="24"/>
              </w:rPr>
              <w:t>601888</w:t>
            </w:r>
          </w:p>
        </w:tc>
        <w:tc>
          <w:tcPr>
            <w:vAlign w:val="center"/>
          </w:tcPr>
          <w:p>
            <w:pPr>
              <w:jc w:val="center"/>
            </w:pPr>
            <w:r>
              <w:rPr>
                <w:color w:val="000000"/>
                <w:sz w:val="24"/>
                <w:szCs w:val="24"/>
              </w:rPr>
              <w:t>中国中免</w:t>
            </w:r>
          </w:p>
        </w:tc>
        <w:tc>
          <w:tcPr>
            <w:vAlign w:val="center"/>
          </w:tcPr>
          <w:p>
            <w:pPr>
              <w:jc w:val="right"/>
            </w:pPr>
            <w:r>
              <w:rPr>
                <w:color w:val="000000"/>
                <w:sz w:val="24"/>
                <w:szCs w:val="24"/>
              </w:rPr>
              <w:t>600</w:t>
            </w:r>
          </w:p>
        </w:tc>
        <w:tc>
          <w:tcPr>
            <w:vAlign w:val="center"/>
          </w:tcPr>
          <w:p>
            <w:pPr>
              <w:jc w:val="right"/>
            </w:pPr>
            <w:r>
              <w:rPr>
                <w:color w:val="000000"/>
                <w:sz w:val="24"/>
                <w:szCs w:val="24"/>
              </w:rPr>
              <w:t>169,470.00</w:t>
            </w:r>
          </w:p>
        </w:tc>
        <w:tc>
          <w:tcPr>
            <w:vAlign w:val="center"/>
          </w:tcPr>
          <w:p>
            <w:pPr>
              <w:jc w:val="right"/>
            </w:pPr>
            <w:r>
              <w:rPr>
                <w:color w:val="000000"/>
                <w:sz w:val="24"/>
                <w:szCs w:val="24"/>
              </w:rPr>
              <w:t>1.08</w:t>
            </w:r>
          </w:p>
        </w:tc>
      </w:tr>
      <w:tr>
        <w:tc>
          <w:tcPr>
            <w:vAlign w:val="center"/>
          </w:tcPr>
          <w:p>
            <w:pPr>
              <w:jc w:val="center"/>
            </w:pPr>
            <w:r>
              <w:rPr>
                <w:color w:val="000000"/>
                <w:sz w:val="24"/>
                <w:szCs w:val="24"/>
              </w:rPr>
              <w:t>4</w:t>
            </w:r>
          </w:p>
        </w:tc>
        <w:tc>
          <w:tcPr>
            <w:vAlign w:val="center"/>
          </w:tcPr>
          <w:p>
            <w:pPr>
              <w:jc w:val="center"/>
            </w:pPr>
            <w:r>
              <w:rPr>
                <w:color w:val="000000"/>
                <w:sz w:val="24"/>
                <w:szCs w:val="24"/>
              </w:rPr>
              <w:t>601012</w:t>
            </w:r>
          </w:p>
        </w:tc>
        <w:tc>
          <w:tcPr>
            <w:vAlign w:val="center"/>
          </w:tcPr>
          <w:p>
            <w:pPr>
              <w:jc w:val="center"/>
            </w:pPr>
            <w:r>
              <w:rPr>
                <w:color w:val="000000"/>
                <w:sz w:val="24"/>
                <w:szCs w:val="24"/>
              </w:rPr>
              <w:t>隆基股份</w:t>
            </w:r>
          </w:p>
        </w:tc>
        <w:tc>
          <w:tcPr>
            <w:vAlign w:val="center"/>
          </w:tcPr>
          <w:p>
            <w:pPr>
              <w:jc w:val="right"/>
            </w:pPr>
            <w:r>
              <w:rPr>
                <w:color w:val="000000"/>
                <w:sz w:val="24"/>
                <w:szCs w:val="24"/>
              </w:rPr>
              <w:t>1,700</w:t>
            </w:r>
          </w:p>
        </w:tc>
        <w:tc>
          <w:tcPr>
            <w:vAlign w:val="center"/>
          </w:tcPr>
          <w:p>
            <w:pPr>
              <w:jc w:val="right"/>
            </w:pPr>
            <w:r>
              <w:rPr>
                <w:color w:val="000000"/>
                <w:sz w:val="24"/>
                <w:szCs w:val="24"/>
              </w:rPr>
              <w:t>156,740.00</w:t>
            </w:r>
          </w:p>
        </w:tc>
        <w:tc>
          <w:tcPr>
            <w:vAlign w:val="center"/>
          </w:tcPr>
          <w:p>
            <w:pPr>
              <w:jc w:val="right"/>
            </w:pPr>
            <w:r>
              <w:rPr>
                <w:color w:val="000000"/>
                <w:sz w:val="24"/>
                <w:szCs w:val="24"/>
              </w:rPr>
              <w:t>1.00</w:t>
            </w:r>
          </w:p>
        </w:tc>
      </w:tr>
      <w:tr>
        <w:tc>
          <w:tcPr>
            <w:vAlign w:val="center"/>
          </w:tcPr>
          <w:p>
            <w:pPr>
              <w:jc w:val="center"/>
            </w:pPr>
            <w:r>
              <w:rPr>
                <w:color w:val="000000"/>
                <w:sz w:val="24"/>
                <w:szCs w:val="24"/>
              </w:rPr>
              <w:t>5</w:t>
            </w:r>
          </w:p>
        </w:tc>
        <w:tc>
          <w:tcPr>
            <w:vAlign w:val="center"/>
          </w:tcPr>
          <w:p>
            <w:pPr>
              <w:jc w:val="center"/>
            </w:pPr>
            <w:r>
              <w:rPr>
                <w:color w:val="000000"/>
                <w:sz w:val="24"/>
                <w:szCs w:val="24"/>
              </w:rPr>
              <w:t>600276</w:t>
            </w:r>
          </w:p>
        </w:tc>
        <w:tc>
          <w:tcPr>
            <w:vAlign w:val="center"/>
          </w:tcPr>
          <w:p>
            <w:pPr>
              <w:jc w:val="center"/>
            </w:pPr>
            <w:r>
              <w:rPr>
                <w:color w:val="000000"/>
                <w:sz w:val="24"/>
                <w:szCs w:val="24"/>
              </w:rPr>
              <w:t>恒瑞医药</w:t>
            </w:r>
          </w:p>
        </w:tc>
        <w:tc>
          <w:tcPr>
            <w:vAlign w:val="center"/>
          </w:tcPr>
          <w:p>
            <w:pPr>
              <w:jc w:val="right"/>
            </w:pPr>
            <w:r>
              <w:rPr>
                <w:color w:val="000000"/>
                <w:sz w:val="24"/>
                <w:szCs w:val="24"/>
              </w:rPr>
              <w:t>1,400</w:t>
            </w:r>
          </w:p>
        </w:tc>
        <w:tc>
          <w:tcPr>
            <w:vAlign w:val="center"/>
          </w:tcPr>
          <w:p>
            <w:pPr>
              <w:jc w:val="right"/>
            </w:pPr>
            <w:r>
              <w:rPr>
                <w:color w:val="000000"/>
                <w:sz w:val="24"/>
                <w:szCs w:val="24"/>
              </w:rPr>
              <w:t>156,044.00</w:t>
            </w:r>
          </w:p>
        </w:tc>
        <w:tc>
          <w:tcPr>
            <w:vAlign w:val="center"/>
          </w:tcPr>
          <w:p>
            <w:pPr>
              <w:jc w:val="right"/>
            </w:pPr>
            <w:r>
              <w:rPr>
                <w:color w:val="000000"/>
                <w:sz w:val="24"/>
                <w:szCs w:val="24"/>
              </w:rPr>
              <w:t>0.99</w:t>
            </w:r>
          </w:p>
        </w:tc>
      </w:tr>
      <w:tr>
        <w:tc>
          <w:tcPr>
            <w:vAlign w:val="center"/>
          </w:tcPr>
          <w:p>
            <w:pPr>
              <w:jc w:val="center"/>
            </w:pPr>
            <w:r>
              <w:rPr>
                <w:color w:val="000000"/>
                <w:sz w:val="24"/>
                <w:szCs w:val="24"/>
              </w:rPr>
              <w:t>6</w:t>
            </w:r>
          </w:p>
        </w:tc>
        <w:tc>
          <w:tcPr>
            <w:vAlign w:val="center"/>
          </w:tcPr>
          <w:p>
            <w:pPr>
              <w:jc w:val="center"/>
            </w:pPr>
            <w:r>
              <w:rPr>
                <w:color w:val="000000"/>
                <w:sz w:val="24"/>
                <w:szCs w:val="24"/>
              </w:rPr>
              <w:t>300015</w:t>
            </w:r>
          </w:p>
        </w:tc>
        <w:tc>
          <w:tcPr>
            <w:vAlign w:val="center"/>
          </w:tcPr>
          <w:p>
            <w:pPr>
              <w:jc w:val="center"/>
            </w:pPr>
            <w:r>
              <w:rPr>
                <w:color w:val="000000"/>
                <w:sz w:val="24"/>
                <w:szCs w:val="24"/>
              </w:rPr>
              <w:t>爱尔眼科</w:t>
            </w:r>
          </w:p>
        </w:tc>
        <w:tc>
          <w:tcPr>
            <w:vAlign w:val="center"/>
          </w:tcPr>
          <w:p>
            <w:pPr>
              <w:jc w:val="right"/>
            </w:pPr>
            <w:r>
              <w:rPr>
                <w:color w:val="000000"/>
                <w:sz w:val="24"/>
                <w:szCs w:val="24"/>
              </w:rPr>
              <w:t>1,900</w:t>
            </w:r>
          </w:p>
        </w:tc>
        <w:tc>
          <w:tcPr>
            <w:vAlign w:val="center"/>
          </w:tcPr>
          <w:p>
            <w:pPr>
              <w:jc w:val="right"/>
            </w:pPr>
            <w:r>
              <w:rPr>
                <w:color w:val="000000"/>
                <w:sz w:val="24"/>
                <w:szCs w:val="24"/>
              </w:rPr>
              <w:t>142,291.00</w:t>
            </w:r>
          </w:p>
        </w:tc>
        <w:tc>
          <w:tcPr>
            <w:vAlign w:val="center"/>
          </w:tcPr>
          <w:p>
            <w:pPr>
              <w:jc w:val="right"/>
            </w:pPr>
            <w:r>
              <w:rPr>
                <w:color w:val="000000"/>
                <w:sz w:val="24"/>
                <w:szCs w:val="24"/>
              </w:rPr>
              <w:t>0.91</w:t>
            </w:r>
          </w:p>
        </w:tc>
      </w:tr>
      <w:tr>
        <w:tc>
          <w:tcPr>
            <w:vAlign w:val="center"/>
          </w:tcPr>
          <w:p>
            <w:pPr>
              <w:jc w:val="center"/>
            </w:pPr>
            <w:r>
              <w:rPr>
                <w:color w:val="000000"/>
                <w:sz w:val="24"/>
                <w:szCs w:val="24"/>
              </w:rPr>
              <w:t>7</w:t>
            </w:r>
          </w:p>
        </w:tc>
        <w:tc>
          <w:tcPr>
            <w:vAlign w:val="center"/>
          </w:tcPr>
          <w:p>
            <w:pPr>
              <w:jc w:val="center"/>
            </w:pPr>
            <w:r>
              <w:rPr>
                <w:color w:val="000000"/>
                <w:sz w:val="24"/>
                <w:szCs w:val="24"/>
              </w:rPr>
              <w:t>600887</w:t>
            </w:r>
          </w:p>
        </w:tc>
        <w:tc>
          <w:tcPr>
            <w:vAlign w:val="center"/>
          </w:tcPr>
          <w:p>
            <w:pPr>
              <w:jc w:val="center"/>
            </w:pPr>
            <w:r>
              <w:rPr>
                <w:color w:val="000000"/>
                <w:sz w:val="24"/>
                <w:szCs w:val="24"/>
              </w:rPr>
              <w:t>伊利股份</w:t>
            </w:r>
          </w:p>
        </w:tc>
        <w:tc>
          <w:tcPr>
            <w:vAlign w:val="center"/>
          </w:tcPr>
          <w:p>
            <w:pPr>
              <w:jc w:val="right"/>
            </w:pPr>
            <w:r>
              <w:rPr>
                <w:color w:val="000000"/>
                <w:sz w:val="24"/>
                <w:szCs w:val="24"/>
              </w:rPr>
              <w:t>3,200</w:t>
            </w:r>
          </w:p>
        </w:tc>
        <w:tc>
          <w:tcPr>
            <w:vAlign w:val="center"/>
          </w:tcPr>
          <w:p>
            <w:pPr>
              <w:jc w:val="right"/>
            </w:pPr>
            <w:r>
              <w:rPr>
                <w:color w:val="000000"/>
                <w:sz w:val="24"/>
                <w:szCs w:val="24"/>
              </w:rPr>
              <w:t>141,984.00</w:t>
            </w:r>
          </w:p>
        </w:tc>
        <w:tc>
          <w:tcPr>
            <w:vAlign w:val="center"/>
          </w:tcPr>
          <w:p>
            <w:pPr>
              <w:jc w:val="right"/>
            </w:pPr>
            <w:r>
              <w:rPr>
                <w:color w:val="000000"/>
                <w:sz w:val="24"/>
                <w:szCs w:val="24"/>
              </w:rPr>
              <w:t>0.90</w:t>
            </w:r>
          </w:p>
        </w:tc>
      </w:tr>
      <w:tr>
        <w:tc>
          <w:tcPr>
            <w:vAlign w:val="center"/>
          </w:tcPr>
          <w:p>
            <w:pPr>
              <w:jc w:val="center"/>
            </w:pPr>
            <w:r>
              <w:rPr>
                <w:color w:val="000000"/>
                <w:sz w:val="24"/>
                <w:szCs w:val="24"/>
              </w:rPr>
              <w:t>8</w:t>
            </w:r>
          </w:p>
        </w:tc>
        <w:tc>
          <w:tcPr>
            <w:vAlign w:val="center"/>
          </w:tcPr>
          <w:p>
            <w:pPr>
              <w:jc w:val="center"/>
            </w:pPr>
            <w:r>
              <w:rPr>
                <w:color w:val="000000"/>
                <w:sz w:val="24"/>
                <w:szCs w:val="24"/>
              </w:rPr>
              <w:t>603288</w:t>
            </w:r>
          </w:p>
        </w:tc>
        <w:tc>
          <w:tcPr>
            <w:vAlign w:val="center"/>
          </w:tcPr>
          <w:p>
            <w:pPr>
              <w:jc w:val="center"/>
            </w:pPr>
            <w:r>
              <w:rPr>
                <w:color w:val="000000"/>
                <w:sz w:val="24"/>
                <w:szCs w:val="24"/>
              </w:rPr>
              <w:t>海天味业</w:t>
            </w:r>
          </w:p>
        </w:tc>
        <w:tc>
          <w:tcPr>
            <w:vAlign w:val="center"/>
          </w:tcPr>
          <w:p>
            <w:pPr>
              <w:jc w:val="right"/>
            </w:pPr>
            <w:r>
              <w:rPr>
                <w:color w:val="000000"/>
                <w:sz w:val="24"/>
                <w:szCs w:val="24"/>
              </w:rPr>
              <w:t>700</w:t>
            </w:r>
          </w:p>
        </w:tc>
        <w:tc>
          <w:tcPr>
            <w:vAlign w:val="center"/>
          </w:tcPr>
          <w:p>
            <w:pPr>
              <w:jc w:val="right"/>
            </w:pPr>
            <w:r>
              <w:rPr>
                <w:color w:val="000000"/>
                <w:sz w:val="24"/>
                <w:szCs w:val="24"/>
              </w:rPr>
              <w:t>140,378.00</w:t>
            </w:r>
          </w:p>
        </w:tc>
        <w:tc>
          <w:tcPr>
            <w:vAlign w:val="center"/>
          </w:tcPr>
          <w:p>
            <w:pPr>
              <w:jc w:val="right"/>
            </w:pPr>
            <w:r>
              <w:rPr>
                <w:color w:val="000000"/>
                <w:sz w:val="24"/>
                <w:szCs w:val="24"/>
              </w:rPr>
              <w:t>0.89</w:t>
            </w:r>
          </w:p>
        </w:tc>
      </w:tr>
      <w:tr>
        <w:tc>
          <w:tcPr>
            <w:vAlign w:val="center"/>
          </w:tcPr>
          <w:p>
            <w:pPr>
              <w:jc w:val="center"/>
            </w:pPr>
            <w:r>
              <w:rPr>
                <w:color w:val="000000"/>
                <w:sz w:val="24"/>
                <w:szCs w:val="24"/>
              </w:rPr>
              <w:t>9</w:t>
            </w:r>
          </w:p>
        </w:tc>
        <w:tc>
          <w:tcPr>
            <w:vAlign w:val="center"/>
          </w:tcPr>
          <w:p>
            <w:pPr>
              <w:jc w:val="center"/>
            </w:pPr>
            <w:r>
              <w:rPr>
                <w:color w:val="000000"/>
                <w:sz w:val="24"/>
                <w:szCs w:val="24"/>
              </w:rPr>
              <w:t>300413</w:t>
            </w:r>
          </w:p>
        </w:tc>
        <w:tc>
          <w:tcPr>
            <w:vAlign w:val="center"/>
          </w:tcPr>
          <w:p>
            <w:pPr>
              <w:jc w:val="center"/>
            </w:pPr>
            <w:r>
              <w:rPr>
                <w:color w:val="000000"/>
                <w:sz w:val="24"/>
                <w:szCs w:val="24"/>
              </w:rPr>
              <w:t>芒果超媒</w:t>
            </w:r>
          </w:p>
        </w:tc>
        <w:tc>
          <w:tcPr>
            <w:vAlign w:val="center"/>
          </w:tcPr>
          <w:p>
            <w:pPr>
              <w:jc w:val="right"/>
            </w:pPr>
            <w:r>
              <w:rPr>
                <w:color w:val="000000"/>
                <w:sz w:val="24"/>
                <w:szCs w:val="24"/>
              </w:rPr>
              <w:t>1,900</w:t>
            </w:r>
          </w:p>
        </w:tc>
        <w:tc>
          <w:tcPr>
            <w:vAlign w:val="center"/>
          </w:tcPr>
          <w:p>
            <w:pPr>
              <w:jc w:val="right"/>
            </w:pPr>
            <w:r>
              <w:rPr>
                <w:color w:val="000000"/>
                <w:sz w:val="24"/>
                <w:szCs w:val="24"/>
              </w:rPr>
              <w:t>137,750.00</w:t>
            </w:r>
          </w:p>
        </w:tc>
        <w:tc>
          <w:tcPr>
            <w:vAlign w:val="center"/>
          </w:tcPr>
          <w:p>
            <w:pPr>
              <w:jc w:val="right"/>
            </w:pPr>
            <w:r>
              <w:rPr>
                <w:color w:val="000000"/>
                <w:sz w:val="24"/>
                <w:szCs w:val="24"/>
              </w:rPr>
              <w:t>0.88</w:t>
            </w:r>
          </w:p>
        </w:tc>
      </w:tr>
      <w:tr>
        <w:tc>
          <w:tcPr>
            <w:vAlign w:val="center"/>
          </w:tcPr>
          <w:p>
            <w:pPr>
              <w:jc w:val="center"/>
            </w:pPr>
            <w:r>
              <w:rPr>
                <w:color w:val="000000"/>
                <w:sz w:val="24"/>
                <w:szCs w:val="24"/>
              </w:rPr>
              <w:t>10</w:t>
            </w:r>
          </w:p>
        </w:tc>
        <w:tc>
          <w:tcPr>
            <w:vAlign w:val="center"/>
          </w:tcPr>
          <w:p>
            <w:pPr>
              <w:jc w:val="center"/>
            </w:pPr>
            <w:r>
              <w:rPr>
                <w:color w:val="000000"/>
                <w:sz w:val="24"/>
                <w:szCs w:val="24"/>
              </w:rPr>
              <w:t>600031</w:t>
            </w:r>
          </w:p>
        </w:tc>
        <w:tc>
          <w:tcPr>
            <w:vAlign w:val="center"/>
          </w:tcPr>
          <w:p>
            <w:pPr>
              <w:jc w:val="center"/>
            </w:pPr>
            <w:r>
              <w:rPr>
                <w:color w:val="000000"/>
                <w:sz w:val="24"/>
                <w:szCs w:val="24"/>
              </w:rPr>
              <w:t>三一重工</w:t>
            </w:r>
          </w:p>
        </w:tc>
        <w:tc>
          <w:tcPr>
            <w:vAlign w:val="center"/>
          </w:tcPr>
          <w:p>
            <w:pPr>
              <w:jc w:val="right"/>
            </w:pPr>
            <w:r>
              <w:rPr>
                <w:color w:val="000000"/>
                <w:sz w:val="24"/>
                <w:szCs w:val="24"/>
              </w:rPr>
              <w:t>3,900</w:t>
            </w:r>
          </w:p>
        </w:tc>
        <w:tc>
          <w:tcPr>
            <w:vAlign w:val="center"/>
          </w:tcPr>
          <w:p>
            <w:pPr>
              <w:jc w:val="right"/>
            </w:pPr>
            <w:r>
              <w:rPr>
                <w:color w:val="000000"/>
                <w:sz w:val="24"/>
                <w:szCs w:val="24"/>
              </w:rPr>
              <w:t>136,422.00</w:t>
            </w:r>
          </w:p>
        </w:tc>
        <w:tc>
          <w:tcPr>
            <w:vAlign w:val="center"/>
          </w:tcPr>
          <w:p>
            <w:pPr>
              <w:jc w:val="right"/>
            </w:pPr>
            <w:r>
              <w:rPr>
                <w:color w:val="000000"/>
                <w:sz w:val="24"/>
                <w:szCs w:val="24"/>
              </w:rPr>
              <w:t>0.87</w:t>
            </w:r>
          </w:p>
        </w:tc>
      </w:tr>
    </w:tbl>
    <w:p w:rsidP="00C15CAC" w:rsidR="004061AC" w:rsidRDefault="004061AC" w:rsidRPr="00414345">
      <w:pPr>
        <w:autoSpaceDE w:val="0"/>
        <w:autoSpaceDN w:val="0"/>
        <w:adjustRightInd w:val="0"/>
        <w:spacing w:before="29" w:line="288" w:lineRule="auto"/>
        <w:jc w:val="left"/>
        <w:rPr>
          <w:b/>
          <w:bCs/>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P="009C1009" w:rsidR="00CE7169" w:rsidRDefault="009C1009" w:rsidRPr="00CE7169">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
      </w:r>
      <w:r w:rsidRPr="009C1009">
        <w:rPr>
          <w:rFonts w:hint="eastAsia"/>
          <w:bCs/>
          <w:color w:val="000000"/>
          <w:kern w:val="0"/>
          <w:sz w:val="24"/>
          <w:szCs w:val="24"/>
        </w:rPr>
        <w:t>金额单位：人民币元</w:t>
      </w:r>
    </w:p>
    <w:tbl>
      <w:tblPr>
        <w:tblStyle w:val="af7"/>
        <w:tblW w:type="dxa" w:w="8868"/>
        <w:jc w:val="center"/>
        <w:tblLayout w:type="fixed"/>
        <w:tblLook w:firstColumn="1" w:firstRow="1" w:lastColumn="0" w:lastRow="0" w:noHBand="0" w:noVBand="1" w:val="04A0"/>
      </w:tblPr>
      <w:tblGrid>
        <w:gridCol w:w="828"/>
        <w:gridCol w:w="3302"/>
        <w:gridCol w:w="2987"/>
        <w:gridCol w:w="1751"/>
      </w:tblGrid>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序号</w:t>
            </w:r>
          </w:p>
        </w:tc>
        <w:tc>
          <w:tcPr>
            <w:tcW w:type="dxa" w:w="3302"/>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债券品种</w:t>
            </w:r>
            <w:r w:rsidR="00F71057" w:rsidRPr="00414345">
              <w:rPr>
                <w:color w:val="000000"/>
                <w:sz w:val="24"/>
                <w:szCs w:val="24"/>
              </w:rPr>
              <w:t/>
            </w:r>
          </w:p>
        </w:tc>
        <w:tc>
          <w:tcPr>
            <w:tcW w:type="dxa" w:w="2987"/>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公允价值</w:t>
            </w:r>
          </w:p>
        </w:tc>
        <w:tc>
          <w:tcPr>
            <w:tcW w:type="dxa" w:w="1751"/>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占基金资产净值比例</w:t>
            </w:r>
            <w:r w:rsidR="003F0956">
              <w:rPr>
                <w:rFonts w:hint="eastAsia"/>
                <w:color w:val="000000"/>
                <w:sz w:val="24"/>
              </w:rPr>
              <w:t>(</w:t>
            </w:r>
            <w:r w:rsidR="003F0956">
              <w:rPr>
                <w:color w:val="000000"/>
                <w:sz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1</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国家债券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8,013,567.30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
            </w:r>
            <w:r w:rsidRPr="00414345">
              <w:rPr>
                <w:color w:val="000000"/>
                <w:sz w:val="24"/>
                <w:szCs w:val="24"/>
              </w:rPr>
              <w:lastRenderedPageBreak/>
              <w:t>51.07</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lastRenderedPageBreak/>
              <w:t>2</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央行票据</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3</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金融债券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4,910,610.10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31.30</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其中：政策性金融债</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4,910,610.10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31.30</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4</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企业债券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5</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type="dxa" w:w="828"/>
            <w:vAlign w:val="center"/>
          </w:tcPr>
          <w:p w:rsidP="00C15CAC" w:rsidR="00FB41D3" w:rsidRDefault="00FB41D3" w:rsidRPr="00414345">
            <w:pPr>
              <w:spacing w:before="29" w:line="288" w:lineRule="auto"/>
              <w:ind w:left="17"/>
              <w:jc w:val="center"/>
              <w:rPr>
                <w:color w:val="000000"/>
                <w:sz w:val="24"/>
                <w:szCs w:val="24"/>
              </w:rPr>
            </w:pPr>
            <w:r w:rsidRPr="00414345">
              <w:rPr>
                <w:color w:val="000000"/>
                <w:sz w:val="24"/>
                <w:szCs w:val="24"/>
              </w:rPr>
              <w:t>6</w:t>
            </w:r>
          </w:p>
        </w:tc>
        <w:tc>
          <w:tcPr>
            <w:tcW w:type="dxa" w:w="3302"/>
            <w:vAlign w:val="center"/>
          </w:tcPr>
          <w:p w:rsidP="00C15CAC" w:rsidR="00FB41D3" w:rsidRDefault="00FB41D3" w:rsidRPr="00414345">
            <w:pPr>
              <w:spacing w:before="29" w:line="288" w:lineRule="auto"/>
              <w:ind w:left="17"/>
              <w:jc w:val="left"/>
              <w:rPr>
                <w:color w:val="000000"/>
                <w:sz w:val="24"/>
                <w:szCs w:val="24"/>
              </w:rPr>
            </w:pPr>
            <w:r w:rsidRPr="00414345">
              <w:rPr>
                <w:color w:val="000000"/>
                <w:sz w:val="24"/>
                <w:szCs w:val="24"/>
              </w:rPr>
              <w:t>中期票据</w:t>
            </w:r>
          </w:p>
        </w:tc>
        <w:tc>
          <w:tcPr>
            <w:tcW w:type="dxa" w:w="2987"/>
            <w:vAlign w:val="center"/>
          </w:tcPr>
          <w:p w:rsidP="00C15CAC" w:rsidR="00FB41D3" w:rsidRDefault="00FB41D3"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FB41D3" w:rsidRDefault="00FB41D3" w:rsidRPr="00414345">
            <w:pPr>
              <w:spacing w:before="29" w:line="288" w:lineRule="auto"/>
              <w:ind w:left="17"/>
              <w:jc w:val="right"/>
              <w:rPr>
                <w:color w:val="000000"/>
                <w:sz w:val="24"/>
                <w:szCs w:val="24"/>
              </w:rPr>
            </w:pPr>
            <w:r w:rsidRPr="00414345">
              <w:rPr>
                <w:color w:val="000000"/>
                <w:sz w:val="24"/>
                <w:szCs w:val="24"/>
              </w:rPr>
              <w:t/>
            </w:r>
            <w:r w:rsidRPr="00414345">
              <w:rPr>
                <w:color w:val="000000"/>
                <w:sz w:val="24"/>
                <w:szCs w:val="24"/>
              </w:rPr>
              <w:lastRenderedPageBreak/>
              <w:t>-</w:t>
            </w:r>
          </w:p>
        </w:tc>
      </w:tr>
      <w:tr w:rsidR="00AC592E" w:rsidRPr="00414345" w:rsidTr="00F323FF">
        <w:trPr>
          <w:jc w:val="center"/>
        </w:trPr>
        <w:tc>
          <w:tcPr>
            <w:tcW w:type="dxa" w:w="828"/>
            <w:vAlign w:val="center"/>
          </w:tcPr>
          <w:p w:rsidP="00C15CAC" w:rsidR="00AC592E" w:rsidRDefault="00FB41D3" w:rsidRPr="00414345">
            <w:pPr>
              <w:spacing w:before="29" w:line="288" w:lineRule="auto"/>
              <w:ind w:left="17"/>
              <w:jc w:val="center"/>
              <w:rPr>
                <w:color w:val="000000"/>
                <w:sz w:val="24"/>
                <w:szCs w:val="24"/>
              </w:rPr>
            </w:pPr>
            <w:r w:rsidRPr="00414345">
              <w:rPr>
                <w:color w:val="000000"/>
                <w:sz w:val="24"/>
                <w:szCs w:val="24"/>
              </w:rPr>
              <w:lastRenderedPageBreak/>
              <w:t>7</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F323FF" w:rsidRPr="00414345" w:rsidTr="0006711A">
        <w:trPr>
          <w:jc w:val="center"/>
        </w:trPr>
        <w:tc>
          <w:tcPr>
            <w:tcW w:type="dxa" w:w="828"/>
            <w:vAlign w:val="center"/>
          </w:tcPr>
          <w:p w:rsidP="0006711A" w:rsidR="00F323FF" w:rsidRDefault="00F323FF" w:rsidRPr="007A70C2">
            <w:pPr>
              <w:spacing w:before="29" w:line="288" w:lineRule="auto"/>
              <w:ind w:left="17"/>
              <w:jc w:val="center"/>
              <w:rPr>
                <w:color w:val="000000"/>
                <w:sz w:val="24"/>
                <w:szCs w:val="24"/>
              </w:rPr>
            </w:pPr>
            <w:r w:rsidRPr="007A70C2">
              <w:rPr>
                <w:rFonts w:hint="eastAsia"/>
                <w:color w:val="000000"/>
                <w:sz w:val="24"/>
                <w:szCs w:val="24"/>
              </w:rPr>
              <w:t>8</w:t>
            </w:r>
          </w:p>
        </w:tc>
        <w:tc>
          <w:tcPr>
            <w:tcW w:type="dxa" w:w="3302"/>
            <w:vAlign w:val="center"/>
          </w:tcPr>
          <w:p w:rsidP="0006711A" w:rsidR="00F323FF" w:rsidRDefault="00F323FF" w:rsidRPr="007A70C2">
            <w:pPr>
              <w:spacing w:before="29" w:line="288" w:lineRule="auto"/>
              <w:ind w:left="17"/>
              <w:jc w:val="left"/>
              <w:rPr>
                <w:color w:val="000000"/>
                <w:sz w:val="24"/>
                <w:szCs w:val="24"/>
              </w:rPr>
            </w:pPr>
            <w:r w:rsidRPr="007A70C2">
              <w:rPr>
                <w:rFonts w:hint="eastAsia"/>
                <w:color w:val="000000"/>
                <w:sz w:val="24"/>
                <w:szCs w:val="24"/>
              </w:rPr>
              <w:t>同业存单</w:t>
            </w:r>
          </w:p>
        </w:tc>
        <w:tc>
          <w:tcPr>
            <w:tcW w:type="dxa" w:w="2987"/>
            <w:vAlign w:val="center"/>
          </w:tcPr>
          <w:p w:rsidP="0006711A" w:rsidR="00F323FF" w:rsidRDefault="00F323FF" w:rsidRPr="007A70C2">
            <w:pPr>
              <w:spacing w:before="29" w:line="288" w:lineRule="auto"/>
              <w:ind w:left="17"/>
              <w:jc w:val="right"/>
              <w:rPr>
                <w:color w:val="000000"/>
                <w:sz w:val="24"/>
                <w:szCs w:val="24"/>
              </w:rPr>
            </w:pPr>
            <w:r w:rsidRPr="007A70C2">
              <w:rPr>
                <w:rFonts w:hint="eastAsia"/>
                <w:color w:val="000000"/>
                <w:sz w:val="24"/>
                <w:szCs w:val="24"/>
              </w:rPr>
              <w:t/>
            </w:r>
            <w:r w:rsidRPr="007A70C2">
              <w:rPr>
                <w:color w:val="000000"/>
                <w:sz w:val="24"/>
                <w:szCs w:val="24"/>
              </w:rPr>
              <w:t/>
            </w:r>
            <w:r w:rsidRPr="007A70C2">
              <w:rPr>
                <w:rFonts w:hint="eastAsia"/>
                <w:color w:val="000000"/>
                <w:sz w:val="24"/>
                <w:szCs w:val="24"/>
              </w:rPr>
              <w:t>-</w:t>
            </w:r>
          </w:p>
        </w:tc>
        <w:tc>
          <w:tcPr>
            <w:tcW w:type="dxa" w:w="1751"/>
            <w:vAlign w:val="center"/>
          </w:tcPr>
          <w:p w:rsidP="0006711A" w:rsidR="00F323FF" w:rsidRDefault="00F323FF" w:rsidRPr="007A70C2">
            <w:pPr>
              <w:spacing w:before="29" w:line="288" w:lineRule="auto"/>
              <w:ind w:left="17"/>
              <w:jc w:val="right"/>
              <w:rPr>
                <w:color w:val="000000"/>
                <w:sz w:val="24"/>
                <w:szCs w:val="24"/>
              </w:rPr>
            </w:pPr>
            <w:r w:rsidRPr="007A70C2">
              <w:rPr>
                <w:rFonts w:hint="eastAsia"/>
                <w:color w:val="000000"/>
                <w:sz w:val="24"/>
                <w:szCs w:val="24"/>
              </w:rPr>
              <w:t/>
            </w:r>
            <w:r w:rsidRPr="007A70C2">
              <w:rPr>
                <w:color w:val="000000"/>
                <w:sz w:val="24"/>
                <w:szCs w:val="24"/>
              </w:rPr>
              <w:t/>
            </w:r>
            <w:r w:rsidRPr="007A70C2">
              <w:rPr>
                <w:rFonts w:hint="eastAsia"/>
                <w:color w:val="000000"/>
                <w:sz w:val="24"/>
                <w:szCs w:val="24"/>
              </w:rPr>
              <w:t>-</w:t>
            </w:r>
          </w:p>
        </w:tc>
      </w:tr>
      <w:tr w:rsidR="00AC592E" w:rsidRPr="00414345" w:rsidTr="00F323FF">
        <w:trPr>
          <w:jc w:val="center"/>
        </w:trPr>
        <w:tc>
          <w:tcPr>
            <w:tcW w:type="dxa" w:w="828"/>
            <w:vAlign w:val="center"/>
          </w:tcPr>
          <w:p w:rsidP="00F323FF" w:rsidR="00AC592E" w:rsidRDefault="00AC592E" w:rsidRPr="00414345">
            <w:pPr>
              <w:spacing w:before="29" w:line="288" w:lineRule="auto"/>
              <w:ind w:left="17"/>
              <w:jc w:val="center"/>
              <w:rPr>
                <w:color w:val="000000"/>
                <w:sz w:val="24"/>
                <w:szCs w:val="24"/>
              </w:rPr>
            </w:pPr>
            <w:r w:rsidRPr="00414345">
              <w:rPr>
                <w:color w:val="000000"/>
                <w:sz w:val="24"/>
                <w:szCs w:val="24"/>
              </w:rPr>
              <w:t/>
            </w:r>
            <w:r w:rsidR="00F323FF">
              <w:rPr>
                <w:rFonts w:hint="eastAsia"/>
                <w:color w:val="000000"/>
                <w:sz w:val="24"/>
                <w:szCs w:val="24"/>
              </w:rPr>
              <w:t/>
            </w:r>
            <w:r w:rsidRPr="00414345">
              <w:rPr>
                <w:color w:val="000000"/>
                <w:sz w:val="24"/>
                <w:szCs w:val="24"/>
              </w:rPr>
              <w:t>9</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其他</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F323FF" w:rsidR="00AC592E" w:rsidRDefault="00AC592E" w:rsidRPr="00414345">
            <w:pPr>
              <w:spacing w:before="29" w:line="288" w:lineRule="auto"/>
              <w:ind w:left="17"/>
              <w:jc w:val="center"/>
              <w:rPr>
                <w:color w:val="000000"/>
                <w:sz w:val="24"/>
                <w:szCs w:val="24"/>
              </w:rPr>
            </w:pPr>
            <w:r w:rsidRPr="00414345">
              <w:rPr>
                <w:color w:val="000000"/>
                <w:sz w:val="24"/>
                <w:szCs w:val="24"/>
              </w:rPr>
              <w:t/>
            </w:r>
            <w:r w:rsidR="00F323FF">
              <w:rPr>
                <w:rFonts w:hint="eastAsia"/>
                <w:color w:val="000000"/>
                <w:sz w:val="24"/>
                <w:szCs w:val="24"/>
              </w:rPr>
              <w:t/>
            </w:r>
            <w:r w:rsidRPr="00414345">
              <w:rPr>
                <w:color w:val="000000"/>
                <w:sz w:val="24"/>
                <w:szCs w:val="24"/>
              </w:rPr>
              <w:t>10</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合计</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12,924,177.40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82.37</w:t>
            </w:r>
          </w:p>
        </w:tc>
      </w:tr>
    </w:tbl>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P="009C1009" w:rsidR="005B4C8F" w:rsidRDefault="009C1009" w:rsidRPr="005B4C8F">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
      </w:r>
      <w:r w:rsidRPr="009C1009">
        <w:rPr>
          <w:rFonts w:hint="eastAsia"/>
          <w:bCs/>
          <w:color w:val="000000"/>
          <w:kern w:val="0"/>
          <w:sz w:val="24"/>
          <w:szCs w:val="24"/>
        </w:rPr>
        <w:t>金额单位：人民币元</w:t>
      </w:r>
    </w:p>
    <w:tbl>
      <w:tblPr>
        <w:tblStyle w:val="af7"/>
        <w:tblW w:type="dxa" w:w="8868"/>
        <w:jc w:val="center"/>
        <w:tblLayout w:type="fixed"/>
        <w:tblCellMar>
          <w:top w:type="dxa" w:w="57"/>
          <w:bottom w:type="dxa" w:w="57"/>
        </w:tblCellMar>
        <w:tblLook w:firstColumn="1" w:firstRow="1" w:lastColumn="0" w:lastRow="0" w:noHBand="0" w:noVBand="1" w:val="04A0"/>
      </w:tblPr>
      <w:tblGrid>
        <w:gridCol w:w="850"/>
        <w:gridCol w:w="1475"/>
        <w:gridCol w:w="1769"/>
        <w:gridCol w:w="1387"/>
        <w:gridCol w:w="2150"/>
        <w:gridCol w:w="1237"/>
      </w:tblGrid>
      <w:tr w:rsidR="00D57B7C" w:rsidRPr="00414345" w:rsidTr="00A324F4">
        <w:trPr>
          <w:jc w:val="center"/>
        </w:trPr>
        <w:tc>
          <w:tcPr>
            <w:tcW w:type="dxa" w:w="817"/>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序号</w:t>
            </w:r>
          </w:p>
        </w:tc>
        <w:tc>
          <w:tcPr>
            <w:tcW w:type="dxa" w:w="1418"/>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债券代码</w:t>
            </w:r>
          </w:p>
        </w:tc>
        <w:tc>
          <w:tcPr>
            <w:tcW w:type="dxa" w:w="1701"/>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债券名称</w:t>
            </w:r>
          </w:p>
        </w:tc>
        <w:tc>
          <w:tcPr>
            <w:tcW w:type="dxa" w:w="1334"/>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数量</w:t>
            </w:r>
            <w:r w:rsidR="009D1BD9">
              <w:rPr>
                <w:rFonts w:hint="eastAsia"/>
                <w:color w:val="000000"/>
                <w:sz w:val="24"/>
              </w:rPr>
              <w:t>(</w:t>
            </w:r>
            <w:r w:rsidR="009D1BD9">
              <w:rPr>
                <w:rFonts w:hint="eastAsia"/>
                <w:color w:val="000000"/>
                <w:sz w:val="24"/>
              </w:rPr>
              <w:t>张</w:t>
            </w:r>
            <w:r w:rsidR="009D1BD9">
              <w:rPr>
                <w:color w:val="000000"/>
                <w:sz w:val="24"/>
              </w:rPr>
              <w:t>)</w:t>
            </w:r>
          </w:p>
        </w:tc>
        <w:tc>
          <w:tcPr>
            <w:tcW w:type="dxa" w:w="2068"/>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公允价值</w:t>
            </w:r>
          </w:p>
        </w:tc>
        <w:tc>
          <w:tcPr>
            <w:tcW w:type="dxa" w:w="1190"/>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占基金资产净值比</w:t>
            </w:r>
            <w:r w:rsidRPr="00414345">
              <w:rPr>
                <w:color w:val="000000"/>
                <w:sz w:val="24"/>
                <w:szCs w:val="24"/>
              </w:rPr>
              <w:lastRenderedPageBreak/>
              <w:t>例</w:t>
            </w:r>
            <w:r w:rsidR="003B3494" w:rsidRPr="00414345">
              <w:rPr>
                <w:color w:val="000000"/>
                <w:sz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010107</w:t>
            </w:r>
          </w:p>
        </w:tc>
        <w:tc>
          <w:tcPr>
            <w:vAlign w:val="center"/>
          </w:tcPr>
          <w:p>
            <w:pPr>
              <w:jc w:val="center"/>
            </w:pPr>
            <w:r>
              <w:rPr>
                <w:color w:val="000000"/>
                <w:sz w:val="24"/>
                <w:szCs w:val="24"/>
              </w:rPr>
              <w:t>21国债⑺</w:t>
            </w:r>
          </w:p>
        </w:tc>
        <w:tc>
          <w:tcPr>
            <w:vAlign w:val="center"/>
          </w:tcPr>
          <w:p>
            <w:pPr>
              <w:jc w:val="right"/>
            </w:pPr>
            <w:r>
              <w:rPr>
                <w:color w:val="000000"/>
                <w:sz w:val="24"/>
                <w:szCs w:val="24"/>
              </w:rPr>
              <w:t>72,800</w:t>
            </w:r>
          </w:p>
        </w:tc>
        <w:tc>
          <w:tcPr>
            <w:vAlign w:val="center"/>
          </w:tcPr>
          <w:p>
            <w:pPr>
              <w:jc w:val="right"/>
            </w:pPr>
            <w:r>
              <w:rPr>
                <w:color w:val="000000"/>
                <w:sz w:val="24"/>
                <w:szCs w:val="24"/>
              </w:rPr>
              <w:t>7,366,632.00</w:t>
            </w:r>
          </w:p>
        </w:tc>
        <w:tc>
          <w:tcPr>
            <w:vAlign w:val="center"/>
          </w:tcPr>
          <w:p>
            <w:pPr>
              <w:jc w:val="right"/>
            </w:pPr>
            <w:r>
              <w:rPr>
                <w:color w:val="000000"/>
                <w:sz w:val="24"/>
                <w:szCs w:val="24"/>
              </w:rPr>
              <w:t>46.95</w:t>
            </w:r>
          </w:p>
        </w:tc>
      </w:tr>
      <w:tr>
        <w:tc>
          <w:tcPr>
            <w:vAlign w:val="center"/>
          </w:tcPr>
          <w:p>
            <w:pPr>
              <w:jc w:val="center"/>
            </w:pPr>
            <w:r>
              <w:rPr>
                <w:color w:val="000000"/>
                <w:sz w:val="24"/>
                <w:szCs w:val="24"/>
              </w:rPr>
              <w:t>2</w:t>
            </w:r>
          </w:p>
        </w:tc>
        <w:tc>
          <w:tcPr>
            <w:vAlign w:val="center"/>
          </w:tcPr>
          <w:p>
            <w:pPr>
              <w:jc w:val="center"/>
            </w:pPr>
            <w:r>
              <w:rPr>
                <w:color w:val="000000"/>
                <w:sz w:val="24"/>
                <w:szCs w:val="24"/>
              </w:rPr>
              <w:t>018006</w:t>
            </w:r>
          </w:p>
        </w:tc>
        <w:tc>
          <w:tcPr>
            <w:vAlign w:val="center"/>
          </w:tcPr>
          <w:p>
            <w:pPr>
              <w:jc w:val="center"/>
            </w:pPr>
            <w:r>
              <w:rPr>
                <w:color w:val="000000"/>
                <w:sz w:val="24"/>
                <w:szCs w:val="24"/>
              </w:rPr>
              <w:t>国开1702</w:t>
            </w:r>
          </w:p>
        </w:tc>
        <w:tc>
          <w:tcPr>
            <w:vAlign w:val="center"/>
          </w:tcPr>
          <w:p>
            <w:pPr>
              <w:jc w:val="right"/>
            </w:pPr>
            <w:r>
              <w:rPr>
                <w:color w:val="000000"/>
                <w:sz w:val="24"/>
                <w:szCs w:val="24"/>
              </w:rPr>
              <w:t>48,290</w:t>
            </w:r>
          </w:p>
        </w:tc>
        <w:tc>
          <w:tcPr>
            <w:vAlign w:val="center"/>
          </w:tcPr>
          <w:p>
            <w:pPr>
              <w:jc w:val="right"/>
            </w:pPr>
            <w:r>
              <w:rPr>
                <w:color w:val="000000"/>
                <w:sz w:val="24"/>
                <w:szCs w:val="24"/>
              </w:rPr>
              <w:t>4,910,610.10</w:t>
            </w:r>
          </w:p>
        </w:tc>
        <w:tc>
          <w:tcPr>
            <w:vAlign w:val="center"/>
          </w:tcPr>
          <w:p>
            <w:pPr>
              <w:jc w:val="right"/>
            </w:pPr>
            <w:r>
              <w:rPr>
                <w:color w:val="000000"/>
                <w:sz w:val="24"/>
                <w:szCs w:val="24"/>
              </w:rPr>
              <w:t>31.30</w:t>
            </w:r>
          </w:p>
        </w:tc>
      </w:tr>
      <w:tr>
        <w:tc>
          <w:tcPr>
            <w:vAlign w:val="center"/>
          </w:tcPr>
          <w:p>
            <w:pPr>
              <w:jc w:val="center"/>
            </w:pPr>
            <w:r>
              <w:rPr>
                <w:color w:val="000000"/>
                <w:sz w:val="24"/>
                <w:szCs w:val="24"/>
              </w:rPr>
              <w:t>3</w:t>
            </w:r>
          </w:p>
        </w:tc>
        <w:tc>
          <w:tcPr>
            <w:vAlign w:val="center"/>
          </w:tcPr>
          <w:p>
            <w:pPr>
              <w:jc w:val="center"/>
            </w:pPr>
            <w:r>
              <w:rPr>
                <w:color w:val="000000"/>
                <w:sz w:val="24"/>
                <w:szCs w:val="24"/>
              </w:rPr>
              <w:t>019627</w:t>
            </w:r>
          </w:p>
        </w:tc>
        <w:tc>
          <w:tcPr>
            <w:vAlign w:val="center"/>
          </w:tcPr>
          <w:p>
            <w:pPr>
              <w:jc w:val="center"/>
            </w:pPr>
            <w:r>
              <w:rPr>
                <w:color w:val="000000"/>
                <w:sz w:val="24"/>
                <w:szCs w:val="24"/>
              </w:rPr>
              <w:t>20国债01</w:t>
            </w:r>
          </w:p>
        </w:tc>
        <w:tc>
          <w:tcPr>
            <w:vAlign w:val="center"/>
          </w:tcPr>
          <w:p>
            <w:pPr>
              <w:jc w:val="right"/>
            </w:pPr>
            <w:r>
              <w:rPr>
                <w:color w:val="000000"/>
                <w:sz w:val="24"/>
                <w:szCs w:val="24"/>
              </w:rPr>
              <w:t>6,470</w:t>
            </w:r>
          </w:p>
        </w:tc>
        <w:tc>
          <w:tcPr>
            <w:vAlign w:val="center"/>
          </w:tcPr>
          <w:p>
            <w:pPr>
              <w:jc w:val="right"/>
            </w:pPr>
            <w:r>
              <w:rPr>
                <w:color w:val="000000"/>
                <w:sz w:val="24"/>
                <w:szCs w:val="24"/>
              </w:rPr>
              <w:t>646,935.30</w:t>
            </w:r>
          </w:p>
        </w:tc>
        <w:tc>
          <w:tcPr>
            <w:vAlign w:val="center"/>
          </w:tcPr>
          <w:p>
            <w:pPr>
              <w:jc w:val="right"/>
            </w:pPr>
            <w:r>
              <w:rPr>
                <w:color w:val="000000"/>
                <w:sz w:val="24"/>
                <w:szCs w:val="24"/>
              </w:rPr>
              <w:t>4.12</w:t>
            </w:r>
          </w:p>
        </w:tc>
      </w:tr>
    </w:tbl>
    <w:p w:rsidP="00C15CAC" w:rsidR="004061AC" w:rsidRDefault="004061AC" w:rsidRPr="00414345">
      <w:pPr>
        <w:autoSpaceDE w:val="0"/>
        <w:autoSpaceDN w:val="0"/>
        <w:adjustRightInd w:val="0"/>
        <w:spacing w:before="29" w:line="288" w:lineRule="auto"/>
        <w:jc w:val="left"/>
        <w:rPr>
          <w:b/>
          <w:bCs/>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本基金本报告期末未持有资产支持证券。</w:t>
      </w:r>
    </w:p>
    <w:p w:rsidP="00C15CAC" w:rsidR="00A54C7D" w:rsidRDefault="00A54C7D" w:rsidRPr="00414345">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P="00C15CAC" w:rsidR="00632B0F" w:rsidRDefault="00632B0F" w:rsidRPr="00414345">
      <w:pPr>
        <w:widowControl/>
        <w:spacing w:line="288" w:lineRule="auto"/>
        <w:jc w:val="left"/>
        <w:rPr>
          <w:sz w:val="24"/>
          <w:szCs w:val="24"/>
        </w:rPr>
      </w:pPr>
      <w:r w:rsidRPr="00414345">
        <w:rPr>
          <w:sz w:val="24"/>
          <w:szCs w:val="24"/>
        </w:rPr>
        <w:t>本基金本报告期末未持有贵金属。</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A917B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336EAF"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w:r>
      <w:r w:rsidR="00315D5D" w:rsidRPr="00414345">
        <w:rPr>
          <w:color w:val="000000"/>
          <w:sz w:val="24"/>
          <w:szCs w:val="24"/>
        </w:rPr>
        <w:t/>
      </w:r>
      <w:r w:rsidR="004061AC" w:rsidRPr="00414345">
        <w:rPr>
          <w:color w:val="000000"/>
          <w:sz w:val="24"/>
          <w:szCs w:val="24"/>
        </w:rPr>
        <w:t>本基金本报告期末未持有权证。</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275745" w:rsidRDefault="00CD570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A83500" w:rsidRPr="00414345">
        <w:rPr>
          <w:b/>
          <w:bCs/>
          <w:color w:val="000000"/>
          <w:kern w:val="0"/>
          <w:sz w:val="24"/>
          <w:szCs w:val="24"/>
        </w:rPr>
        <w:t/>
      </w:r>
      <w:r w:rsidR="003259C8"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P="00C15CAC" w:rsidR="00275745" w:rsidRDefault="00AA3A38" w:rsidRPr="00414345">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P="00C15CAC" w:rsidR="00AA3A38" w:rsidRDefault="00AA3A38" w:rsidRPr="00414345">
      <w:pPr>
        <w:adjustRightInd w:val="0"/>
        <w:snapToGrid w:val="0"/>
        <w:spacing w:before="29" w:line="288" w:lineRule="auto"/>
        <w:rPr>
          <w:sz w:val="24"/>
          <w:szCs w:val="24"/>
        </w:rPr>
      </w:pPr>
    </w:p>
    <w:p w:rsidP="00C15CAC" w:rsidR="00A669FC" w:rsidRDefault="00312A9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P="00C15CAC" w:rsidR="00312A9F" w:rsidRDefault="00312A9F" w:rsidRPr="00414345">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P="00C15CAC" w:rsidR="00426096" w:rsidRDefault="00426096" w:rsidRPr="00414345">
      <w:pPr>
        <w:autoSpaceDE w:val="0"/>
        <w:autoSpaceDN w:val="0"/>
        <w:adjustRightInd w:val="0"/>
        <w:spacing w:before="29" w:line="288" w:lineRule="auto"/>
        <w:jc w:val="left"/>
        <w:rPr>
          <w:color w:val="000000"/>
          <w:sz w:val="24"/>
          <w:szCs w:val="24"/>
        </w:rPr>
      </w:pPr>
    </w:p>
    <w:p w:rsidP="00C15CAC" w:rsidR="004061AC" w:rsidRDefault="003259C8"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P="00E40D31" w:rsidR="00BE5388" w:rsidRDefault="00BE5388" w:rsidRPr="00B34FB5">
      <w:pPr>
        <w:autoSpaceDE w:val="0"/>
        <w:autoSpaceDN w:val="0"/>
        <w:adjustRightInd w:val="0"/>
        <w:spacing w:before="29" w:line="288" w:lineRule="auto"/>
        <w:jc w:val="left"/>
        <w:rPr>
          <w:b/>
          <w:bCs/>
          <w:color w:val="000000"/>
          <w:kern w:val="0"/>
          <w:sz w:val="24"/>
          <w:szCs w:val="24"/>
        </w:rPr>
      </w:pPr>
      <w:r w:rsidRPr="00B34FB5">
        <w:rPr>
          <w:b/>
          <w:bCs/>
          <w:color w:val="000000"/>
          <w:kern w:val="0"/>
          <w:sz w:val="24"/>
          <w:szCs w:val="24"/>
        </w:rPr>
        <w:t>5.11.1</w:t>
      </w:r>
      <w:r w:rsidRPr="00AA3969">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P="00E40D31" w:rsidR="00BE5388" w:rsidRDefault="00BE5388" w:rsidRPr="00AA3969">
      <w:pPr>
        <w:autoSpaceDE w:val="0"/>
        <w:autoSpaceDN w:val="0"/>
        <w:adjustRightInd w:val="0"/>
        <w:spacing w:before="29" w:line="288" w:lineRule="auto"/>
        <w:jc w:val="left"/>
        <w:rPr>
          <w:bCs/>
          <w:color w:val="000000"/>
          <w:kern w:val="0"/>
          <w:sz w:val="24"/>
          <w:szCs w:val="24"/>
        </w:rPr>
      </w:pPr>
      <w:r w:rsidRPr="00B34FB5">
        <w:rPr>
          <w:b/>
          <w:bCs/>
          <w:color w:val="000000"/>
          <w:kern w:val="0"/>
          <w:sz w:val="24"/>
          <w:szCs w:val="24"/>
        </w:rPr>
        <w:t>5.11.2</w:t>
      </w:r>
      <w:bookmarkStart w:id="2" w:name="_GoBack"/>
      <w:r w:rsidRPr="00AA3969">
        <w:rPr>
          <w:bCs/>
          <w:color w:val="000000"/>
          <w:kern w:val="0"/>
          <w:sz w:val="24"/>
          <w:szCs w:val="24"/>
        </w:rPr>
        <w:t>本基金投资的前十名股票中，没有超出基金合同规定的备选股票库之外的股票。</w:t>
      </w:r>
    </w:p>
    <w:bookmarkEnd w:id="2"/>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11.3</w:t>
      </w:r>
      <w:r w:rsidR="0035383E" w:rsidRPr="006B0D08">
        <w:rPr>
          <w:b/>
          <w:bCs/>
          <w:color w:val="000000"/>
          <w:kern w:val="0"/>
          <w:sz w:val="24"/>
          <w:szCs w:val="24"/>
        </w:rPr>
        <w:t>其他</w:t>
      </w:r>
      <w:r w:rsidR="004061AC" w:rsidRPr="006B0D08">
        <w:rPr>
          <w:b/>
          <w:bCs/>
          <w:color w:val="000000"/>
          <w:kern w:val="0"/>
          <w:sz w:val="24"/>
          <w:szCs w:val="24"/>
        </w:rPr>
        <w:t>资产构成</w:t>
      </w:r>
    </w:p>
    <w:p w:rsidP="00DD7A00" w:rsidR="00DD7A00" w:rsidRDefault="004A0AA9" w:rsidRPr="00414345">
      <w:pPr>
        <w:autoSpaceDE w:val="0"/>
        <w:autoSpaceDN w:val="0"/>
        <w:adjustRightInd w:val="0"/>
        <w:spacing w:before="29" w:line="288" w:lineRule="auto"/>
        <w:jc w:val="right"/>
        <w:rPr>
          <w:bCs/>
          <w:color w:val="000000"/>
          <w:kern w:val="0"/>
          <w:sz w:val="24"/>
          <w:szCs w:val="24"/>
        </w:rPr>
      </w:pPr>
      <w:r w:rsidRPr="004A0AA9">
        <w:rPr>
          <w:rFonts w:hint="eastAsia"/>
          <w:bCs/>
          <w:color w:val="000000"/>
          <w:kern w:val="0"/>
          <w:sz w:val="24"/>
          <w:szCs w:val="24"/>
        </w:rPr>
        <w:t/>
      </w:r>
      <w:r w:rsidRPr="004A0AA9">
        <w:rPr>
          <w:rFonts w:hint="eastAsia"/>
          <w:bCs/>
          <w:color w:val="000000"/>
          <w:kern w:val="0"/>
          <w:sz w:val="24"/>
          <w:szCs w:val="24"/>
        </w:rPr>
        <w:t>金额单位：人民币元</w:t>
      </w:r>
    </w:p>
    <w:tbl>
      <w:tblPr>
        <w:tblStyle w:val="af7"/>
        <w:tblpPr w:horzAnchor="margin" w:leftFromText="180" w:rightFromText="180" w:tblpXSpec="center" w:tblpY="265" w:vertAnchor="text"/>
        <w:tblW w:type="dxa" w:w="8868"/>
        <w:jc w:val="center"/>
        <w:tblLayout w:type="fixed"/>
        <w:tblCellMar>
          <w:top w:type="dxa" w:w="-1"/>
          <w:bottom w:type="dxa" w:w="-1"/>
        </w:tblCellMar>
        <w:tblLook w:firstColumn="1" w:firstRow="1" w:lastColumn="0" w:lastRow="0" w:noHBand="0" w:noVBand="1" w:val="04A0"/>
      </w:tblPr>
      <w:tblGrid>
        <w:gridCol w:w="1287"/>
        <w:gridCol w:w="2573"/>
        <w:gridCol w:w="5008"/>
      </w:tblGrid>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type="dxa" w:w="2470"/>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type="dxa" w:w="4808"/>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11,252.02</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lastRenderedPageBreak/>
              <w:t>2</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3,505.59</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284,946.64</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19.98</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299,724.23</w:t>
            </w:r>
          </w:p>
        </w:tc>
      </w:tr>
    </w:tbl>
    <w:p w:rsidP="00C15CAC" w:rsidR="002918E3" w:rsidRDefault="002918E3" w:rsidRPr="00414345">
      <w:pPr>
        <w:autoSpaceDE w:val="0"/>
        <w:autoSpaceDN w:val="0"/>
        <w:adjustRightInd w:val="0"/>
        <w:spacing w:before="29" w:line="288" w:lineRule="auto"/>
        <w:rPr>
          <w:color w:val="000000"/>
          <w:sz w:val="24"/>
          <w:szCs w:val="24"/>
        </w:rPr>
      </w:pP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11.4</w:t>
      </w:r>
      <w:r w:rsidR="004061AC" w:rsidRPr="006B0D08">
        <w:rPr>
          <w:b/>
          <w:bCs/>
          <w:color w:val="000000"/>
          <w:kern w:val="0"/>
          <w:sz w:val="24"/>
          <w:szCs w:val="24"/>
        </w:rPr>
        <w:t>报告期末持有的处于转股期的可转换债券明细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本基金本报告期末未持有处于转股期的可转换债券。</w:t>
      </w: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11.5</w:t>
      </w:r>
      <w:r w:rsidR="004061AC" w:rsidRPr="006B0D08">
        <w:rPr>
          <w:b/>
          <w:bCs/>
          <w:color w:val="000000"/>
          <w:kern w:val="0"/>
          <w:sz w:val="24"/>
          <w:szCs w:val="24"/>
        </w:rPr>
        <w:t>报告期末前十名股票中存在流通受限情况的说明</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lastRenderedPageBreak/>
        <w:t/>
      </w:r>
      <w:r w:rsidR="004061AC" w:rsidRPr="00414345">
        <w:rPr>
          <w:color w:val="000000"/>
          <w:sz w:val="24"/>
          <w:szCs w:val="24"/>
        </w:rPr>
        <w:t/>
      </w:r>
      <w:r w:rsidR="008E326D" w:rsidRPr="00414345">
        <w:rPr>
          <w:color w:val="000000"/>
          <w:sz w:val="24"/>
          <w:szCs w:val="24"/>
        </w:rPr>
        <w:t/>
      </w:r>
      <w:r w:rsidR="004061AC" w:rsidRPr="00414345">
        <w:rPr>
          <w:color w:val="000000"/>
          <w:sz w:val="24"/>
          <w:szCs w:val="24"/>
        </w:rPr>
        <w:t>本基金本报告期末前十名股票中不存在流通受限情况。</w:t>
      </w:r>
    </w:p>
    <w:p w:rsidP="00C15CAC" w:rsidR="004061AC" w:rsidRDefault="00D02347"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
      </w:r>
      <w:r w:rsidR="003259C8"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11.6</w:t>
      </w:r>
      <w:r w:rsidR="001675CD" w:rsidRPr="006B0D08">
        <w:rPr>
          <w:b/>
          <w:bCs/>
          <w:color w:val="000000"/>
          <w:kern w:val="0"/>
          <w:sz w:val="24"/>
          <w:szCs w:val="24"/>
        </w:rPr>
        <w:t>投资组合报告附注的其他文字描述部分</w:t>
      </w:r>
    </w:p>
    <w:p w:rsidP="00E40D31" w:rsidR="006B2FF6" w:rsidRDefault="004061AC" w:rsidRPr="00414345">
      <w:pPr>
        <w:spacing w:before="29" w:line="288" w:lineRule="auto"/>
        <w:rPr>
          <w:color w:val="000000"/>
          <w:sz w:val="24"/>
          <w:szCs w:val="24"/>
        </w:rPr>
      </w:pPr>
      <w:r w:rsidRPr="00414345">
        <w:rPr>
          <w:color w:val="000000"/>
          <w:sz w:val="24"/>
          <w:szCs w:val="24"/>
        </w:rPr>
        <w:t/>
      </w:r>
      <w:r w:rsidR="001675CD" w:rsidRPr="00414345">
        <w:rPr>
          <w:color w:val="000000"/>
          <w:sz w:val="24"/>
          <w:szCs w:val="24"/>
        </w:rPr>
        <w:t/>
      </w:r>
      <w:r w:rsidRPr="00414345">
        <w:rPr>
          <w:color w:val="000000"/>
          <w:sz w:val="24"/>
          <w:szCs w:val="24"/>
        </w:rPr>
        <w:t>由于四舍五入的原因，分项之和与合计项之间可能存在尾差。</w:t>
      </w:r>
    </w:p>
    <w:p w:rsidP="00C15CAC" w:rsidR="006B2FF6" w:rsidRDefault="006B2FF6">
      <w:pPr>
        <w:spacing w:before="29" w:line="288" w:lineRule="auto"/>
        <w:ind w:firstLine="480" w:firstLineChars="200"/>
        <w:rPr>
          <w:color w:val="000000"/>
          <w:sz w:val="24"/>
          <w:szCs w:val="24"/>
        </w:rPr>
      </w:pPr>
    </w:p>
    <w:p w:rsidP="00C15CAC" w:rsidR="001F3E2A" w:rsidRDefault="001F3E2A">
      <w:pPr>
        <w:spacing w:before="29" w:line="288" w:lineRule="auto"/>
        <w:ind w:firstLine="480" w:firstLineChars="200"/>
        <w:rPr>
          <w:color w:val="000000"/>
          <w:sz w:val="24"/>
          <w:szCs w:val="24"/>
        </w:rPr>
      </w:pPr>
    </w:p>
    <w:p w:rsidP="00C15CAC" w:rsidR="001F3E2A" w:rsidRDefault="001F3E2A" w:rsidRPr="00414345">
      <w:pPr>
        <w:spacing w:before="29" w:line="288" w:lineRule="auto"/>
        <w:ind w:firstLine="480" w:firstLineChars="200"/>
        <w:rPr>
          <w:color w:val="000000"/>
          <w:sz w:val="24"/>
          <w:szCs w:val="24"/>
        </w:rPr>
      </w:pPr>
    </w:p>
    <w:p w:rsidP="0011537B" w:rsidR="004061AC" w:rsidRDefault="0072794E" w:rsidRPr="005A3D62">
      <w:pPr>
        <w:pStyle w:val="1"/>
        <w:spacing w:after="312" w:afterLines="100" w:before="312" w:beforeLines="100" w:line="360" w:lineRule="auto"/>
        <w:jc w:val="center"/>
        <w:rPr>
          <w:rFonts w:eastAsiaTheme="minorEastAsia"/>
          <w:color w:themeColor="text1" w:val="000000"/>
          <w:kern w:val="0"/>
          <w:sz w:val="24"/>
          <w:szCs w:val="24"/>
        </w:rPr>
      </w:pPr>
      <w:r w:rsidRPr="005A3D62">
        <w:rPr>
          <w:rFonts w:eastAsiaTheme="minorEastAsia"/>
          <w:color w:themeColor="text1" w:val="000000"/>
          <w:kern w:val="0"/>
          <w:sz w:val="24"/>
          <w:szCs w:val="24"/>
        </w:rPr>
        <w:t/>
      </w:r>
      <w:r w:rsidR="004061AC" w:rsidRPr="005A3D62">
        <w:rPr>
          <w:rFonts w:eastAsiaTheme="minorEastAsia"/>
          <w:color w:themeColor="text1" w:val="000000"/>
          <w:kern w:val="0"/>
          <w:sz w:val="24"/>
          <w:szCs w:val="24"/>
        </w:rPr>
        <w:t>§</w:t>
      </w:r>
      <w:r w:rsidRPr="005A3D62">
        <w:rPr>
          <w:rFonts w:eastAsiaTheme="minorEastAsia"/>
          <w:color w:themeColor="text1" w:val="000000"/>
          <w:kern w:val="0"/>
          <w:sz w:val="24"/>
          <w:szCs w:val="24"/>
        </w:rPr>
        <w:t>6</w:t>
      </w:r>
      <w:r w:rsidR="004061AC" w:rsidRPr="005A3D62">
        <w:rPr>
          <w:rFonts w:eastAsiaTheme="minorEastAsia"/>
          <w:color w:themeColor="text1" w:val="000000"/>
          <w:kern w:val="0"/>
          <w:sz w:val="24"/>
          <w:szCs w:val="24"/>
        </w:rPr>
        <w:t xml:space="preserve">  </w:t>
      </w:r>
      <w:r w:rsidR="004061AC" w:rsidRPr="005A3D62">
        <w:rPr>
          <w:rFonts w:eastAsiaTheme="minorEastAsia"/>
          <w:color w:themeColor="text1" w:val="000000"/>
          <w:kern w:val="0"/>
          <w:sz w:val="24"/>
          <w:szCs w:val="24"/>
        </w:rPr>
        <w:t>开放式基金份额变动</w:t>
      </w:r>
    </w:p>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type="dxa" w:w="8868"/>
        <w:jc w:val="center"/>
        <w:tblLayout w:type="fixed"/>
        <w:tblCellMar>
          <w:top w:type="dxa" w:w="-1"/>
          <w:bottom w:type="dxa" w:w="-1"/>
        </w:tblCellMar>
        <w:tblLook w:firstColumn="0" w:firstRow="0" w:lastColumn="0" w:lastRow="0" w:noHBand="0" w:noVBand="0" w:val="0000"/>
      </w:tblPr>
      <w:tblGrid>
        <w:gridCol w:w="4734"/>
        <w:gridCol w:w="4134"/>
      </w:tblGrid>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8F60F2"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6D7FF8" w:rsidRPr="00414345">
              <w:rPr>
                <w:color w:val="000000"/>
                <w:sz w:val="24"/>
                <w:szCs w:val="24"/>
              </w:rPr>
              <w:t/>
            </w:r>
            <w:r w:rsidR="00355364" w:rsidRPr="00414345">
              <w:rPr>
                <w:color w:val="000000"/>
                <w:sz w:val="24"/>
                <w:szCs w:val="24"/>
              </w:rPr>
              <w:t/>
            </w:r>
            <w:r w:rsidR="006D7FF8" w:rsidRPr="00414345">
              <w:rPr>
                <w:color w:val="000000"/>
                <w:sz w:val="24"/>
                <w:szCs w:val="24"/>
              </w:rPr>
              <w:t>12,124,798.93</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33,859.60</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1,398,484.83</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35076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355364" w:rsidRPr="00414345">
              <w:rPr>
                <w:color w:val="000000"/>
                <w:sz w:val="24"/>
                <w:szCs w:val="24"/>
              </w:rPr>
              <w:t/>
            </w:r>
            <w:r w:rsidRPr="00414345">
              <w:rPr>
                <w:color w:val="000000"/>
                <w:sz w:val="24"/>
                <w:szCs w:val="24"/>
              </w:rPr>
              <w:t>10,760,173.70</w:t>
            </w:r>
          </w:p>
        </w:tc>
      </w:tr>
    </w:tbl>
    <w:p>
      <w:pPr>
        <w:autoSpaceDE w:val="0"/>
        <w:autoSpaceDN w:val="0"/>
        <w:adjustRightInd w:val="0"/>
        <w:spacing w:before="29" w:line="288" w:lineRule="auto"/>
        <w:jc w:val="left"/>
        <w:rPr>
          <w:color w:val="000000"/>
          <w:sz w:val="24"/>
          <w:szCs w:val="24"/>
        </w:rPr>
      </w:pPr>
      <w:r>
        <w:rPr>
          <w:color w:val="000000"/>
          <w:sz w:val="24"/>
          <w:szCs w:val="24"/>
        </w:rPr>
        <w:t>注：1、如果本报告期间发生转换入、红利再投业务，则总申购份额中包含该业务；</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2、如果本报告期间发生转换出业务，则总赎回份额中包含该业务。</w:t>
      </w:r>
    </w:p>
    <w:p w:rsidP="00C15CAC" w:rsidR="00320E90" w:rsidRDefault="00320E90">
      <w:pPr>
        <w:autoSpaceDE w:val="0"/>
        <w:autoSpaceDN w:val="0"/>
        <w:adjustRightInd w:val="0"/>
        <w:spacing w:before="29" w:line="288" w:lineRule="auto"/>
        <w:jc w:val="left"/>
        <w:rPr>
          <w:color w:val="000000"/>
          <w:sz w:val="24"/>
          <w:szCs w:val="24"/>
        </w:rPr>
      </w:pPr>
    </w:p>
    <w:p w:rsidP="0011537B" w:rsidR="00ED2620" w:rsidRDefault="00ED2620" w:rsidRPr="00ED2620">
      <w:pPr>
        <w:pStyle w:val="1"/>
        <w:tabs>
          <w:tab w:pos="4156" w:val="center"/>
          <w:tab w:pos="8312" w:val="right"/>
        </w:tabs>
        <w:spacing w:after="312" w:afterLines="100" w:before="312" w:beforeLines="100" w:line="288" w:lineRule="auto"/>
        <w:jc w:val="center"/>
        <w:rPr>
          <w:sz w:val="24"/>
          <w:szCs w:val="24"/>
        </w:rPr>
      </w:pPr>
      <w:r w:rsidRPr="00ED2620">
        <w:rPr>
          <w:rFonts w:eastAsiaTheme="minorEastAsia"/>
          <w:color w:val="000000"/>
          <w:kern w:val="0"/>
          <w:sz w:val="24"/>
          <w:szCs w:val="24"/>
        </w:rPr>
        <w:t/>
      </w:r>
      <w:r w:rsidR="000A2FC0" w:rsidRPr="00414345">
        <w:rPr>
          <w:color w:val="000000"/>
          <w:kern w:val="0"/>
          <w:sz w:val="24"/>
          <w:szCs w:val="24"/>
        </w:rPr>
        <w:t>§</w:t>
      </w:r>
      <w:r w:rsidR="00406DA6">
        <w:rPr>
          <w:rFonts w:eastAsiaTheme="minorEastAsia"/>
          <w:color w:val="000000"/>
          <w:kern w:val="0"/>
          <w:sz w:val="24"/>
          <w:szCs w:val="24"/>
        </w:rPr>
        <w:t/>
      </w:r>
      <w:r w:rsidR="00406DA6">
        <w:rPr>
          <w:rFonts w:eastAsiaTheme="minorEastAsia" w:hint="eastAsia"/>
          <w:color w:val="000000"/>
          <w:kern w:val="0"/>
          <w:sz w:val="24"/>
          <w:szCs w:val="24"/>
        </w:rPr>
        <w:t/>
      </w:r>
      <w:r w:rsidRPr="00ED2620">
        <w:rPr>
          <w:rFonts w:eastAsiaTheme="minorEastAsia"/>
          <w:color w:val="000000"/>
          <w:kern w:val="0"/>
          <w:sz w:val="24"/>
          <w:szCs w:val="24"/>
        </w:rPr>
        <w:t xml:space="preserve">7  </w:t>
      </w:r>
      <w:r w:rsidRPr="00ED2620">
        <w:rPr>
          <w:sz w:val="24"/>
          <w:szCs w:val="24"/>
        </w:rPr>
        <w:t>基金管理人运用固有资金投资本基金情况</w:t>
      </w:r>
    </w:p>
    <w:p w:rsidP="00C15CAC" w:rsidR="00ED2620" w:rsidRDefault="00ED2620" w:rsidRPr="00ED2620">
      <w:pPr>
        <w:spacing w:line="288" w:lineRule="auto"/>
        <w:jc w:val="left"/>
        <w:rPr>
          <w:sz w:val="24"/>
          <w:szCs w:val="24"/>
        </w:rPr>
      </w:pPr>
      <w:r w:rsidRPr="00ED2620">
        <w:rPr>
          <w:b/>
          <w:sz w:val="24"/>
        </w:rPr>
        <w:t xml:space="preserve">7.1 </w:t>
      </w:r>
      <w:r w:rsidRPr="00ED2620">
        <w:rPr>
          <w:b/>
          <w:sz w:val="24"/>
        </w:rPr>
        <w:t>基金管理人持有本基金份额变动情况</w:t>
      </w:r>
    </w:p>
    <w:p w:rsidP="00C15CAC" w:rsidR="00410630" w:rsidRDefault="00ED2620">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
      </w:r>
      <w:r w:rsidR="006075E6">
        <w:rPr>
          <w:rFonts w:eastAsiaTheme="minorEastAsia" w:hint="eastAsia"/>
          <w:color w:val="000000"/>
          <w:sz w:val="24"/>
        </w:rPr>
        <w:t/>
      </w:r>
      <w:r w:rsidRPr="00ED2620">
        <w:rPr>
          <w:rFonts w:eastAsiaTheme="minorEastAsia"/>
          <w:color w:val="000000"/>
          <w:sz w:val="24"/>
        </w:rPr>
        <w:t>本报告期内未发生基金管理人运用固有资金投资本基金的情况。</w:t>
      </w:r>
    </w:p>
    <w:p w:rsidP="00C15CAC" w:rsidR="00410630" w:rsidRDefault="00410630">
      <w:pPr>
        <w:autoSpaceDE w:val="0"/>
        <w:autoSpaceDN w:val="0"/>
        <w:adjustRightInd w:val="0"/>
        <w:spacing w:before="29" w:line="288" w:lineRule="auto"/>
        <w:jc w:val="left"/>
        <w:rPr>
          <w:rFonts w:eastAsiaTheme="minorEastAsia"/>
          <w:color w:val="000000"/>
          <w:sz w:val="24"/>
        </w:rPr>
      </w:pPr>
    </w:p>
    <w:p w:rsidP="00BB5E0E" w:rsidR="00410630" w:rsidRDefault="00410630" w:rsidRPr="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P="00C15CAC" w:rsidR="00320300" w:rsidRDefault="00320300" w:rsidRPr="00414345">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P="00C15CAC" w:rsidR="00480B35" w:rsidRDefault="00480B35" w:rsidRPr="00414345">
      <w:pPr>
        <w:autoSpaceDE w:val="0"/>
        <w:autoSpaceDN w:val="0"/>
        <w:adjustRightInd w:val="0"/>
        <w:spacing w:before="29" w:line="288" w:lineRule="auto"/>
        <w:jc w:val="left"/>
        <w:rPr>
          <w:color w:val="000000"/>
          <w:sz w:val="24"/>
        </w:rPr>
      </w:pPr>
    </w:p>
    <w:p w:rsidP="0011537B" w:rsidR="003C50AD" w:rsidRDefault="003C50AD" w:rsidRPr="00220C32">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sidRPr="00220C32">
        <w:rPr>
          <w:rFonts w:asciiTheme="minorEastAsia" w:eastAsiaTheme="minorEastAsia" w:hAnsiTheme="minorEastAsia" w:hint="eastAsia"/>
          <w:color w:themeColor="text1" w:val="000000"/>
          <w:kern w:val="0"/>
          <w:sz w:val="24"/>
          <w:szCs w:val="24"/>
        </w:rPr>
        <w:t>§8</w:t>
      </w:r>
      <w:r w:rsidRPr="00220C32">
        <w:rPr>
          <w:rFonts w:asciiTheme="minorEastAsia" w:eastAsiaTheme="minorEastAsia" w:hAnsiTheme="minorEastAsia"/>
          <w:color w:themeColor="text1" w:val="000000"/>
          <w:kern w:val="0"/>
          <w:sz w:val="24"/>
          <w:szCs w:val="24"/>
        </w:rPr>
        <w:t xml:space="preserve">  </w:t>
      </w:r>
      <w:r w:rsidRPr="00220C32">
        <w:rPr>
          <w:rFonts w:asciiTheme="minorEastAsia" w:eastAsiaTheme="minorEastAsia" w:hAnsiTheme="minorEastAsia" w:hint="eastAsia"/>
          <w:color w:themeColor="text1" w:val="000000"/>
          <w:kern w:val="0"/>
          <w:sz w:val="24"/>
          <w:szCs w:val="24"/>
        </w:rPr>
        <w:t>影响投资者决策的其他重要信息</w:t>
      </w:r>
    </w:p>
    <w:p w:rsidP="003C50AD" w:rsidR="003C50AD" w:rsidRDefault="003C50AD" w:rsidRPr="009A5C99">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color w:val="000000"/>
          <w:kern w:val="0"/>
          <w:sz w:val="24"/>
          <w:szCs w:val="24"/>
        </w:rPr>
        <w:t/>
      </w:r>
      <w:r w:rsidRPr="009A5C99">
        <w:rPr>
          <w:rFonts w:ascii="宋体" w:hAnsi="宋体"/>
          <w:b/>
          <w:bCs/>
          <w:color w:val="000000"/>
          <w:kern w:val="0"/>
          <w:sz w:val="24"/>
          <w:szCs w:val="24"/>
        </w:rPr>
        <w:t>8.</w:t>
      </w:r>
      <w:r w:rsidRPr="009A5C99">
        <w:rPr>
          <w:rFonts w:ascii="宋体" w:hAnsi="宋体" w:hint="eastAsia"/>
          <w:b/>
          <w:bCs/>
          <w:color w:val="000000"/>
          <w:kern w:val="0"/>
          <w:sz w:val="24"/>
          <w:szCs w:val="24"/>
        </w:rPr>
        <w:t>1 报告期内单一投资者持有基金份额比例达到或超过20%的情况</w:t>
      </w:r>
    </w:p>
    <w:tbl>
      <w:tblPr>
        <w:tblW w:type="dxa" w:w="9212"/>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93"/>
        <w:gridCol w:w="992"/>
        <w:gridCol w:w="1843"/>
        <w:gridCol w:w="851"/>
        <w:gridCol w:w="850"/>
        <w:gridCol w:w="1134"/>
        <w:gridCol w:w="1419"/>
        <w:gridCol w:w="1130"/>
      </w:tblGrid>
      <w:tr w:rsidR="003C50AD" w:rsidRPr="004F4D27" w:rsidTr="00424D30">
        <w:tc>
          <w:tcPr>
            <w:tcW w:type="dxa" w:w="993"/>
            <w:vMerge w:val="restart"/>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投资者类别</w:t>
            </w:r>
            <w:r w:rsidRPr="004F4D27">
              <w:rPr>
                <w:rFonts w:ascii="宋体" w:hAnsi="宋体"/>
                <w:color w:val="000000"/>
                <w:kern w:val="0"/>
              </w:rPr>
              <w:t/>
            </w:r>
            <w:r w:rsidRPr="004F4D27">
              <w:rPr>
                <w:rFonts w:ascii="宋体" w:hAnsi="宋体"/>
                <w:color w:val="000000"/>
                <w:kern w:val="0"/>
              </w:rPr>
              <w:lastRenderedPageBreak/>
              <w:t xml:space="preserve">  </w:t>
            </w:r>
          </w:p>
        </w:tc>
        <w:tc>
          <w:tcPr>
            <w:tcW w:type="dxa" w:w="5670"/>
            <w:gridSpan w:val="5"/>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lastRenderedPageBreak/>
              <w:t>报告期内持有基金份额变化情况</w:t>
            </w:r>
          </w:p>
        </w:tc>
        <w:tc>
          <w:tcPr>
            <w:tcW w:type="dxa" w:w="2549"/>
            <w:gridSpan w:val="2"/>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报告期末持有基金情况</w:t>
            </w:r>
          </w:p>
        </w:tc>
      </w:tr>
      <w:tr w:rsidR="003C50AD" w:rsidRPr="004F4D27" w:rsidTr="00424D30">
        <w:tc>
          <w:tcPr>
            <w:tcW w:type="dxa" w:w="993"/>
            <w:vMerge/>
            <w:vAlign w:val="center"/>
          </w:tcPr>
          <w:p w:rsidP="00424D30" w:rsidR="003C50AD" w:rsidRDefault="003C50AD" w:rsidRPr="004F4D27">
            <w:pPr>
              <w:autoSpaceDE w:val="0"/>
              <w:autoSpaceDN w:val="0"/>
              <w:adjustRightInd w:val="0"/>
              <w:jc w:val="center"/>
              <w:rPr>
                <w:rFonts w:ascii="宋体" w:hAnsi="宋体"/>
                <w:b/>
                <w:bCs/>
                <w:color w:val="000000"/>
                <w:kern w:val="0"/>
              </w:rPr>
            </w:pPr>
          </w:p>
        </w:tc>
        <w:tc>
          <w:tcPr>
            <w:tcW w:type="dxa" w:w="992"/>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序号</w:t>
            </w:r>
          </w:p>
        </w:tc>
        <w:tc>
          <w:tcPr>
            <w:tcW w:type="dxa" w:w="1843"/>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持有基金份额比例达到或者超过20%的时间区间</w:t>
            </w:r>
          </w:p>
        </w:tc>
        <w:tc>
          <w:tcPr>
            <w:tcW w:type="dxa" w:w="851"/>
            <w:vAlign w:val="center"/>
          </w:tcPr>
          <w:p w:rsidP="00424D30" w:rsidR="003C50AD" w:rsidRDefault="003C50AD" w:rsidRPr="004F4D27">
            <w:pPr>
              <w:widowControl/>
              <w:jc w:val="center"/>
              <w:rPr>
                <w:rFonts w:ascii="宋体" w:hAnsi="宋体"/>
                <w:b/>
                <w:bCs/>
                <w:color w:val="000000"/>
                <w:kern w:val="0"/>
              </w:rPr>
            </w:pPr>
            <w:r w:rsidRPr="004F4D27">
              <w:rPr>
                <w:rFonts w:ascii="宋体" w:hAnsi="宋体" w:hint="eastAsia"/>
                <w:color w:val="000000"/>
                <w:kern w:val="0"/>
              </w:rPr>
              <w:t>期初份额</w:t>
            </w:r>
          </w:p>
        </w:tc>
        <w:tc>
          <w:tcPr>
            <w:tcW w:type="dxa" w:w="850"/>
            <w:vAlign w:val="center"/>
          </w:tcPr>
          <w:p w:rsidP="00424D30" w:rsidR="003C50AD" w:rsidRDefault="003C50AD" w:rsidRPr="004F4D27">
            <w:pPr>
              <w:widowControl/>
              <w:jc w:val="center"/>
              <w:rPr>
                <w:rFonts w:ascii="宋体" w:hAnsi="宋体"/>
                <w:b/>
                <w:bCs/>
                <w:color w:val="000000"/>
                <w:kern w:val="0"/>
              </w:rPr>
            </w:pPr>
            <w:r w:rsidRPr="004F4D27">
              <w:rPr>
                <w:rFonts w:ascii="宋体" w:hAnsi="宋体" w:hint="eastAsia"/>
                <w:color w:val="000000"/>
                <w:kern w:val="0"/>
              </w:rPr>
              <w:t>申购份额</w:t>
            </w:r>
          </w:p>
        </w:tc>
        <w:tc>
          <w:tcPr>
            <w:tcW w:type="dxa" w:w="1134"/>
            <w:vAlign w:val="center"/>
          </w:tcPr>
          <w:p w:rsidP="00424D30" w:rsidR="003C50AD" w:rsidRDefault="003C50AD" w:rsidRPr="004F4D27">
            <w:pPr>
              <w:widowControl/>
              <w:jc w:val="center"/>
              <w:rPr>
                <w:rFonts w:ascii="宋体" w:hAnsi="宋体"/>
                <w:b/>
                <w:bCs/>
                <w:color w:val="000000"/>
                <w:kern w:val="0"/>
              </w:rPr>
            </w:pPr>
            <w:r w:rsidRPr="004F4D27">
              <w:rPr>
                <w:rFonts w:ascii="宋体" w:hAnsi="宋体" w:hint="eastAsia"/>
                <w:color w:val="000000"/>
                <w:kern w:val="0"/>
              </w:rPr>
              <w:t>赎回份额</w:t>
            </w:r>
          </w:p>
        </w:tc>
        <w:tc>
          <w:tcPr>
            <w:tcW w:type="dxa" w:w="1419"/>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持有份额</w:t>
            </w:r>
          </w:p>
        </w:tc>
        <w:tc>
          <w:tcPr>
            <w:tcW w:type="dxa" w:w="1130"/>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份额占比</w:t>
            </w:r>
          </w:p>
        </w:tc>
      </w:tr>
      <w:tr>
        <w:tc>
          <w:tcPr>
            <w:vMerge w:val="restart"/>
          </w:tcPr>
          <w:p/>
          <w:p>
            <w:r>
              <w:rPr>
                <w:rFonts w:ascii="宋体" w:hAnsi="宋体" w:hint="eastAsia"/>
                <w:bCs/>
                <w:color w:val="000000"/>
                <w:kern w:val="0"/>
              </w:rPr>
              <w:t>个人</w:t>
            </w:r>
          </w:p>
        </w:tc>
        <w:tc>
          <w:tcPr>
            <w:vAlign w:val="center"/>
          </w:tcPr>
          <w:p>
            <w:pPr>
              <w:jc w:val="center"/>
            </w:pPr>
            <w:r>
              <w:rPr>
                <w:rFonts w:ascii="宋体" w:hAnsi="宋体"/>
                <w:kern w:val="0"/>
              </w:rPr>
              <w:t>1</w:t>
            </w:r>
          </w:p>
        </w:tc>
        <w:tc>
          <w:tcPr>
            <w:vAlign w:val="center"/>
          </w:tcPr>
          <w:p>
            <w:pPr>
              <w:jc w:val="center"/>
            </w:pPr>
            <w:r>
              <w:rPr>
                <w:rFonts w:ascii="宋体" w:hAnsi="宋体"/>
                <w:kern w:val="0"/>
              </w:rPr>
              <w:t>2020/10/1-2020/12/31</w:t>
            </w:r>
          </w:p>
        </w:tc>
        <w:tc>
          <w:tcPr>
            <w:vAlign w:val="center"/>
          </w:tcPr>
          <w:p>
            <w:pPr>
              <w:jc w:val="center"/>
            </w:pPr>
            <w:r>
              <w:rPr>
                <w:rFonts w:ascii="宋体" w:hAnsi="宋体"/>
                <w:kern w:val="0"/>
              </w:rPr>
              <w:t>5,000,575.00</w:t>
            </w:r>
          </w:p>
        </w:tc>
        <w:tc>
          <w:tcPr>
            <w:vAlign w:val="center"/>
          </w:tcPr>
          <w:p>
            <w:pPr>
              <w:jc w:val="center"/>
            </w:pPr>
            <w:r>
              <w:rPr>
                <w:rFonts w:ascii="宋体" w:hAnsi="宋体"/>
                <w:kern w:val="0"/>
              </w:rPr>
              <w:t>-</w:t>
            </w:r>
          </w:p>
        </w:tc>
        <w:tc>
          <w:tcPr>
            <w:vAlign w:val="center"/>
          </w:tcPr>
          <w:p>
            <w:pPr>
              <w:jc w:val="center"/>
            </w:pPr>
            <w:r>
              <w:rPr>
                <w:rFonts w:ascii="宋体" w:hAnsi="宋体"/>
                <w:kern w:val="0"/>
              </w:rPr>
              <w:t>-</w:t>
            </w:r>
          </w:p>
        </w:tc>
        <w:tc>
          <w:tcPr>
            <w:vAlign w:val="center"/>
          </w:tcPr>
          <w:p>
            <w:pPr>
              <w:jc w:val="center"/>
            </w:pPr>
            <w:r>
              <w:rPr>
                <w:rFonts w:ascii="宋体" w:hAnsi="宋体"/>
                <w:kern w:val="0"/>
              </w:rPr>
              <w:t>5,000,575.00</w:t>
            </w:r>
          </w:p>
        </w:tc>
        <w:tc>
          <w:tcPr>
            <w:vAlign w:val="center"/>
          </w:tcPr>
          <w:p>
            <w:pPr>
              <w:jc w:val="center"/>
            </w:pPr>
            <w:r>
              <w:rPr>
                <w:rFonts w:ascii="宋体" w:hAnsi="宋体"/>
                <w:kern w:val="0"/>
              </w:rPr>
              <w:t>46.47%</w:t>
            </w:r>
          </w:p>
        </w:tc>
      </w:tr>
    </w:tbl>
    <w:tbl>
      <w:tblPr>
        <w:tblW w:type="dxa" w:w="9212"/>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212"/>
      </w:tblGrid>
      <w:tr w:rsidR="003C50AD" w:rsidRPr="004F4D27" w:rsidTr="00424D30">
        <w:tc>
          <w:tcPr>
            <w:tcW w:type="dxa" w:w="9212"/>
            <w:vAlign w:val="center"/>
          </w:tcPr>
          <w:p w:rsidP="00424D30" w:rsidR="003C50AD" w:rsidRDefault="003C50AD" w:rsidRPr="004F4D27">
            <w:pPr>
              <w:autoSpaceDE w:val="0"/>
              <w:autoSpaceDN w:val="0"/>
              <w:adjustRightInd w:val="0"/>
              <w:jc w:val="center"/>
              <w:rPr>
                <w:rFonts w:ascii="宋体" w:hAnsi="宋体"/>
                <w:kern w:val="0"/>
              </w:rPr>
            </w:pPr>
            <w:r w:rsidRPr="004F4D27">
              <w:rPr>
                <w:rFonts w:ascii="宋体" w:hAnsi="宋体"/>
                <w:color w:val="000000"/>
                <w:kern w:val="0"/>
              </w:rPr>
              <w:t>产品特有风险</w:t>
            </w:r>
            <w:r w:rsidRPr="004F4D27">
              <w:rPr>
                <w:rFonts w:ascii="宋体" w:hAnsi="宋体"/>
                <w:kern w:val="0"/>
              </w:rPr>
              <w:t/>
            </w:r>
            <w:r w:rsidRPr="004F4D27">
              <w:rPr>
                <w:rFonts w:ascii="宋体" w:hAnsi="宋体" w:hint="eastAsia"/>
                <w:kern w:val="0"/>
              </w:rPr>
              <w:t/>
            </w:r>
            <w:r w:rsidRPr="004F4D27">
              <w:rPr>
                <w:rFonts w:ascii="宋体" w:hAnsi="宋体"/>
                <w:kern w:val="0"/>
              </w:rPr>
              <w:t/>
            </w:r>
          </w:p>
        </w:tc>
      </w:tr>
      <w:tr w:rsidR="003C50AD" w:rsidRPr="004F4D27" w:rsidTr="00424D30">
        <w:tc>
          <w:tcPr>
            <w:tcW w:type="dxa" w:w="9212"/>
            <w:vAlign w:val="center"/>
          </w:tcPr>
          <w:p w:rsidP="00424D30" w:rsidR="003C50AD" w:rsidRDefault="003C50AD" w:rsidRPr="004F4D27">
            <w:pPr>
              <w:autoSpaceDE w:val="0"/>
              <w:autoSpaceDN w:val="0"/>
              <w:adjustRightInd w:val="0"/>
              <w:jc w:val="left"/>
              <w:rPr>
                <w:rFonts w:ascii="宋体" w:hAnsi="宋体"/>
                <w:kern w:val="0"/>
              </w:rPr>
            </w:pPr>
            <w:r w:rsidRPr="004F4D27">
              <w:rPr>
                <w:rFonts w:ascii="宋体" w:hAnsi="宋体" w:hint="eastAsia"/>
                <w:kern w:val="0"/>
              </w:rPr>
              <w:t/>
            </w:r>
            <w:r w:rsidRPr="004F4D27">
              <w:rPr>
                <w:rFonts w:ascii="宋体" w:hAnsi="宋体"/>
                <w:kern w:val="0"/>
              </w:rPr>
              <w:t/>
            </w:r>
            <w:r w:rsidRPr="004F4D27">
              <w:rPr>
                <w:rFonts w:ascii="宋体" w:hAnsi="宋体" w:hint="eastAsia"/>
                <w:kern w:val="0"/>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r w:rsidRPr="004F4D27">
              <w:rPr>
                <w:rFonts w:ascii="宋体" w:hAnsi="宋体"/>
                <w:kern w:val="0"/>
              </w:rPr>
              <w:t/>
            </w:r>
          </w:p>
        </w:tc>
      </w:tr>
    </w:tbl>
    <w:p w:rsidP="0011537B" w:rsidR="00B22DEE" w:rsidRDefault="004061AC" w:rsidRPr="00E02660">
      <w:pPr>
        <w:pStyle w:val="1"/>
        <w:spacing w:after="312" w:afterLines="100" w:before="312" w:beforeLines="100"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
      </w:r>
      <w:r w:rsidR="00676095" w:rsidRPr="00414345">
        <w:rPr>
          <w:color w:val="000000"/>
          <w:kern w:val="0"/>
          <w:sz w:val="24"/>
          <w:szCs w:val="24"/>
        </w:rPr>
        <w:t/>
      </w:r>
      <w:r w:rsidR="00D02347" w:rsidRPr="00414345">
        <w:rPr>
          <w:color w:val="000000"/>
          <w:kern w:val="0"/>
          <w:sz w:val="24"/>
          <w:szCs w:val="24"/>
        </w:rPr>
        <w:t>9</w:t>
      </w:r>
      <w:r w:rsidR="00834E74">
        <w:rPr>
          <w:color w:val="000000"/>
          <w:kern w:val="0"/>
          <w:sz w:val="24"/>
          <w:szCs w:val="24"/>
        </w:rPr>
        <w:t xml:space="preserve">  </w:t>
      </w:r>
      <w:r w:rsidRPr="00414345">
        <w:rPr>
          <w:color w:val="000000"/>
          <w:kern w:val="0"/>
          <w:sz w:val="24"/>
          <w:szCs w:val="24"/>
        </w:rPr>
        <w:t>备查文件目录</w:t>
      </w: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pPr>
        <w:spacing w:before="29" w:line="288" w:lineRule="auto"/>
        <w:ind w:firstLine="480" w:firstLineChars="200"/>
        <w:rPr>
          <w:color w:val="000000"/>
          <w:sz w:val="24"/>
          <w:szCs w:val="24"/>
        </w:rPr>
      </w:pPr>
      <w:r>
        <w:rPr>
          <w:color w:val="000000"/>
          <w:sz w:val="24"/>
          <w:szCs w:val="24"/>
        </w:rPr>
        <w:t xml:space="preserve">1、中国证监会批准交银施罗德荣泰保本混合型证券投资基金募集的文件； </w:t>
      </w:r>
    </w:p>
    <w:p>
      <w:pPr>
        <w:spacing w:before="29" w:line="288" w:lineRule="auto"/>
        <w:ind w:firstLine="480" w:firstLineChars="200"/>
        <w:rPr>
          <w:color w:val="000000"/>
          <w:sz w:val="24"/>
          <w:szCs w:val="24"/>
        </w:rPr>
      </w:pPr>
      <w:r>
        <w:rPr>
          <w:color w:val="000000"/>
          <w:sz w:val="24"/>
          <w:szCs w:val="24"/>
        </w:rPr>
        <w:t>2、《交银施罗德增强收益债券型证券投资基金基金合同》；</w:t>
      </w:r>
    </w:p>
    <w:p>
      <w:pPr>
        <w:spacing w:before="29" w:line="288" w:lineRule="auto"/>
        <w:ind w:firstLine="480" w:firstLineChars="200"/>
        <w:rPr>
          <w:color w:val="000000"/>
          <w:sz w:val="24"/>
          <w:szCs w:val="24"/>
        </w:rPr>
      </w:pPr>
      <w:r>
        <w:rPr>
          <w:color w:val="000000"/>
          <w:sz w:val="24"/>
          <w:szCs w:val="24"/>
        </w:rPr>
        <w:t>3、《交银施罗德增强收益债券型证券投资基金招募说明书》；</w:t>
      </w:r>
    </w:p>
    <w:p>
      <w:pPr>
        <w:spacing w:before="29" w:line="288" w:lineRule="auto"/>
        <w:ind w:firstLine="480" w:firstLineChars="200"/>
        <w:rPr>
          <w:color w:val="000000"/>
          <w:sz w:val="24"/>
          <w:szCs w:val="24"/>
        </w:rPr>
      </w:pPr>
      <w:r>
        <w:rPr>
          <w:color w:val="000000"/>
          <w:sz w:val="24"/>
          <w:szCs w:val="24"/>
        </w:rPr>
        <w:t>4、《交银施罗德增强收益债券型证券投资基金托管协议》；</w:t>
      </w:r>
    </w:p>
    <w:p>
      <w:pPr>
        <w:spacing w:before="29" w:line="288" w:lineRule="auto"/>
        <w:ind w:firstLine="480" w:firstLineChars="200"/>
        <w:rPr>
          <w:color w:val="000000"/>
          <w:sz w:val="24"/>
          <w:szCs w:val="24"/>
        </w:rPr>
      </w:pPr>
      <w:r>
        <w:rPr>
          <w:color w:val="000000"/>
          <w:sz w:val="24"/>
          <w:szCs w:val="24"/>
        </w:rPr>
        <w:t>5、《交银施罗德荣泰保本混合型证券投资基金基金合同》；</w:t>
      </w:r>
    </w:p>
    <w:p>
      <w:pPr>
        <w:spacing w:before="29" w:line="288" w:lineRule="auto"/>
        <w:ind w:firstLine="480" w:firstLineChars="200"/>
        <w:rPr>
          <w:color w:val="000000"/>
          <w:sz w:val="24"/>
          <w:szCs w:val="24"/>
        </w:rPr>
      </w:pPr>
      <w:r>
        <w:rPr>
          <w:color w:val="000000"/>
          <w:sz w:val="24"/>
          <w:szCs w:val="24"/>
        </w:rPr>
        <w:t>6、《交银施罗德荣泰保本混合型证券投资基金招募说明书》；</w:t>
      </w:r>
    </w:p>
    <w:p>
      <w:pPr>
        <w:spacing w:before="29" w:line="288" w:lineRule="auto"/>
        <w:ind w:firstLine="480" w:firstLineChars="200"/>
        <w:rPr>
          <w:color w:val="000000"/>
          <w:sz w:val="24"/>
          <w:szCs w:val="24"/>
        </w:rPr>
      </w:pPr>
      <w:r>
        <w:rPr>
          <w:color w:val="000000"/>
          <w:sz w:val="24"/>
          <w:szCs w:val="24"/>
        </w:rPr>
        <w:t>7、《交银施罗德荣泰保本混合型证券投资基金托管协议》；</w:t>
      </w:r>
    </w:p>
    <w:p>
      <w:pPr>
        <w:spacing w:before="29" w:line="288" w:lineRule="auto"/>
        <w:ind w:firstLine="480" w:firstLineChars="200"/>
        <w:rPr>
          <w:color w:val="000000"/>
          <w:sz w:val="24"/>
          <w:szCs w:val="24"/>
        </w:rPr>
      </w:pPr>
      <w:r>
        <w:rPr>
          <w:color w:val="000000"/>
          <w:sz w:val="24"/>
          <w:szCs w:val="24"/>
        </w:rPr>
        <w:t xml:space="preserve">8、《交银施罗德荣泰保本混合型证券投资基金保证合同》； </w:t>
      </w:r>
    </w:p>
    <w:p>
      <w:pPr>
        <w:spacing w:before="29" w:line="288" w:lineRule="auto"/>
        <w:ind w:firstLine="480" w:firstLineChars="200"/>
        <w:rPr>
          <w:color w:val="000000"/>
          <w:sz w:val="24"/>
          <w:szCs w:val="24"/>
        </w:rPr>
      </w:pPr>
      <w:r>
        <w:rPr>
          <w:color w:val="000000"/>
          <w:sz w:val="24"/>
          <w:szCs w:val="24"/>
        </w:rPr>
        <w:t>9、基金管理人业务资格批件、营业执照；</w:t>
      </w:r>
    </w:p>
    <w:p>
      <w:pPr>
        <w:spacing w:before="29" w:line="288" w:lineRule="auto"/>
        <w:ind w:firstLine="480" w:firstLineChars="200"/>
        <w:rPr>
          <w:color w:val="000000"/>
          <w:sz w:val="24"/>
          <w:szCs w:val="24"/>
        </w:rPr>
      </w:pPr>
      <w:r>
        <w:rPr>
          <w:color w:val="000000"/>
          <w:sz w:val="24"/>
          <w:szCs w:val="24"/>
        </w:rPr>
        <w:t>10、基金托管人业务资格批件、营业执照；</w:t>
      </w:r>
    </w:p>
    <w:p>
      <w:pPr>
        <w:spacing w:before="29" w:line="288" w:lineRule="auto"/>
        <w:ind w:firstLine="480" w:firstLineChars="200"/>
        <w:rPr>
          <w:color w:val="000000"/>
          <w:sz w:val="24"/>
          <w:szCs w:val="24"/>
        </w:rPr>
      </w:pPr>
      <w:r>
        <w:rPr>
          <w:color w:val="000000"/>
          <w:sz w:val="24"/>
          <w:szCs w:val="24"/>
        </w:rPr>
        <w:t>11、关于申请募集交银施罗德荣泰保本混合型证券投资基金之法律意见书；</w:t>
      </w:r>
    </w:p>
    <w:p>
      <w:pPr>
        <w:spacing w:before="29" w:line="288" w:lineRule="auto"/>
        <w:ind w:firstLine="480" w:firstLineChars="200"/>
        <w:rPr>
          <w:color w:val="000000"/>
          <w:sz w:val="24"/>
          <w:szCs w:val="24"/>
        </w:rPr>
      </w:pPr>
      <w:r>
        <w:rPr>
          <w:color w:val="000000"/>
          <w:sz w:val="24"/>
          <w:szCs w:val="24"/>
        </w:rPr>
        <w:t>12、关于交银施罗德荣泰保本混合型证券投资基金保本周期到期转型及基金合同修改的法律意见；</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13、报告期内交银施罗德增强收益债券型证券投资基金、交银施罗德荣泰保本混合型证券投资基金在指定报刊上各项公告的原稿。</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备查文件存放于基金管理人的办公场所。</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pPr>
        <w:spacing w:before="29" w:line="288" w:lineRule="auto"/>
        <w:ind w:firstLine="480" w:firstLineChars="200"/>
        <w:rPr>
          <w:color w:val="000000"/>
          <w:sz w:val="24"/>
          <w:szCs w:val="24"/>
        </w:rPr>
      </w:pPr>
      <w:r>
        <w:rPr>
          <w:color w:val="000000"/>
          <w:sz w:val="24"/>
          <w:szCs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C15CAC" w:rsidR="00A90049" w:rsidRDefault="006D7FF8" w:rsidRPr="00414345">
      <w:pPr>
        <w:spacing w:before="29" w:line="288" w:lineRule="auto"/>
        <w:ind w:firstLine="480" w:firstLineChars="200"/>
        <w:rPr>
          <w:color w:val="000000"/>
          <w:sz w:val="24"/>
          <w:szCs w:val="24"/>
        </w:rPr>
      </w:pPr>
      <w:r w:rsidRPr="00414345">
        <w:rPr>
          <w:color w:val="000000"/>
          <w:sz w:val="24"/>
          <w:szCs w:val="24"/>
        </w:rPr>
        <w:t>投资者对本报告书如有疑问，可咨询本基金管理人交银施罗德基金管理有限公司。本公司客户服务中心电话：400-700-5000（免长途话费），021-61055000，电子邮件：services@jysld.com。</w:t>
      </w:r>
    </w:p>
    <w:p w:rsidP="00C15CAC" w:rsidR="002C3C7A" w:rsidRDefault="002C3C7A" w:rsidRPr="00414345">
      <w:pPr>
        <w:spacing w:before="29" w:line="288" w:lineRule="auto"/>
        <w:ind w:firstLine="480" w:firstLineChars="200"/>
        <w:rPr>
          <w:color w:val="000000"/>
          <w:sz w:val="24"/>
          <w:szCs w:val="24"/>
        </w:rPr>
      </w:pPr>
    </w:p>
    <w:sectPr w:rsidR="002C3C7A" w:rsidRPr="00414345" w:rsidSect="00000678">
      <w:pgSz w:code="9" w:h="16838" w:w="11906"/>
      <w:pgMar w:bottom="1440" w:footer="992" w:gutter="0" w:header="851" w:left="1440" w:right="144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AA1" w:rsidRDefault="00C11AA1" w:rsidP="00876D65">
      <w:r>
        <w:separator/>
      </w:r>
    </w:p>
  </w:endnote>
  <w:endnote w:type="continuationSeparator" w:id="0">
    <w:p w:rsidR="00C11AA1" w:rsidRDefault="00C11AA1"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黑体"/>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6"/>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4D340C" w:rsidR="004D340C" w:rsidRDefault="004D340C" w:rsidRPr="001D0DB0">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AA3969">
      <w:rPr>
        <w:noProof/>
        <w:kern w:val="0"/>
        <w:szCs w:val="21"/>
      </w:rPr>
      <w:t>17</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AA3969">
      <w:rPr>
        <w:noProof/>
        <w:kern w:val="0"/>
        <w:szCs w:val="21"/>
      </w:rPr>
      <w:t>24</w:t>
    </w:r>
    <w:r w:rsidR="00381EE8">
      <w:rPr>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6"/>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P="00876D65" w:rsidR="00C11AA1" w:rsidRDefault="00C11AA1">
      <w:r>
        <w:separator/>
      </w:r>
    </w:p>
  </w:footnote>
  <w:footnote w:id="0" w:type="continuationSeparator">
    <w:p w:rsidP="00876D65" w:rsidR="00C11AA1" w:rsidRDefault="00C11AA1">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9"/>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090A26" w:rsidR="00171EF0" w:rsidRDefault="00DC456F" w:rsidRPr="00DC456F">
    <w:pPr>
      <w:pStyle w:val="a9"/>
      <w:pBdr>
        <w:bottom w:color="auto" w:space="0" w:sz="6" w:val="single"/>
      </w:pBdr>
      <w:jc w:val="right"/>
      <w:rPr>
        <w:sz w:val="24"/>
        <w:szCs w:val="24"/>
      </w:rPr>
    </w:pPr>
    <w:r w:rsidRPr="003E676C">
      <w:rPr>
        <w:sz w:val="24"/>
        <w:szCs w:val="24"/>
      </w:rPr>
      <w:t>交银施罗德增强收益债券型证券投资基金2020年第4季度报告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9"/>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eastAsia="宋体" w:hAnsi="Times New Roman" w:hint="default"/>
      </w:rPr>
    </w:lvl>
    <w:lvl w:ilvl="1" w:tplc="04090003">
      <w:start w:val="1"/>
      <w:numFmt w:val="bullet"/>
      <w:lvlText w:val=""/>
      <w:lvlJc w:val="left"/>
      <w:pPr>
        <w:tabs>
          <w:tab w:pos="1260" w:val="num"/>
        </w:tabs>
        <w:ind w:hanging="420" w:left="1260"/>
      </w:pPr>
      <w:rPr>
        <w:rFonts w:ascii="Wingdings" w:cs="Wingdings" w:hAnsi="Wingdings" w:hint="default"/>
      </w:rPr>
    </w:lvl>
    <w:lvl w:ilvl="2" w:tplc="04090005">
      <w:start w:val="1"/>
      <w:numFmt w:val="bullet"/>
      <w:lvlText w:val=""/>
      <w:lvlJc w:val="left"/>
      <w:pPr>
        <w:tabs>
          <w:tab w:pos="1680" w:val="num"/>
        </w:tabs>
        <w:ind w:hanging="420" w:left="1680"/>
      </w:pPr>
      <w:rPr>
        <w:rFonts w:ascii="Wingdings" w:cs="Wingdings" w:hAnsi="Wingdings" w:hint="default"/>
      </w:rPr>
    </w:lvl>
    <w:lvl w:ilvl="3" w:tplc="04090001">
      <w:start w:val="1"/>
      <w:numFmt w:val="bullet"/>
      <w:lvlText w:val=""/>
      <w:lvlJc w:val="left"/>
      <w:pPr>
        <w:tabs>
          <w:tab w:pos="2100" w:val="num"/>
        </w:tabs>
        <w:ind w:hanging="420" w:left="2100"/>
      </w:pPr>
      <w:rPr>
        <w:rFonts w:ascii="Wingdings" w:cs="Wingdings" w:hAnsi="Wingdings" w:hint="default"/>
      </w:rPr>
    </w:lvl>
    <w:lvl w:ilvl="4" w:tplc="04090003">
      <w:start w:val="1"/>
      <w:numFmt w:val="bullet"/>
      <w:lvlText w:val=""/>
      <w:lvlJc w:val="left"/>
      <w:pPr>
        <w:tabs>
          <w:tab w:pos="2520" w:val="num"/>
        </w:tabs>
        <w:ind w:hanging="420" w:left="2520"/>
      </w:pPr>
      <w:rPr>
        <w:rFonts w:ascii="Wingdings" w:cs="Wingdings" w:hAnsi="Wingdings" w:hint="default"/>
      </w:rPr>
    </w:lvl>
    <w:lvl w:ilvl="5" w:tplc="04090005">
      <w:start w:val="1"/>
      <w:numFmt w:val="bullet"/>
      <w:lvlText w:val=""/>
      <w:lvlJc w:val="left"/>
      <w:pPr>
        <w:tabs>
          <w:tab w:pos="2940" w:val="num"/>
        </w:tabs>
        <w:ind w:hanging="420" w:left="2940"/>
      </w:pPr>
      <w:rPr>
        <w:rFonts w:ascii="Wingdings" w:cs="Wingdings" w:hAnsi="Wingdings" w:hint="default"/>
      </w:rPr>
    </w:lvl>
    <w:lvl w:ilvl="6" w:tplc="04090001">
      <w:start w:val="1"/>
      <w:numFmt w:val="bullet"/>
      <w:lvlText w:val=""/>
      <w:lvlJc w:val="left"/>
      <w:pPr>
        <w:tabs>
          <w:tab w:pos="3360" w:val="num"/>
        </w:tabs>
        <w:ind w:hanging="420" w:left="3360"/>
      </w:pPr>
      <w:rPr>
        <w:rFonts w:ascii="Wingdings" w:cs="Wingdings" w:hAnsi="Wingdings" w:hint="default"/>
      </w:rPr>
    </w:lvl>
    <w:lvl w:ilvl="7" w:tplc="04090003">
      <w:start w:val="1"/>
      <w:numFmt w:val="bullet"/>
      <w:lvlText w:val=""/>
      <w:lvlJc w:val="left"/>
      <w:pPr>
        <w:tabs>
          <w:tab w:pos="3780" w:val="num"/>
        </w:tabs>
        <w:ind w:hanging="420" w:left="3780"/>
      </w:pPr>
      <w:rPr>
        <w:rFonts w:ascii="Wingdings" w:cs="Wingdings" w:hAnsi="Wingdings" w:hint="default"/>
      </w:rPr>
    </w:lvl>
    <w:lvl w:ilvl="8" w:tplc="04090005">
      <w:start w:val="1"/>
      <w:numFmt w:val="bullet"/>
      <w:lvlText w:val=""/>
      <w:lvlJc w:val="left"/>
      <w:pPr>
        <w:tabs>
          <w:tab w:pos="4200" w:val="num"/>
        </w:tabs>
        <w:ind w:hanging="420" w:left="4200"/>
      </w:pPr>
      <w:rPr>
        <w:rFonts w:ascii="Wingdings" w:cs="Wingdings" w:hAnsi="Wingdings" w:hint="default"/>
      </w:rPr>
    </w:lvl>
  </w:abstractNum>
  <w:abstractNum w15:restartNumberingAfterBreak="0" w:abstractNumId="1">
    <w:nsid w:val="57E8240C"/>
    <w:multiLevelType w:val="hybridMultilevel"/>
    <w:tmpl w:val="300A7112"/>
    <w:lvl w:ilvl="0" w:tplc="3782FDB8">
      <w:start w:val="1"/>
      <w:numFmt w:val="decimal"/>
      <w:lvlText w:val="（%1）"/>
      <w:lvlJc w:val="left"/>
      <w:pPr>
        <w:tabs>
          <w:tab w:pos="1200" w:val="num"/>
        </w:tabs>
        <w:ind w:hanging="720" w:left="1200"/>
      </w:pPr>
      <w:rPr>
        <w:rFonts w:hint="eastAsia"/>
        <w:sz w:val="24"/>
        <w:szCs w:val="24"/>
      </w:rPr>
    </w:lvl>
    <w:lvl w:ilvl="1" w:tplc="04090019">
      <w:start w:val="1"/>
      <w:numFmt w:val="lowerLetter"/>
      <w:lvlText w:val="%2)"/>
      <w:lvlJc w:val="left"/>
      <w:pPr>
        <w:tabs>
          <w:tab w:pos="1320" w:val="num"/>
        </w:tabs>
        <w:ind w:hanging="420" w:left="1320"/>
      </w:pPr>
    </w:lvl>
    <w:lvl w:ilvl="2" w:tplc="0409001B">
      <w:start w:val="1"/>
      <w:numFmt w:val="lowerRoman"/>
      <w:lvlText w:val="%3."/>
      <w:lvlJc w:val="right"/>
      <w:pPr>
        <w:tabs>
          <w:tab w:pos="1740" w:val="num"/>
        </w:tabs>
        <w:ind w:hanging="420" w:left="1740"/>
      </w:pPr>
    </w:lvl>
    <w:lvl w:ilvl="3" w:tplc="0409000F">
      <w:start w:val="1"/>
      <w:numFmt w:val="decimal"/>
      <w:lvlText w:val="%4."/>
      <w:lvlJc w:val="left"/>
      <w:pPr>
        <w:tabs>
          <w:tab w:pos="2160" w:val="num"/>
        </w:tabs>
        <w:ind w:hanging="420" w:left="2160"/>
      </w:pPr>
    </w:lvl>
    <w:lvl w:ilvl="4" w:tplc="04090019">
      <w:start w:val="1"/>
      <w:numFmt w:val="lowerLetter"/>
      <w:lvlText w:val="%5)"/>
      <w:lvlJc w:val="left"/>
      <w:pPr>
        <w:tabs>
          <w:tab w:pos="2580" w:val="num"/>
        </w:tabs>
        <w:ind w:hanging="420" w:left="2580"/>
      </w:pPr>
    </w:lvl>
    <w:lvl w:ilvl="5" w:tplc="0409001B">
      <w:start w:val="1"/>
      <w:numFmt w:val="lowerRoman"/>
      <w:lvlText w:val="%6."/>
      <w:lvlJc w:val="right"/>
      <w:pPr>
        <w:tabs>
          <w:tab w:pos="3000" w:val="num"/>
        </w:tabs>
        <w:ind w:hanging="420" w:left="3000"/>
      </w:pPr>
    </w:lvl>
    <w:lvl w:ilvl="6" w:tplc="0409000F">
      <w:start w:val="1"/>
      <w:numFmt w:val="decimal"/>
      <w:lvlText w:val="%7."/>
      <w:lvlJc w:val="left"/>
      <w:pPr>
        <w:tabs>
          <w:tab w:pos="3420" w:val="num"/>
        </w:tabs>
        <w:ind w:hanging="420" w:left="3420"/>
      </w:pPr>
    </w:lvl>
    <w:lvl w:ilvl="7" w:tplc="04090019">
      <w:start w:val="1"/>
      <w:numFmt w:val="lowerLetter"/>
      <w:lvlText w:val="%8)"/>
      <w:lvlJc w:val="left"/>
      <w:pPr>
        <w:tabs>
          <w:tab w:pos="3840" w:val="num"/>
        </w:tabs>
        <w:ind w:hanging="420" w:left="3840"/>
      </w:pPr>
    </w:lvl>
    <w:lvl w:ilvl="8" w:tplc="0409001B">
      <w:start w:val="1"/>
      <w:numFmt w:val="lowerRoman"/>
      <w:lvlText w:val="%9."/>
      <w:lvlJc w:val="right"/>
      <w:pPr>
        <w:tabs>
          <w:tab w:pos="4260" w:val="num"/>
        </w:tabs>
        <w:ind w:hanging="420" w:left="4260"/>
      </w:pPr>
    </w:lvl>
  </w:abstractNum>
  <w:abstractNum w15:restartNumberingAfterBreak="0" w:abstractNumId="2">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plc="0409000F">
      <w:start w:val="1"/>
      <w:numFmt w:val="decimal"/>
      <w:lvlText w:val="%4."/>
      <w:lvlJc w:val="left"/>
      <w:pPr>
        <w:tabs>
          <w:tab w:pos="1680" w:val="num"/>
        </w:tabs>
        <w:ind w:hanging="420" w:left="1680"/>
      </w:pPr>
    </w:lvl>
    <w:lvl w:ilvl="4" w:tplc="04090019">
      <w:start w:val="1"/>
      <w:numFmt w:val="lowerLetter"/>
      <w:lvlText w:val="%5)"/>
      <w:lvlJc w:val="left"/>
      <w:pPr>
        <w:tabs>
          <w:tab w:pos="2100" w:val="num"/>
        </w:tabs>
        <w:ind w:hanging="420" w:left="2100"/>
      </w:pPr>
    </w:lvl>
    <w:lvl w:ilvl="5" w:tplc="0409001B">
      <w:start w:val="1"/>
      <w:numFmt w:val="lowerRoman"/>
      <w:lvlText w:val="%6."/>
      <w:lvlJc w:val="right"/>
      <w:pPr>
        <w:tabs>
          <w:tab w:pos="2520" w:val="num"/>
        </w:tabs>
        <w:ind w:hanging="420" w:left="2520"/>
      </w:pPr>
    </w:lvl>
    <w:lvl w:ilvl="6" w:tplc="0409000F">
      <w:start w:val="1"/>
      <w:numFmt w:val="decimal"/>
      <w:lvlText w:val="%7."/>
      <w:lvlJc w:val="left"/>
      <w:pPr>
        <w:tabs>
          <w:tab w:pos="2940" w:val="num"/>
        </w:tabs>
        <w:ind w:hanging="420" w:left="2940"/>
      </w:pPr>
    </w:lvl>
    <w:lvl w:ilvl="7" w:tplc="04090019">
      <w:start w:val="1"/>
      <w:numFmt w:val="lowerLetter"/>
      <w:lvlText w:val="%8)"/>
      <w:lvlJc w:val="left"/>
      <w:pPr>
        <w:tabs>
          <w:tab w:pos="3360" w:val="num"/>
        </w:tabs>
        <w:ind w:hanging="420" w:left="3360"/>
      </w:pPr>
    </w:lvl>
    <w:lvl w:ilvl="8" w:tplc="0409001B">
      <w:start w:val="1"/>
      <w:numFmt w:val="lowerRoman"/>
      <w:lvlText w:val="%9."/>
      <w:lvlJc w:val="right"/>
      <w:pPr>
        <w:tabs>
          <w:tab w:pos="3780" w:val="num"/>
        </w:tabs>
        <w:ind w:hanging="420" w:left="378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6A97"/>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138B"/>
    <w:rsid w:val="001830D7"/>
    <w:rsid w:val="00185A34"/>
    <w:rsid w:val="001934F6"/>
    <w:rsid w:val="00196E6C"/>
    <w:rsid w:val="001A280A"/>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5A47"/>
    <w:rsid w:val="003470E2"/>
    <w:rsid w:val="0035076C"/>
    <w:rsid w:val="00352719"/>
    <w:rsid w:val="0035383E"/>
    <w:rsid w:val="00355364"/>
    <w:rsid w:val="00364CCB"/>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56"/>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6A8F"/>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0AA9"/>
    <w:rsid w:val="004A11A7"/>
    <w:rsid w:val="004A459C"/>
    <w:rsid w:val="004A6731"/>
    <w:rsid w:val="004A7B1D"/>
    <w:rsid w:val="004B2AF4"/>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4A5"/>
    <w:rsid w:val="005B09FA"/>
    <w:rsid w:val="005B2E9C"/>
    <w:rsid w:val="005B3CC0"/>
    <w:rsid w:val="005B4C8F"/>
    <w:rsid w:val="005B4F93"/>
    <w:rsid w:val="005B73D2"/>
    <w:rsid w:val="005D2B36"/>
    <w:rsid w:val="005E475E"/>
    <w:rsid w:val="005F118D"/>
    <w:rsid w:val="005F1F22"/>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0D08"/>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6DD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D1BD9"/>
    <w:rsid w:val="009E19A9"/>
    <w:rsid w:val="009E31DA"/>
    <w:rsid w:val="009E402C"/>
    <w:rsid w:val="009E7C6A"/>
    <w:rsid w:val="009F27F9"/>
    <w:rsid w:val="009F3659"/>
    <w:rsid w:val="009F4861"/>
    <w:rsid w:val="009F61BE"/>
    <w:rsid w:val="009F7643"/>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969"/>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AF6FFB"/>
    <w:rsid w:val="00B11A78"/>
    <w:rsid w:val="00B11BE5"/>
    <w:rsid w:val="00B11F31"/>
    <w:rsid w:val="00B12B7D"/>
    <w:rsid w:val="00B16985"/>
    <w:rsid w:val="00B22DEE"/>
    <w:rsid w:val="00B27479"/>
    <w:rsid w:val="00B32AA7"/>
    <w:rsid w:val="00B34678"/>
    <w:rsid w:val="00B34FB5"/>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3A00"/>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1AA1"/>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D7A00"/>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04FC3"/>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EastAsia" w:hAnsiTheme="minorHAnsi"/>
        <w:kern w:val="2"/>
        <w:sz w:val="21"/>
        <w:szCs w:val="22"/>
        <w:lang w:bidi="ar-SA" w:eastAsia="zh-CN" w:val="en-US"/>
      </w:rPr>
    </w:rPrDefault>
    <w:pPrDefault/>
  </w:docDefaults>
  <w:latentStyles w:count="371" w:defLockedState="0" w:defQFormat="0" w:defSemiHidden="0" w:defUIPriority="99" w:defUnhideWhenUsed="0">
    <w:lsdException w:name="Normal" w:qFormat="1" w:uiPriority="0"/>
    <w:lsdException w:name="heading 1" w:qFormat="1"/>
    <w:lsdException w:name="heading 2" w:qFormat="1" w:semiHidden="1" w:unhideWhenUsed="1"/>
    <w:lsdException w:name="heading 3" w:qFormat="1" w:semiHidden="1"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4061AC"/>
    <w:pPr>
      <w:widowControl w:val="0"/>
      <w:jc w:val="both"/>
    </w:pPr>
    <w:rPr>
      <w:rFonts w:ascii="Times New Roman" w:cs="Times New Roman" w:eastAsia="宋体" w:hAnsi="Times New Roman"/>
      <w:szCs w:val="21"/>
    </w:rPr>
  </w:style>
  <w:style w:styleId="1" w:type="paragraph">
    <w:name w:val="heading 1"/>
    <w:basedOn w:val="a"/>
    <w:next w:val="a"/>
    <w:link w:val="1Char"/>
    <w:uiPriority w:val="99"/>
    <w:qFormat/>
    <w:rsid w:val="004061AC"/>
    <w:pPr>
      <w:keepNext/>
      <w:keepLines/>
      <w:spacing w:after="330" w:before="340" w:line="578" w:lineRule="auto"/>
      <w:outlineLvl w:val="0"/>
    </w:pPr>
    <w:rPr>
      <w:b/>
      <w:bCs/>
      <w:kern w:val="44"/>
      <w:sz w:val="44"/>
      <w:szCs w:val="44"/>
    </w:rPr>
  </w:style>
  <w:style w:styleId="2" w:type="paragraph">
    <w:name w:val="heading 2"/>
    <w:basedOn w:val="a"/>
    <w:next w:val="a0"/>
    <w:link w:val="2Char"/>
    <w:uiPriority w:val="99"/>
    <w:qFormat/>
    <w:rsid w:val="004061AC"/>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Char"/>
    <w:uiPriority w:val="99"/>
    <w:qFormat/>
    <w:rsid w:val="004061AC"/>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customStyle="1" w:styleId="1Char" w:type="character">
    <w:name w:val="标题 1 Char"/>
    <w:basedOn w:val="a1"/>
    <w:link w:val="1"/>
    <w:uiPriority w:val="99"/>
    <w:rsid w:val="004061AC"/>
    <w:rPr>
      <w:rFonts w:ascii="Times New Roman" w:cs="Times New Roman" w:eastAsia="宋体" w:hAnsi="Times New Roman"/>
      <w:b/>
      <w:bCs/>
      <w:kern w:val="44"/>
      <w:sz w:val="44"/>
      <w:szCs w:val="44"/>
    </w:rPr>
  </w:style>
  <w:style w:customStyle="1" w:styleId="2Char" w:type="character">
    <w:name w:val="标题 2 Char"/>
    <w:basedOn w:val="a1"/>
    <w:link w:val="2"/>
    <w:uiPriority w:val="99"/>
    <w:rsid w:val="004061AC"/>
    <w:rPr>
      <w:rFonts w:ascii="Arial" w:cs="Arial" w:eastAsia="宋体" w:hAnsi="Arial"/>
      <w:b/>
      <w:bCs/>
      <w:sz w:val="24"/>
      <w:szCs w:val="24"/>
    </w:rPr>
  </w:style>
  <w:style w:customStyle="1" w:styleId="3Char" w:type="character">
    <w:name w:val="标题 3 Char"/>
    <w:basedOn w:val="a1"/>
    <w:link w:val="3"/>
    <w:uiPriority w:val="99"/>
    <w:rsid w:val="004061AC"/>
    <w:rPr>
      <w:rFonts w:ascii="Times New Roman" w:cs="Times New Roman" w:eastAsia="宋体" w:hAnsi="Times New Roman"/>
      <w:b/>
      <w:bCs/>
      <w:sz w:val="32"/>
      <w:szCs w:val="32"/>
    </w:rPr>
  </w:style>
  <w:style w:styleId="a0" w:type="paragraph">
    <w:name w:val="Normal Indent"/>
    <w:basedOn w:val="a"/>
    <w:uiPriority w:val="99"/>
    <w:rsid w:val="004061AC"/>
    <w:pPr>
      <w:ind w:firstLine="420" w:firstLineChars="200"/>
    </w:pPr>
  </w:style>
  <w:style w:styleId="a4" w:type="paragraph">
    <w:name w:val="Body Text Indent"/>
    <w:basedOn w:val="a"/>
    <w:link w:val="Char"/>
    <w:uiPriority w:val="99"/>
    <w:rsid w:val="004061AC"/>
    <w:pPr>
      <w:widowControl/>
      <w:spacing w:after="100" w:afterAutospacing="1" w:before="100" w:beforeAutospacing="1"/>
      <w:jc w:val="left"/>
    </w:pPr>
    <w:rPr>
      <w:rFonts w:ascii="Arial Unicode MS" w:cs="Arial Unicode MS" w:eastAsia="Arial Unicode MS" w:hAnsi="Arial Unicode MS"/>
      <w:kern w:val="0"/>
      <w:sz w:val="24"/>
      <w:szCs w:val="24"/>
    </w:rPr>
  </w:style>
  <w:style w:customStyle="1" w:styleId="Char" w:type="character">
    <w:name w:val="正文文本缩进 Char"/>
    <w:basedOn w:val="a1"/>
    <w:link w:val="a4"/>
    <w:uiPriority w:val="99"/>
    <w:rsid w:val="004061AC"/>
    <w:rPr>
      <w:rFonts w:ascii="Arial Unicode MS" w:cs="Arial Unicode MS" w:eastAsia="Arial Unicode MS" w:hAnsi="Arial Unicode MS"/>
      <w:kern w:val="0"/>
      <w:sz w:val="24"/>
      <w:szCs w:val="24"/>
    </w:rPr>
  </w:style>
  <w:style w:styleId="a5" w:type="paragraph">
    <w:name w:val="Plain Text"/>
    <w:basedOn w:val="a"/>
    <w:link w:val="Char0"/>
    <w:uiPriority w:val="99"/>
    <w:rsid w:val="004061AC"/>
    <w:rPr>
      <w:rFonts w:ascii="宋体" w:cs="宋体" w:hAnsi="Courier New"/>
    </w:rPr>
  </w:style>
  <w:style w:customStyle="1" w:styleId="Char0" w:type="character">
    <w:name w:val="纯文本 Char"/>
    <w:basedOn w:val="a1"/>
    <w:link w:val="a5"/>
    <w:uiPriority w:val="99"/>
    <w:rsid w:val="004061AC"/>
    <w:rPr>
      <w:rFonts w:ascii="宋体" w:cs="宋体" w:eastAsia="宋体" w:hAnsi="Courier New"/>
      <w:szCs w:val="21"/>
    </w:rPr>
  </w:style>
  <w:style w:styleId="20" w:type="paragraph">
    <w:name w:val="Body Text Indent 2"/>
    <w:basedOn w:val="a"/>
    <w:link w:val="2Char0"/>
    <w:uiPriority w:val="99"/>
    <w:rsid w:val="004061AC"/>
    <w:pPr>
      <w:spacing w:line="560" w:lineRule="exact"/>
      <w:ind w:firstLine="480" w:firstLineChars="200"/>
    </w:pPr>
    <w:rPr>
      <w:rFonts w:ascii="宋体" w:cs="宋体" w:hAnsi="宋体"/>
      <w:color w:val="FF0000"/>
      <w:sz w:val="24"/>
      <w:szCs w:val="24"/>
    </w:rPr>
  </w:style>
  <w:style w:customStyle="1" w:styleId="2Char0" w:type="character">
    <w:name w:val="正文文本缩进 2 Char"/>
    <w:basedOn w:val="a1"/>
    <w:link w:val="20"/>
    <w:uiPriority w:val="99"/>
    <w:rsid w:val="004061AC"/>
    <w:rPr>
      <w:rFonts w:ascii="宋体" w:cs="宋体" w:eastAsia="宋体" w:hAnsi="宋体"/>
      <w:color w:val="FF0000"/>
      <w:sz w:val="24"/>
      <w:szCs w:val="24"/>
    </w:rPr>
  </w:style>
  <w:style w:styleId="a6" w:type="paragraph">
    <w:name w:val="footer"/>
    <w:basedOn w:val="a"/>
    <w:link w:val="Char1"/>
    <w:rsid w:val="004061AC"/>
    <w:pPr>
      <w:tabs>
        <w:tab w:pos="4153" w:val="center"/>
        <w:tab w:pos="8306" w:val="right"/>
      </w:tabs>
      <w:snapToGrid w:val="0"/>
      <w:jc w:val="left"/>
    </w:pPr>
    <w:rPr>
      <w:sz w:val="18"/>
      <w:szCs w:val="18"/>
    </w:rPr>
  </w:style>
  <w:style w:customStyle="1" w:styleId="Char1" w:type="character">
    <w:name w:val="页脚 Char"/>
    <w:basedOn w:val="a1"/>
    <w:link w:val="a6"/>
    <w:uiPriority w:val="99"/>
    <w:rsid w:val="004061AC"/>
    <w:rPr>
      <w:rFonts w:ascii="Times New Roman" w:cs="Times New Roman" w:eastAsia="宋体" w:hAnsi="Times New Roman"/>
      <w:sz w:val="18"/>
      <w:szCs w:val="18"/>
    </w:rPr>
  </w:style>
  <w:style w:styleId="a7" w:type="character">
    <w:name w:val="page number"/>
    <w:basedOn w:val="a1"/>
    <w:uiPriority w:val="99"/>
    <w:rsid w:val="004061AC"/>
  </w:style>
  <w:style w:styleId="a8" w:type="character">
    <w:name w:val="Hyperlink"/>
    <w:basedOn w:val="a1"/>
    <w:uiPriority w:val="99"/>
    <w:rsid w:val="004061AC"/>
    <w:rPr>
      <w:color w:val="0000FF"/>
      <w:u w:val="single"/>
    </w:rPr>
  </w:style>
  <w:style w:styleId="30" w:type="paragraph">
    <w:name w:val="Body Text Indent 3"/>
    <w:basedOn w:val="a"/>
    <w:link w:val="3Char0"/>
    <w:uiPriority w:val="99"/>
    <w:rsid w:val="004061AC"/>
    <w:pPr>
      <w:spacing w:line="560" w:lineRule="exact"/>
      <w:ind w:firstLine="420" w:firstLineChars="200"/>
    </w:pPr>
    <w:rPr>
      <w:rFonts w:ascii="Arial" w:cs="Arial" w:hAnsi="Arial"/>
      <w:color w:val="FF0000"/>
    </w:rPr>
  </w:style>
  <w:style w:customStyle="1" w:styleId="3Char0" w:type="character">
    <w:name w:val="正文文本缩进 3 Char"/>
    <w:basedOn w:val="a1"/>
    <w:link w:val="30"/>
    <w:uiPriority w:val="99"/>
    <w:rsid w:val="004061AC"/>
    <w:rPr>
      <w:rFonts w:ascii="Arial" w:cs="Arial" w:eastAsia="宋体" w:hAnsi="Arial"/>
      <w:color w:val="FF0000"/>
      <w:szCs w:val="21"/>
    </w:rPr>
  </w:style>
  <w:style w:styleId="a9" w:type="paragraph">
    <w:name w:val="header"/>
    <w:basedOn w:val="a"/>
    <w:link w:val="Char2"/>
    <w:uiPriority w:val="99"/>
    <w:rsid w:val="004061AC"/>
    <w:pPr>
      <w:pBdr>
        <w:bottom w:color="auto" w:space="1" w:sz="6" w:val="single"/>
      </w:pBdr>
      <w:tabs>
        <w:tab w:pos="4153" w:val="center"/>
        <w:tab w:pos="8306" w:val="right"/>
      </w:tabs>
      <w:snapToGrid w:val="0"/>
      <w:jc w:val="center"/>
    </w:pPr>
    <w:rPr>
      <w:sz w:val="18"/>
      <w:szCs w:val="18"/>
    </w:rPr>
  </w:style>
  <w:style w:customStyle="1" w:styleId="Char2" w:type="character">
    <w:name w:val="页眉 Char"/>
    <w:basedOn w:val="a1"/>
    <w:link w:val="a9"/>
    <w:uiPriority w:val="99"/>
    <w:rsid w:val="004061AC"/>
    <w:rPr>
      <w:rFonts w:ascii="Times New Roman" w:cs="Times New Roman" w:eastAsia="宋体" w:hAnsi="Times New Roman"/>
      <w:sz w:val="18"/>
      <w:szCs w:val="18"/>
    </w:rPr>
  </w:style>
  <w:style w:styleId="aa" w:type="character">
    <w:name w:val="FollowedHyperlink"/>
    <w:basedOn w:val="a1"/>
    <w:uiPriority w:val="99"/>
    <w:rsid w:val="004061AC"/>
    <w:rPr>
      <w:color w:val="800080"/>
      <w:u w:val="single"/>
    </w:rPr>
  </w:style>
  <w:style w:styleId="ab" w:type="paragraph">
    <w:name w:val="List"/>
    <w:basedOn w:val="ac"/>
    <w:uiPriority w:val="99"/>
    <w:rsid w:val="004061AC"/>
    <w:pPr>
      <w:spacing w:after="220" w:line="220" w:lineRule="atLeast"/>
      <w:ind w:hanging="360" w:left="1440"/>
    </w:pPr>
  </w:style>
  <w:style w:styleId="ac" w:type="paragraph">
    <w:name w:val="Body Text"/>
    <w:basedOn w:val="a"/>
    <w:link w:val="Char3"/>
    <w:uiPriority w:val="99"/>
    <w:rsid w:val="004061AC"/>
    <w:pPr>
      <w:spacing w:after="120"/>
    </w:pPr>
  </w:style>
  <w:style w:customStyle="1" w:styleId="Char3" w:type="character">
    <w:name w:val="正文文本 Char"/>
    <w:basedOn w:val="a1"/>
    <w:link w:val="ac"/>
    <w:uiPriority w:val="99"/>
    <w:rsid w:val="004061AC"/>
    <w:rPr>
      <w:rFonts w:ascii="Times New Roman" w:cs="Times New Roman" w:eastAsia="宋体" w:hAnsi="Times New Roman"/>
      <w:szCs w:val="21"/>
    </w:rPr>
  </w:style>
  <w:style w:styleId="ad" w:type="paragraph">
    <w:name w:val="Date"/>
    <w:basedOn w:val="a"/>
    <w:next w:val="a"/>
    <w:link w:val="Char4"/>
    <w:rsid w:val="004061AC"/>
    <w:rPr>
      <w:sz w:val="24"/>
      <w:szCs w:val="24"/>
    </w:rPr>
  </w:style>
  <w:style w:customStyle="1" w:styleId="Char4" w:type="character">
    <w:name w:val="日期 Char"/>
    <w:basedOn w:val="a1"/>
    <w:link w:val="ad"/>
    <w:rsid w:val="004061AC"/>
    <w:rPr>
      <w:rFonts w:ascii="Times New Roman" w:cs="Times New Roman" w:eastAsia="宋体" w:hAnsi="Times New Roman"/>
      <w:sz w:val="24"/>
      <w:szCs w:val="24"/>
    </w:rPr>
  </w:style>
  <w:style w:customStyle="1" w:styleId="c1" w:type="character">
    <w:name w:val="c1"/>
    <w:basedOn w:val="a1"/>
    <w:uiPriority w:val="99"/>
    <w:rsid w:val="004061AC"/>
    <w:rPr>
      <w:color w:val="000000"/>
      <w:sz w:val="18"/>
      <w:szCs w:val="18"/>
    </w:rPr>
  </w:style>
  <w:style w:styleId="10" w:type="paragraph">
    <w:name w:val="index 1"/>
    <w:basedOn w:val="a"/>
    <w:next w:val="a"/>
    <w:autoRedefine/>
    <w:uiPriority w:val="99"/>
    <w:semiHidden/>
    <w:rsid w:val="004061AC"/>
    <w:pPr>
      <w:jc w:val="right"/>
    </w:pPr>
    <w:rPr>
      <w:color w:val="008000"/>
    </w:rPr>
  </w:style>
  <w:style w:customStyle="1" w:styleId="font5" w:type="paragraph">
    <w:name w:val="font5"/>
    <w:basedOn w:val="a"/>
    <w:uiPriority w:val="99"/>
    <w:rsid w:val="004061AC"/>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rsid w:val="004061AC"/>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e" w:type="paragraph">
    <w:name w:val="Balloon Text"/>
    <w:basedOn w:val="a"/>
    <w:link w:val="Char5"/>
    <w:uiPriority w:val="99"/>
    <w:semiHidden/>
    <w:rsid w:val="004061AC"/>
    <w:rPr>
      <w:sz w:val="18"/>
      <w:szCs w:val="18"/>
    </w:rPr>
  </w:style>
  <w:style w:customStyle="1" w:styleId="Char5" w:type="character">
    <w:name w:val="批注框文本 Char"/>
    <w:basedOn w:val="a1"/>
    <w:link w:val="ae"/>
    <w:uiPriority w:val="99"/>
    <w:semiHidden/>
    <w:rsid w:val="004061AC"/>
    <w:rPr>
      <w:rFonts w:ascii="Times New Roman" w:cs="Times New Roman" w:eastAsia="宋体" w:hAnsi="Times New Roman"/>
      <w:sz w:val="18"/>
      <w:szCs w:val="18"/>
    </w:rPr>
  </w:style>
  <w:style w:styleId="af" w:type="character">
    <w:name w:val="annotation reference"/>
    <w:basedOn w:val="a1"/>
    <w:uiPriority w:val="99"/>
    <w:semiHidden/>
    <w:rsid w:val="004061AC"/>
    <w:rPr>
      <w:sz w:val="21"/>
      <w:szCs w:val="21"/>
    </w:rPr>
  </w:style>
  <w:style w:styleId="af0" w:type="paragraph">
    <w:name w:val="annotation text"/>
    <w:basedOn w:val="a"/>
    <w:link w:val="Char6"/>
    <w:uiPriority w:val="99"/>
    <w:semiHidden/>
    <w:rsid w:val="004061AC"/>
    <w:pPr>
      <w:jc w:val="left"/>
    </w:pPr>
  </w:style>
  <w:style w:customStyle="1" w:styleId="Char6" w:type="character">
    <w:name w:val="批注文字 Char"/>
    <w:basedOn w:val="a1"/>
    <w:link w:val="af0"/>
    <w:uiPriority w:val="99"/>
    <w:semiHidden/>
    <w:rsid w:val="004061AC"/>
    <w:rPr>
      <w:rFonts w:ascii="Times New Roman" w:cs="Times New Roman" w:eastAsia="宋体" w:hAnsi="Times New Roman"/>
      <w:szCs w:val="21"/>
    </w:rPr>
  </w:style>
  <w:style w:styleId="af1" w:type="paragraph">
    <w:name w:val="annotation subject"/>
    <w:basedOn w:val="af0"/>
    <w:next w:val="af0"/>
    <w:link w:val="Char7"/>
    <w:uiPriority w:val="99"/>
    <w:semiHidden/>
    <w:rsid w:val="004061AC"/>
    <w:rPr>
      <w:b/>
      <w:bCs/>
    </w:rPr>
  </w:style>
  <w:style w:customStyle="1" w:styleId="Char7" w:type="character">
    <w:name w:val="批注主题 Char"/>
    <w:basedOn w:val="Char6"/>
    <w:link w:val="af1"/>
    <w:uiPriority w:val="99"/>
    <w:semiHidden/>
    <w:rsid w:val="004061AC"/>
    <w:rPr>
      <w:rFonts w:ascii="Times New Roman" w:cs="Times New Roman" w:eastAsia="宋体" w:hAnsi="Times New Roman"/>
      <w:b/>
      <w:bCs/>
      <w:szCs w:val="21"/>
    </w:rPr>
  </w:style>
  <w:style w:customStyle="1" w:styleId="Char8" w:type="paragraph">
    <w:name w:val="Char"/>
    <w:basedOn w:val="a"/>
    <w:uiPriority w:val="99"/>
    <w:rsid w:val="004061AC"/>
  </w:style>
  <w:style w:styleId="af2" w:type="paragraph">
    <w:name w:val="Document Map"/>
    <w:basedOn w:val="a"/>
    <w:link w:val="Char9"/>
    <w:uiPriority w:val="99"/>
    <w:semiHidden/>
    <w:rsid w:val="004061AC"/>
    <w:pPr>
      <w:shd w:color="auto" w:fill="000080" w:val="clear"/>
    </w:pPr>
  </w:style>
  <w:style w:customStyle="1" w:styleId="Char9" w:type="character">
    <w:name w:val="文档结构图 Char"/>
    <w:basedOn w:val="a1"/>
    <w:link w:val="af2"/>
    <w:uiPriority w:val="99"/>
    <w:semiHidden/>
    <w:rsid w:val="004061AC"/>
    <w:rPr>
      <w:rFonts w:ascii="Times New Roman" w:cs="Times New Roman" w:eastAsia="宋体" w:hAnsi="Times New Roman"/>
      <w:szCs w:val="21"/>
      <w:shd w:color="auto" w:fill="000080" w:val="clear"/>
    </w:rPr>
  </w:style>
  <w:style w:customStyle="1" w:styleId="af3" w:type="paragraph">
    <w:name w:val="正文 + (符号) 宋体"/>
    <w:aliases w:val="小四,紧缩量  0.2 磅"/>
    <w:basedOn w:val="a"/>
    <w:uiPriority w:val="99"/>
    <w:rsid w:val="004061AC"/>
    <w:pPr>
      <w:autoSpaceDE w:val="0"/>
      <w:autoSpaceDN w:val="0"/>
      <w:adjustRightInd w:val="0"/>
      <w:ind w:firstLine="1229" w:firstLineChars="512" w:right="1409" w:rightChars="671"/>
      <w:jc w:val="distribute"/>
    </w:pPr>
    <w:rPr>
      <w:sz w:val="24"/>
      <w:szCs w:val="24"/>
    </w:rPr>
  </w:style>
  <w:style w:styleId="af4" w:type="paragraph">
    <w:name w:val="footnote text"/>
    <w:basedOn w:val="a"/>
    <w:link w:val="Chara"/>
    <w:rsid w:val="004061AC"/>
    <w:pPr>
      <w:snapToGrid w:val="0"/>
      <w:jc w:val="left"/>
    </w:pPr>
    <w:rPr>
      <w:sz w:val="18"/>
      <w:szCs w:val="18"/>
    </w:rPr>
  </w:style>
  <w:style w:customStyle="1" w:styleId="Chara" w:type="character">
    <w:name w:val="脚注文本 Char"/>
    <w:basedOn w:val="a1"/>
    <w:link w:val="af4"/>
    <w:rsid w:val="004061AC"/>
    <w:rPr>
      <w:rFonts w:ascii="Times New Roman" w:cs="Times New Roman" w:eastAsia="宋体" w:hAnsi="Times New Roman"/>
      <w:sz w:val="18"/>
      <w:szCs w:val="18"/>
    </w:rPr>
  </w:style>
  <w:style w:styleId="af5" w:type="character">
    <w:name w:val="footnote reference"/>
    <w:basedOn w:val="a1"/>
    <w:rsid w:val="004061AC"/>
    <w:rPr>
      <w:vertAlign w:val="superscript"/>
    </w:rPr>
  </w:style>
  <w:style w:styleId="af6" w:type="paragraph">
    <w:name w:val="Normal (Web)"/>
    <w:basedOn w:val="a"/>
    <w:uiPriority w:val="99"/>
    <w:rsid w:val="004061AC"/>
    <w:pPr>
      <w:widowControl/>
      <w:spacing w:after="100" w:afterAutospacing="1" w:before="100" w:beforeAutospacing="1"/>
      <w:jc w:val="left"/>
    </w:pPr>
    <w:rPr>
      <w:rFonts w:ascii="宋体" w:cs="宋体" w:hAnsi="宋体"/>
      <w:kern w:val="0"/>
      <w:sz w:val="24"/>
      <w:szCs w:val="24"/>
    </w:rPr>
  </w:style>
  <w:style w:styleId="af7" w:type="table">
    <w:name w:val="Table Grid"/>
    <w:basedOn w:val="a2"/>
    <w:qFormat/>
    <w:rsid w:val="004061AC"/>
    <w:pPr>
      <w:widowControl w:val="0"/>
      <w:jc w:val="both"/>
    </w:pPr>
    <w:rPr>
      <w:rFonts w:ascii="Times New Roman" w:cs="Times New Roman" w:eastAsia="宋体" w:hAnsi="Times New Roman"/>
      <w:kern w:val="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Char10" w:type="paragraph">
    <w:name w:val="Char1"/>
    <w:basedOn w:val="a"/>
    <w:uiPriority w:val="99"/>
    <w:rsid w:val="004061AC"/>
  </w:style>
  <w:style w:customStyle="1" w:styleId="CharCharCharCharCharChar1CharCharChar" w:type="paragraph">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styleId="af8" w:type="paragraph">
    <w:name w:val="Title"/>
    <w:basedOn w:val="a"/>
    <w:next w:val="a"/>
    <w:link w:val="Charb"/>
    <w:uiPriority w:val="99"/>
    <w:qFormat/>
    <w:rsid w:val="004061AC"/>
    <w:pPr>
      <w:spacing w:after="60" w:before="240"/>
      <w:jc w:val="center"/>
      <w:outlineLvl w:val="0"/>
    </w:pPr>
    <w:rPr>
      <w:rFonts w:ascii="Cambria" w:cs="Cambria" w:hAnsi="Cambria"/>
      <w:b/>
      <w:bCs/>
      <w:sz w:val="32"/>
      <w:szCs w:val="32"/>
    </w:rPr>
  </w:style>
  <w:style w:customStyle="1" w:styleId="Charb" w:type="character">
    <w:name w:val="标题 Char"/>
    <w:basedOn w:val="a1"/>
    <w:link w:val="af8"/>
    <w:uiPriority w:val="99"/>
    <w:rsid w:val="004061AC"/>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styleId="af9" w:type="paragraph">
    <w:name w:val="No Spacing"/>
    <w:link w:val="Charc"/>
    <w:uiPriority w:val="1"/>
    <w:qFormat/>
    <w:rsid w:val="004061AC"/>
    <w:rPr>
      <w:rFonts w:ascii="Calibri" w:cs="Calibri" w:eastAsia="宋体" w:hAnsi="Calibri"/>
      <w:kern w:val="0"/>
      <w:sz w:val="22"/>
    </w:rPr>
  </w:style>
  <w:style w:customStyle="1" w:styleId="Charc" w:type="character">
    <w:name w:val="无间隔 Char"/>
    <w:basedOn w:val="a1"/>
    <w:link w:val="af9"/>
    <w:uiPriority w:val="1"/>
    <w:locked/>
    <w:rsid w:val="004061AC"/>
    <w:rPr>
      <w:rFonts w:ascii="Calibri" w:cs="Calibri" w:eastAsia="宋体" w:hAnsi="Calibri"/>
      <w:kern w:val="0"/>
      <w:sz w:val="22"/>
    </w:rPr>
  </w:style>
  <w:style w:customStyle="1" w:styleId="t1" w:type="character">
    <w:name w:val="t1"/>
    <w:basedOn w:val="a1"/>
    <w:uiPriority w:val="99"/>
    <w:rsid w:val="004061AC"/>
    <w:rPr>
      <w:color w:val="auto"/>
    </w:rPr>
  </w:style>
  <w:style w:styleId="afa" w:type="paragraph">
    <w:name w:val="List Paragraph"/>
    <w:basedOn w:val="a"/>
    <w:uiPriority w:val="34"/>
    <w:qFormat/>
    <w:rsid w:val="00154BE1"/>
    <w:pPr>
      <w:ind w:firstLine="420" w:firstLineChars="200"/>
    </w:pPr>
  </w:style>
  <w:style w:customStyle="1" w:styleId="Default" w:type="paragraph">
    <w:name w:val="Default"/>
    <w:rsid w:val="00275745"/>
    <w:pPr>
      <w:widowControl w:val="0"/>
      <w:autoSpaceDE w:val="0"/>
      <w:autoSpaceDN w:val="0"/>
      <w:adjustRightInd w:val="0"/>
    </w:pPr>
    <w:rPr>
      <w:rFonts w:ascii="FangSong" w:cs="FangSong" w:eastAsia="宋体" w:hAnsi="FangSong"/>
      <w:color w:val="000000"/>
      <w:kern w:val="0"/>
      <w:sz w:val="24"/>
      <w:szCs w:val="24"/>
    </w:rPr>
  </w:style>
  <w:style w:styleId="afb" w:type="character">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fontTable.xml" Type="http://schemas.openxmlformats.org/officeDocument/2006/relationships/fontTable"/>
<Relationship Id="rId16"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24F61-935D-4852-8DB9-16A24A12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1828</TotalTime>
  <Pages>24</Pages>
  <Words>3807</Words>
  <Characters>21700</Characters>
  <Application>Microsoft Office Word</Application>
  <DocSecurity>0</DocSecurity>
  <Lines>180</Lines>
  <Paragraphs>50</Paragraphs>
  <ScaleCrop>false</ScaleCrop>
  <Company/>
  <LinksUpToDate>false</LinksUpToDate>
  <CharactersWithSpaces>25457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cp:lastModifiedBy>业务系统</cp:lastModifiedBy>
  <dcterms:modified xsi:type="dcterms:W3CDTF">2020-01-17T03:03:00Z</dcterms:modified>
  <cp:revision>600</cp:revision>
</cp:coreProperties>
</file>