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交银施罗德蓝筹混合型证券投资基金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2007年8月8日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2,414,307,056.28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75%×中证100指数+25%×中证综合债券指数</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本基金是一只混合型基金，以优质蓝筹股为主要投资对象，其风险和预期收益高于债券型基金和货币市场基金，低于股票型基金。属于承担较高风险、预期收益较高的证券投资基金品种。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236,800,164.67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-48,901,276.21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-0.0197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2,608,750,867.28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1.0805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-2.08%</w:t>
            </w:r>
          </w:p>
        </w:tc>
        <w:tc>
          <w:tcPr>
            <w:vAlign w:val="center"/>
          </w:tcPr>
          <w:p>
            <w:pPr>
              <w:jc w:val="center"/>
            </w:pPr>
            <w:r>
              <w:rPr>
                <w:color w:val="000000"/>
                <w:sz w:val="24"/>
                <w:szCs w:val="24"/>
              </w:rPr>
              <w:t>1.15%</w:t>
            </w:r>
          </w:p>
        </w:tc>
        <w:tc>
          <w:tcPr>
            <w:vAlign w:val="center"/>
          </w:tcPr>
          <w:p>
            <w:pPr>
              <w:jc w:val="center"/>
            </w:pPr>
            <w:r>
              <w:rPr>
                <w:color w:val="000000"/>
                <w:sz w:val="24"/>
                <w:szCs w:val="24"/>
              </w:rPr>
              <w:t>11.97%</w:t>
            </w:r>
          </w:p>
        </w:tc>
        <w:tc>
          <w:tcPr>
            <w:vAlign w:val="center"/>
          </w:tcPr>
          <w:p>
            <w:pPr>
              <w:jc w:val="center"/>
            </w:pPr>
            <w:r>
              <w:rPr>
                <w:color w:val="000000"/>
                <w:sz w:val="24"/>
                <w:szCs w:val="24"/>
              </w:rPr>
              <w:t>0.72%</w:t>
            </w:r>
          </w:p>
        </w:tc>
        <w:tc>
          <w:tcPr>
            <w:vAlign w:val="center"/>
          </w:tcPr>
          <w:p>
            <w:pPr>
              <w:jc w:val="center"/>
            </w:pPr>
            <w:r>
              <w:rPr>
                <w:color w:val="000000"/>
                <w:sz w:val="24"/>
                <w:szCs w:val="24"/>
              </w:rPr>
              <w:t>-14.05%</w:t>
            </w:r>
          </w:p>
        </w:tc>
        <w:tc>
          <w:tcPr>
            <w:vAlign w:val="center"/>
          </w:tcPr>
          <w:p>
            <w:pPr>
              <w:jc w:val="center"/>
            </w:pPr>
            <w:r>
              <w:rPr>
                <w:color w:val="000000"/>
                <w:sz w:val="24"/>
                <w:szCs w:val="24"/>
              </w:rPr>
              <w:t>0.43%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11.37%</w:t>
            </w:r>
          </w:p>
        </w:tc>
        <w:tc>
          <w:tcPr>
            <w:vAlign w:val="center"/>
          </w:tcPr>
          <w:p>
            <w:pPr>
              <w:jc w:val="center"/>
            </w:pPr>
            <w:r>
              <w:rPr>
                <w:color w:val="000000"/>
                <w:sz w:val="24"/>
                <w:szCs w:val="24"/>
              </w:rPr>
              <w:t>1.49%</w:t>
            </w:r>
          </w:p>
        </w:tc>
        <w:tc>
          <w:tcPr>
            <w:vAlign w:val="center"/>
          </w:tcPr>
          <w:p>
            <w:pPr>
              <w:jc w:val="center"/>
            </w:pPr>
            <w:r>
              <w:rPr>
                <w:color w:val="000000"/>
                <w:sz w:val="24"/>
                <w:szCs w:val="24"/>
              </w:rPr>
              <w:t>20.57%</w:t>
            </w:r>
          </w:p>
        </w:tc>
        <w:tc>
          <w:tcPr>
            <w:vAlign w:val="center"/>
          </w:tcPr>
          <w:p>
            <w:pPr>
              <w:jc w:val="center"/>
            </w:pPr>
            <w:r>
              <w:rPr>
                <w:color w:val="000000"/>
                <w:sz w:val="24"/>
                <w:szCs w:val="24"/>
              </w:rPr>
              <w:t>0.99%</w:t>
            </w:r>
          </w:p>
        </w:tc>
        <w:tc>
          <w:tcPr>
            <w:vAlign w:val="center"/>
          </w:tcPr>
          <w:p>
            <w:pPr>
              <w:jc w:val="center"/>
            </w:pPr>
            <w:r>
              <w:rPr>
                <w:color w:val="000000"/>
                <w:sz w:val="24"/>
                <w:szCs w:val="24"/>
              </w:rPr>
              <w:t>-9.20%</w:t>
            </w:r>
          </w:p>
        </w:tc>
        <w:tc>
          <w:tcPr>
            <w:vAlign w:val="center"/>
          </w:tcPr>
          <w:p>
            <w:pPr>
              <w:jc w:val="center"/>
            </w:pPr>
            <w:r>
              <w:rPr>
                <w:color w:val="000000"/>
                <w:sz w:val="24"/>
                <w:szCs w:val="24"/>
              </w:rPr>
              <w:t>0.50%</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49.54%</w:t>
            </w:r>
          </w:p>
        </w:tc>
        <w:tc>
          <w:tcPr>
            <w:vAlign w:val="center"/>
          </w:tcPr>
          <w:p>
            <w:pPr>
              <w:jc w:val="center"/>
            </w:pPr>
            <w:r>
              <w:rPr>
                <w:color w:val="000000"/>
                <w:sz w:val="24"/>
                <w:szCs w:val="24"/>
              </w:rPr>
              <w:t>1.59%</w:t>
            </w:r>
          </w:p>
        </w:tc>
        <w:tc>
          <w:tcPr>
            <w:vAlign w:val="center"/>
          </w:tcPr>
          <w:p>
            <w:pPr>
              <w:jc w:val="center"/>
            </w:pPr>
            <w:r>
              <w:rPr>
                <w:color w:val="000000"/>
                <w:sz w:val="24"/>
                <w:szCs w:val="24"/>
              </w:rPr>
              <w:t>18.99%</w:t>
            </w:r>
          </w:p>
        </w:tc>
        <w:tc>
          <w:tcPr>
            <w:vAlign w:val="center"/>
          </w:tcPr>
          <w:p>
            <w:pPr>
              <w:jc w:val="center"/>
            </w:pPr>
            <w:r>
              <w:rPr>
                <w:color w:val="000000"/>
                <w:sz w:val="24"/>
                <w:szCs w:val="24"/>
              </w:rPr>
              <w:t>1.04%</w:t>
            </w:r>
          </w:p>
        </w:tc>
        <w:tc>
          <w:tcPr>
            <w:vAlign w:val="center"/>
          </w:tcPr>
          <w:p>
            <w:pPr>
              <w:jc w:val="center"/>
            </w:pPr>
            <w:r>
              <w:rPr>
                <w:color w:val="000000"/>
                <w:sz w:val="24"/>
                <w:szCs w:val="24"/>
              </w:rPr>
              <w:t>30.55%</w:t>
            </w:r>
          </w:p>
        </w:tc>
        <w:tc>
          <w:tcPr>
            <w:vAlign w:val="center"/>
          </w:tcPr>
          <w:p>
            <w:pPr>
              <w:jc w:val="center"/>
            </w:pPr>
            <w:r>
              <w:rPr>
                <w:color w:val="000000"/>
                <w:sz w:val="24"/>
                <w:szCs w:val="24"/>
              </w:rPr>
              <w:t>0.55%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88.77%</w:t>
            </w:r>
          </w:p>
        </w:tc>
        <w:tc>
          <w:tcPr>
            <w:vAlign w:val="center"/>
          </w:tcPr>
          <w:p>
            <w:pPr>
              <w:jc w:val="center"/>
            </w:pPr>
            <w:r>
              <w:rPr>
                <w:color w:val="000000"/>
                <w:sz w:val="24"/>
                <w:szCs w:val="24"/>
              </w:rPr>
              <w:t>1.38%</w:t>
            </w:r>
          </w:p>
        </w:tc>
        <w:tc>
          <w:tcPr>
            <w:vAlign w:val="center"/>
          </w:tcPr>
          <w:p>
            <w:pPr>
              <w:jc w:val="center"/>
            </w:pPr>
            <w:r>
              <w:rPr>
                <w:color w:val="000000"/>
                <w:sz w:val="24"/>
                <w:szCs w:val="24"/>
              </w:rPr>
              <w:t>29.06%</w:t>
            </w:r>
          </w:p>
        </w:tc>
        <w:tc>
          <w:tcPr>
            <w:vAlign w:val="center"/>
          </w:tcPr>
          <w:p>
            <w:pPr>
              <w:jc w:val="center"/>
            </w:pPr>
            <w:r>
              <w:rPr>
                <w:color w:val="000000"/>
                <w:sz w:val="24"/>
                <w:szCs w:val="24"/>
              </w:rPr>
              <w:t>1.00%</w:t>
            </w:r>
          </w:p>
        </w:tc>
        <w:tc>
          <w:tcPr>
            <w:vAlign w:val="center"/>
          </w:tcPr>
          <w:p>
            <w:pPr>
              <w:jc w:val="center"/>
            </w:pPr>
            <w:r>
              <w:rPr>
                <w:color w:val="000000"/>
                <w:sz w:val="24"/>
                <w:szCs w:val="24"/>
              </w:rPr>
              <w:t>59.71%</w:t>
            </w:r>
          </w:p>
        </w:tc>
        <w:tc>
          <w:tcPr>
            <w:vAlign w:val="center"/>
          </w:tcPr>
          <w:p>
            <w:pPr>
              <w:jc w:val="center"/>
            </w:pPr>
            <w:r>
              <w:rPr>
                <w:color w:val="000000"/>
                <w:sz w:val="24"/>
                <w:szCs w:val="24"/>
              </w:rPr>
              <w:t>0.38%</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90.46%</w:t>
            </w:r>
          </w:p>
        </w:tc>
        <w:tc>
          <w:tcPr>
            <w:vAlign w:val="center"/>
          </w:tcPr>
          <w:p>
            <w:pPr>
              <w:jc w:val="center"/>
            </w:pPr>
            <w:r>
              <w:rPr>
                <w:color w:val="000000"/>
                <w:sz w:val="24"/>
                <w:szCs w:val="24"/>
              </w:rPr>
              <w:t>1.36%</w:t>
            </w:r>
          </w:p>
        </w:tc>
        <w:tc>
          <w:tcPr>
            <w:vAlign w:val="center"/>
          </w:tcPr>
          <w:p>
            <w:pPr>
              <w:jc w:val="center"/>
            </w:pPr>
            <w:r>
              <w:rPr>
                <w:color w:val="000000"/>
                <w:sz w:val="24"/>
                <w:szCs w:val="24"/>
              </w:rPr>
              <w:t>49.98%</w:t>
            </w:r>
          </w:p>
        </w:tc>
        <w:tc>
          <w:tcPr>
            <w:vAlign w:val="center"/>
          </w:tcPr>
          <w:p>
            <w:pPr>
              <w:jc w:val="center"/>
            </w:pPr>
            <w:r>
              <w:rPr>
                <w:color w:val="000000"/>
                <w:sz w:val="24"/>
                <w:szCs w:val="24"/>
              </w:rPr>
              <w:t>0.91%</w:t>
            </w:r>
          </w:p>
        </w:tc>
        <w:tc>
          <w:tcPr>
            <w:vAlign w:val="center"/>
          </w:tcPr>
          <w:p>
            <w:pPr>
              <w:jc w:val="center"/>
            </w:pPr>
            <w:r>
              <w:rPr>
                <w:color w:val="000000"/>
                <w:sz w:val="24"/>
                <w:szCs w:val="24"/>
              </w:rPr>
              <w:t>40.48%</w:t>
            </w:r>
          </w:p>
        </w:tc>
        <w:tc>
          <w:tcPr>
            <w:vAlign w:val="center"/>
          </w:tcPr>
          <w:p>
            <w:pPr>
              <w:jc w:val="center"/>
            </w:pPr>
            <w:r>
              <w:rPr>
                <w:color w:val="000000"/>
                <w:sz w:val="24"/>
                <w:szCs w:val="24"/>
              </w:rPr>
              <w:t>0.45%</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132.51%</w:t>
            </w:r>
          </w:p>
        </w:tc>
        <w:tc>
          <w:tcPr>
            <w:vAlign w:val="center"/>
          </w:tcPr>
          <w:p>
            <w:pPr>
              <w:jc w:val="center"/>
            </w:pPr>
            <w:r>
              <w:rPr>
                <w:color w:val="000000"/>
                <w:sz w:val="24"/>
                <w:szCs w:val="24"/>
              </w:rPr>
              <w:t>1.50%</w:t>
            </w:r>
          </w:p>
        </w:tc>
        <w:tc>
          <w:tcPr>
            <w:vAlign w:val="center"/>
          </w:tcPr>
          <w:p>
            <w:pPr>
              <w:jc w:val="center"/>
            </w:pPr>
            <w:r>
              <w:rPr>
                <w:color w:val="000000"/>
                <w:sz w:val="24"/>
                <w:szCs w:val="24"/>
              </w:rPr>
              <w:t>34.88%</w:t>
            </w:r>
          </w:p>
        </w:tc>
        <w:tc>
          <w:tcPr>
            <w:vAlign w:val="center"/>
          </w:tcPr>
          <w:p>
            <w:pPr>
              <w:jc w:val="center"/>
            </w:pPr>
            <w:r>
              <w:rPr>
                <w:color w:val="000000"/>
                <w:sz w:val="24"/>
                <w:szCs w:val="24"/>
              </w:rPr>
              <w:t>1.27%</w:t>
            </w:r>
          </w:p>
        </w:tc>
        <w:tc>
          <w:tcPr>
            <w:vAlign w:val="center"/>
          </w:tcPr>
          <w:p>
            <w:pPr>
              <w:jc w:val="center"/>
            </w:pPr>
            <w:r>
              <w:rPr>
                <w:color w:val="000000"/>
                <w:sz w:val="24"/>
                <w:szCs w:val="24"/>
              </w:rPr>
              <w:t>97.63%</w:t>
            </w:r>
          </w:p>
        </w:tc>
        <w:tc>
          <w:tcPr>
            <w:vAlign w:val="center"/>
          </w:tcPr>
          <w:p>
            <w:pPr>
              <w:jc w:val="center"/>
            </w:pPr>
            <w:r>
              <w:rPr>
                <w:color w:val="000000"/>
                <w:sz w:val="24"/>
                <w:szCs w:val="24"/>
              </w:rPr>
              <w:t>0.23%</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中证100指数+25%×中信全债指数”变更为“75%×中证100指数+25%×中证综合债券指数”，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交银施罗德蓝筹混合型证券投资基金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2007年8月8日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王少成</w:t>
            </w:r>
          </w:p>
        </w:tc>
        <w:tc>
          <w:tcPr>
            <w:vAlign w:val="center"/>
          </w:tcPr>
          <w:p>
            <w:pPr>
              <w:jc w:val="center"/>
            </w:pPr>
            <w:r>
              <w:rPr>
                <w:color w:val="000000"/>
                <w:sz w:val="24"/>
                <w:szCs w:val="24"/>
              </w:rPr>
              <w:t>交银成长混合、交银蓝筹混合的基金经理，公司权益投资总监</w:t>
            </w:r>
          </w:p>
        </w:tc>
        <w:tc>
          <w:tcPr>
            <w:vAlign w:val="center"/>
          </w:tcPr>
          <w:p>
            <w:pPr>
              <w:jc w:val="center"/>
            </w:pPr>
            <w:r>
              <w:rPr>
                <w:color w:val="000000"/>
                <w:sz w:val="24"/>
                <w:szCs w:val="24"/>
              </w:rPr>
              <w:t>2018-09-28</w:t>
            </w:r>
          </w:p>
        </w:tc>
        <w:tc>
          <w:tcPr>
            <w:vAlign w:val="center"/>
          </w:tcPr>
          <w:p>
            <w:pPr>
              <w:jc w:val="center"/>
            </w:pPr>
            <w:r>
              <w:rPr>
                <w:color w:val="000000"/>
                <w:sz w:val="24"/>
                <w:szCs w:val="24"/>
              </w:rPr>
              <w:t>-</w:t>
            </w:r>
          </w:p>
        </w:tc>
        <w:tc>
          <w:tcPr>
            <w:vAlign w:val="center"/>
          </w:tcPr>
          <w:p>
            <w:pPr>
              <w:jc w:val="center"/>
            </w:pPr>
            <w:r>
              <w:rPr>
                <w:color w:val="000000"/>
                <w:sz w:val="24"/>
                <w:szCs w:val="24"/>
              </w:rPr>
              <w:t>16年</w:t>
            </w:r>
          </w:p>
        </w:tc>
        <w:tc>
          <w:tcPr>
            <w:vAlign w:val="center"/>
          </w:tcPr>
          <w:p>
            <w:pPr>
              <w:jc w:val="both"/>
            </w:pPr>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银施罗德基金管理有限公司，历任公司权益部副总经理。2013年3月21日至2015年8月14日担任交银施罗德先进制造混合型证券投资基金（原交银施罗德先进制造股票证券投资基金）基金经理，2013年5月29日至2015年8月14日担任交银施罗德先锋混合型证券投资基金（原交银施罗德先锋股票证券投资基金）基金经理，2015年11月7日至2018年5月15日担任交银施罗德荣和保本混合型证券投资基金的基金经理，2015年11月7日至2018年6月7日担任交银施罗德策略回报灵活配置混合型证券投资基金的基金经理。2013年7月2日至2019年6月17日担任交银施罗德成长30混合型证券投资基金的基金经理。2018年8月24日至2019年8月28日担任交银施罗德恒益灵活配置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国内社融增速阶段性见顶，后续整体政策格局呈现宽货币紧信用的状态。国内宏观经济当下的不均衡复苏整体表现在供给强于需求、上游强于下游、终端需求偏弱，当前格局难以支持经济内生性持续扩张，且对外需依赖度过高，但面临海外竞争对手挑战。进入四季度国内经济、信用和流动性状况已经不支持经济和市场的持续修复，需要一段时间的整固，等待经济理顺内外需相对强弱、原材料和产成品价格相对强弱、信用风险重新定价、流动性从中性偏紧转向中性偏松，金融环境从紧货币宽信用逐步转向稳货币紧信用。</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从多个尺度观察目前权益市场估值水平以及风险溢价都难言低价，且下半年以来市场走势就高度依赖短端利率，预计市场处于需要调整、等待盈利继续增长消化估值的阶段。特别是四季度以来二级市场出现了明显的流动性分层，其后续演化值得关注。国内宏观经济非均匀复苏使得线下行业、服务业以及非高端消费行业修复被额外推后，后续复苏后期弹性应该更大，我们看好新能源汽车，必须消费和教育服务相关板块持续的超额收益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2,254,517,613.55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2,254,517,613.55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84.32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164,911,000.00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164,911,000.00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6.17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251,590,095.00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9.41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2,774,270.06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0.10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2,673,792,978.61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41,061,771.80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1.57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1,598,247,147.81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87,386,898.20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19,998.88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201,877,253.29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8,975.14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19,228,337.84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15,081.10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306,607,565.50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11.75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48,261.27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2,254,517,613.55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86.42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603517</w:t>
            </w:r>
          </w:p>
        </w:tc>
        <w:tc>
          <w:tcPr>
            <w:vAlign w:val="center"/>
          </w:tcPr>
          <w:p>
            <w:pPr>
              <w:jc w:val="center"/>
            </w:pPr>
            <w:r>
              <w:rPr>
                <w:color w:val="000000"/>
                <w:sz w:val="24"/>
                <w:szCs w:val="24"/>
              </w:rPr>
              <w:t>绝味食品</w:t>
            </w:r>
          </w:p>
        </w:tc>
        <w:tc>
          <w:tcPr>
            <w:vAlign w:val="center"/>
          </w:tcPr>
          <w:p>
            <w:pPr>
              <w:jc w:val="right"/>
            </w:pPr>
            <w:r>
              <w:rPr>
                <w:color w:val="000000"/>
                <w:sz w:val="24"/>
                <w:szCs w:val="24"/>
              </w:rPr>
              <w:t>3,318,718</w:t>
            </w:r>
          </w:p>
        </w:tc>
        <w:tc>
          <w:tcPr>
            <w:vAlign w:val="center"/>
          </w:tcPr>
          <w:p>
            <w:pPr>
              <w:jc w:val="right"/>
            </w:pPr>
            <w:r>
              <w:rPr>
                <w:color w:val="000000"/>
                <w:sz w:val="24"/>
                <w:szCs w:val="24"/>
              </w:rPr>
              <w:t>257,333,393.72</w:t>
            </w:r>
          </w:p>
        </w:tc>
        <w:tc>
          <w:tcPr>
            <w:vAlign w:val="center"/>
          </w:tcPr>
          <w:p>
            <w:pPr>
              <w:jc w:val="right"/>
            </w:pPr>
            <w:r>
              <w:rPr>
                <w:color w:val="000000"/>
                <w:sz w:val="24"/>
                <w:szCs w:val="24"/>
              </w:rPr>
              <w:t>9.86</w:t>
            </w:r>
          </w:p>
        </w:tc>
      </w:tr>
      <w:tr>
        <w:tc>
          <w:tcPr>
            <w:vAlign w:val="center"/>
          </w:tcPr>
          <w:p>
            <w:pPr>
              <w:jc w:val="center"/>
            </w:pPr>
            <w:r>
              <w:rPr>
                <w:color w:val="000000"/>
                <w:sz w:val="24"/>
                <w:szCs w:val="24"/>
              </w:rPr>
              <w:t>2</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9,482,213</w:t>
            </w:r>
          </w:p>
        </w:tc>
        <w:tc>
          <w:tcPr>
            <w:vAlign w:val="center"/>
          </w:tcPr>
          <w:p>
            <w:pPr>
              <w:jc w:val="right"/>
            </w:pPr>
            <w:r>
              <w:rPr>
                <w:color w:val="000000"/>
                <w:sz w:val="24"/>
                <w:szCs w:val="24"/>
              </w:rPr>
              <w:t>246,063,427.35</w:t>
            </w:r>
          </w:p>
        </w:tc>
        <w:tc>
          <w:tcPr>
            <w:vAlign w:val="center"/>
          </w:tcPr>
          <w:p>
            <w:pPr>
              <w:jc w:val="right"/>
            </w:pPr>
            <w:r>
              <w:rPr>
                <w:color w:val="000000"/>
                <w:sz w:val="24"/>
                <w:szCs w:val="24"/>
              </w:rPr>
              <w:t>9.43</w:t>
            </w:r>
          </w:p>
        </w:tc>
      </w:tr>
      <w:tr>
        <w:tc>
          <w:tcPr>
            <w:vAlign w:val="center"/>
          </w:tcPr>
          <w:p>
            <w:pPr>
              <w:jc w:val="center"/>
            </w:pPr>
            <w:r>
              <w:rPr>
                <w:color w:val="000000"/>
                <w:sz w:val="24"/>
                <w:szCs w:val="24"/>
              </w:rPr>
              <w:t>3</w:t>
            </w:r>
          </w:p>
        </w:tc>
        <w:tc>
          <w:tcPr>
            <w:vAlign w:val="center"/>
          </w:tcPr>
          <w:p>
            <w:pPr>
              <w:jc w:val="center"/>
            </w:pPr>
            <w:r>
              <w:rPr>
                <w:color w:val="000000"/>
                <w:sz w:val="24"/>
                <w:szCs w:val="24"/>
              </w:rPr>
              <w:t>002607</w:t>
            </w:r>
          </w:p>
        </w:tc>
        <w:tc>
          <w:tcPr>
            <w:vAlign w:val="center"/>
          </w:tcPr>
          <w:p>
            <w:pPr>
              <w:jc w:val="center"/>
            </w:pPr>
            <w:r>
              <w:rPr>
                <w:color w:val="000000"/>
                <w:sz w:val="24"/>
                <w:szCs w:val="24"/>
              </w:rPr>
              <w:t>中公教育</w:t>
            </w:r>
          </w:p>
        </w:tc>
        <w:tc>
          <w:tcPr>
            <w:vAlign w:val="center"/>
          </w:tcPr>
          <w:p>
            <w:pPr>
              <w:jc w:val="right"/>
            </w:pPr>
            <w:r>
              <w:rPr>
                <w:color w:val="000000"/>
                <w:sz w:val="24"/>
                <w:szCs w:val="24"/>
              </w:rPr>
              <w:t>6,682,462</w:t>
            </w:r>
          </w:p>
        </w:tc>
        <w:tc>
          <w:tcPr>
            <w:vAlign w:val="center"/>
          </w:tcPr>
          <w:p>
            <w:pPr>
              <w:jc w:val="right"/>
            </w:pPr>
            <w:r>
              <w:rPr>
                <w:color w:val="000000"/>
                <w:sz w:val="24"/>
                <w:szCs w:val="24"/>
              </w:rPr>
              <w:t>234,754,890.06</w:t>
            </w:r>
          </w:p>
        </w:tc>
        <w:tc>
          <w:tcPr>
            <w:vAlign w:val="center"/>
          </w:tcPr>
          <w:p>
            <w:pPr>
              <w:jc w:val="right"/>
            </w:pPr>
            <w:r>
              <w:rPr>
                <w:color w:val="000000"/>
                <w:sz w:val="24"/>
                <w:szCs w:val="24"/>
              </w:rPr>
              <w:t>9.00</w:t>
            </w:r>
          </w:p>
        </w:tc>
      </w:tr>
      <w:tr>
        <w:tc>
          <w:tcPr>
            <w:vAlign w:val="center"/>
          </w:tcPr>
          <w:p>
            <w:pPr>
              <w:jc w:val="center"/>
            </w:pPr>
            <w:r>
              <w:rPr>
                <w:color w:val="000000"/>
                <w:sz w:val="24"/>
                <w:szCs w:val="24"/>
              </w:rPr>
              <w:t>4</w:t>
            </w:r>
          </w:p>
        </w:tc>
        <w:tc>
          <w:tcPr>
            <w:vAlign w:val="center"/>
          </w:tcPr>
          <w:p>
            <w:pPr>
              <w:jc w:val="center"/>
            </w:pPr>
            <w:r>
              <w:rPr>
                <w:color w:val="000000"/>
                <w:sz w:val="24"/>
                <w:szCs w:val="24"/>
              </w:rPr>
              <w:t>603707</w:t>
            </w:r>
          </w:p>
        </w:tc>
        <w:tc>
          <w:tcPr>
            <w:vAlign w:val="center"/>
          </w:tcPr>
          <w:p>
            <w:pPr>
              <w:jc w:val="center"/>
            </w:pPr>
            <w:r>
              <w:rPr>
                <w:color w:val="000000"/>
                <w:sz w:val="24"/>
                <w:szCs w:val="24"/>
              </w:rPr>
              <w:t>健友股份</w:t>
            </w:r>
          </w:p>
        </w:tc>
        <w:tc>
          <w:tcPr>
            <w:vAlign w:val="center"/>
          </w:tcPr>
          <w:p>
            <w:pPr>
              <w:jc w:val="right"/>
            </w:pPr>
            <w:r>
              <w:rPr>
                <w:color w:val="000000"/>
                <w:sz w:val="24"/>
                <w:szCs w:val="24"/>
              </w:rPr>
              <w:t>6,638,598</w:t>
            </w:r>
          </w:p>
        </w:tc>
        <w:tc>
          <w:tcPr>
            <w:vAlign w:val="center"/>
          </w:tcPr>
          <w:p>
            <w:pPr>
              <w:jc w:val="right"/>
            </w:pPr>
            <w:r>
              <w:rPr>
                <w:color w:val="000000"/>
                <w:sz w:val="24"/>
                <w:szCs w:val="24"/>
              </w:rPr>
              <w:t>233,213,947.74</w:t>
            </w:r>
          </w:p>
        </w:tc>
        <w:tc>
          <w:tcPr>
            <w:vAlign w:val="center"/>
          </w:tcPr>
          <w:p>
            <w:pPr>
              <w:jc w:val="right"/>
            </w:pPr>
            <w:r>
              <w:rPr>
                <w:color w:val="000000"/>
                <w:sz w:val="24"/>
                <w:szCs w:val="24"/>
              </w:rPr>
              <w:t>8.94</w:t>
            </w:r>
          </w:p>
        </w:tc>
      </w:tr>
      <w:tr>
        <w:tc>
          <w:tcPr>
            <w:vAlign w:val="center"/>
          </w:tcPr>
          <w:p>
            <w:pPr>
              <w:jc w:val="center"/>
            </w:pPr>
            <w:r>
              <w:rPr>
                <w:color w:val="000000"/>
                <w:sz w:val="24"/>
                <w:szCs w:val="24"/>
              </w:rPr>
              <w:t>5</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1,741,714</w:t>
            </w:r>
          </w:p>
        </w:tc>
        <w:tc>
          <w:tcPr>
            <w:vAlign w:val="center"/>
          </w:tcPr>
          <w:p>
            <w:pPr>
              <w:jc w:val="right"/>
            </w:pPr>
            <w:r>
              <w:rPr>
                <w:color w:val="000000"/>
                <w:sz w:val="24"/>
                <w:szCs w:val="24"/>
              </w:rPr>
              <w:t>233,058,750.34</w:t>
            </w:r>
          </w:p>
        </w:tc>
        <w:tc>
          <w:tcPr>
            <w:vAlign w:val="center"/>
          </w:tcPr>
          <w:p>
            <w:pPr>
              <w:jc w:val="right"/>
            </w:pPr>
            <w:r>
              <w:rPr>
                <w:color w:val="000000"/>
                <w:sz w:val="24"/>
                <w:szCs w:val="24"/>
              </w:rPr>
              <w:t>8.93</w:t>
            </w:r>
          </w:p>
        </w:tc>
      </w:tr>
      <w:tr>
        <w:tc>
          <w:tcPr>
            <w:vAlign w:val="center"/>
          </w:tcPr>
          <w:p>
            <w:pPr>
              <w:jc w:val="center"/>
            </w:pPr>
            <w:r>
              <w:rPr>
                <w:color w:val="000000"/>
                <w:sz w:val="24"/>
                <w:szCs w:val="24"/>
              </w:rPr>
              <w:t>6</w:t>
            </w:r>
          </w:p>
        </w:tc>
        <w:tc>
          <w:tcPr>
            <w:vAlign w:val="center"/>
          </w:tcPr>
          <w:p>
            <w:pPr>
              <w:jc w:val="center"/>
            </w:pPr>
            <w:r>
              <w:rPr>
                <w:color w:val="000000"/>
                <w:sz w:val="24"/>
                <w:szCs w:val="24"/>
              </w:rPr>
              <w:t>002311</w:t>
            </w:r>
          </w:p>
        </w:tc>
        <w:tc>
          <w:tcPr>
            <w:vAlign w:val="center"/>
          </w:tcPr>
          <w:p>
            <w:pPr>
              <w:jc w:val="center"/>
            </w:pPr>
            <w:r>
              <w:rPr>
                <w:color w:val="000000"/>
                <w:sz w:val="24"/>
                <w:szCs w:val="24"/>
              </w:rPr>
              <w:t>海大集团</w:t>
            </w:r>
          </w:p>
        </w:tc>
        <w:tc>
          <w:tcPr>
            <w:vAlign w:val="center"/>
          </w:tcPr>
          <w:p>
            <w:pPr>
              <w:jc w:val="right"/>
            </w:pPr>
            <w:r>
              <w:rPr>
                <w:color w:val="000000"/>
                <w:sz w:val="24"/>
                <w:szCs w:val="24"/>
              </w:rPr>
              <w:t>2,333,340</w:t>
            </w:r>
          </w:p>
        </w:tc>
        <w:tc>
          <w:tcPr>
            <w:vAlign w:val="center"/>
          </w:tcPr>
          <w:p>
            <w:pPr>
              <w:jc w:val="right"/>
            </w:pPr>
            <w:r>
              <w:rPr>
                <w:color w:val="000000"/>
                <w:sz w:val="24"/>
                <w:szCs w:val="24"/>
              </w:rPr>
              <w:t>152,833,770.00</w:t>
            </w:r>
          </w:p>
        </w:tc>
        <w:tc>
          <w:tcPr>
            <w:vAlign w:val="center"/>
          </w:tcPr>
          <w:p>
            <w:pPr>
              <w:jc w:val="right"/>
            </w:pPr>
            <w:r>
              <w:rPr>
                <w:color w:val="000000"/>
                <w:sz w:val="24"/>
                <w:szCs w:val="24"/>
              </w:rPr>
              <w:t>5.86</w:t>
            </w:r>
          </w:p>
        </w:tc>
      </w:tr>
      <w:tr>
        <w:tc>
          <w:tcPr>
            <w:vAlign w:val="center"/>
          </w:tcPr>
          <w:p>
            <w:pPr>
              <w:jc w:val="center"/>
            </w:pPr>
            <w:r>
              <w:rPr>
                <w:color w:val="000000"/>
                <w:sz w:val="24"/>
                <w:szCs w:val="24"/>
              </w:rPr>
              <w:t>7</w:t>
            </w:r>
          </w:p>
        </w:tc>
        <w:tc>
          <w:tcPr>
            <w:vAlign w:val="center"/>
          </w:tcPr>
          <w:p>
            <w:pPr>
              <w:jc w:val="center"/>
            </w:pPr>
            <w:r>
              <w:rPr>
                <w:color w:val="000000"/>
                <w:sz w:val="24"/>
                <w:szCs w:val="24"/>
              </w:rPr>
              <w:t>603866</w:t>
            </w:r>
          </w:p>
        </w:tc>
        <w:tc>
          <w:tcPr>
            <w:vAlign w:val="center"/>
          </w:tcPr>
          <w:p>
            <w:pPr>
              <w:jc w:val="center"/>
            </w:pPr>
            <w:r>
              <w:rPr>
                <w:color w:val="000000"/>
                <w:sz w:val="24"/>
                <w:szCs w:val="24"/>
              </w:rPr>
              <w:t>桃李面包</w:t>
            </w:r>
          </w:p>
        </w:tc>
        <w:tc>
          <w:tcPr>
            <w:vAlign w:val="center"/>
          </w:tcPr>
          <w:p>
            <w:pPr>
              <w:jc w:val="right"/>
            </w:pPr>
            <w:r>
              <w:rPr>
                <w:color w:val="000000"/>
                <w:sz w:val="24"/>
                <w:szCs w:val="24"/>
              </w:rPr>
              <w:t>2,211,959</w:t>
            </w:r>
          </w:p>
        </w:tc>
        <w:tc>
          <w:tcPr>
            <w:vAlign w:val="center"/>
          </w:tcPr>
          <w:p>
            <w:pPr>
              <w:jc w:val="right"/>
            </w:pPr>
            <w:r>
              <w:rPr>
                <w:color w:val="000000"/>
                <w:sz w:val="24"/>
                <w:szCs w:val="24"/>
              </w:rPr>
              <w:t>130,726,776.90</w:t>
            </w:r>
          </w:p>
        </w:tc>
        <w:tc>
          <w:tcPr>
            <w:vAlign w:val="center"/>
          </w:tcPr>
          <w:p>
            <w:pPr>
              <w:jc w:val="right"/>
            </w:pPr>
            <w:r>
              <w:rPr>
                <w:color w:val="000000"/>
                <w:sz w:val="24"/>
                <w:szCs w:val="24"/>
              </w:rPr>
              <w:t>5.01</w:t>
            </w:r>
          </w:p>
        </w:tc>
      </w:tr>
      <w:tr>
        <w:tc>
          <w:tcPr>
            <w:vAlign w:val="center"/>
          </w:tcPr>
          <w:p>
            <w:pPr>
              <w:jc w:val="center"/>
            </w:pPr>
            <w:r>
              <w:rPr>
                <w:color w:val="000000"/>
                <w:sz w:val="24"/>
                <w:szCs w:val="24"/>
              </w:rPr>
              <w:t>8</w:t>
            </w:r>
          </w:p>
        </w:tc>
        <w:tc>
          <w:tcPr>
            <w:vAlign w:val="center"/>
          </w:tcPr>
          <w:p>
            <w:pPr>
              <w:jc w:val="center"/>
            </w:pPr>
            <w:r>
              <w:rPr>
                <w:color w:val="000000"/>
                <w:sz w:val="24"/>
                <w:szCs w:val="24"/>
              </w:rPr>
              <w:t>688188</w:t>
            </w:r>
          </w:p>
        </w:tc>
        <w:tc>
          <w:tcPr>
            <w:vAlign w:val="center"/>
          </w:tcPr>
          <w:p>
            <w:pPr>
              <w:jc w:val="center"/>
            </w:pPr>
            <w:r>
              <w:rPr>
                <w:color w:val="000000"/>
                <w:sz w:val="24"/>
                <w:szCs w:val="24"/>
              </w:rPr>
              <w:t>柏楚电子</w:t>
            </w:r>
          </w:p>
        </w:tc>
        <w:tc>
          <w:tcPr>
            <w:vAlign w:val="center"/>
          </w:tcPr>
          <w:p>
            <w:pPr>
              <w:jc w:val="right"/>
            </w:pPr>
            <w:r>
              <w:rPr>
                <w:color w:val="000000"/>
                <w:sz w:val="24"/>
                <w:szCs w:val="24"/>
              </w:rPr>
              <w:t>452,358</w:t>
            </w:r>
          </w:p>
        </w:tc>
        <w:tc>
          <w:tcPr>
            <w:vAlign w:val="center"/>
          </w:tcPr>
          <w:p>
            <w:pPr>
              <w:jc w:val="right"/>
            </w:pPr>
            <w:r>
              <w:rPr>
                <w:color w:val="000000"/>
                <w:sz w:val="24"/>
                <w:szCs w:val="24"/>
              </w:rPr>
              <w:t>119,250,615.96</w:t>
            </w:r>
          </w:p>
        </w:tc>
        <w:tc>
          <w:tcPr>
            <w:vAlign w:val="center"/>
          </w:tcPr>
          <w:p>
            <w:pPr>
              <w:jc w:val="right"/>
            </w:pPr>
            <w:r>
              <w:rPr>
                <w:color w:val="000000"/>
                <w:sz w:val="24"/>
                <w:szCs w:val="24"/>
              </w:rPr>
              <w:t>4.57</w:t>
            </w:r>
          </w:p>
        </w:tc>
      </w:tr>
      <w:tr>
        <w:tc>
          <w:tcPr>
            <w:vAlign w:val="center"/>
          </w:tcPr>
          <w:p>
            <w:pPr>
              <w:jc w:val="center"/>
            </w:pPr>
            <w:r>
              <w:rPr>
                <w:color w:val="000000"/>
                <w:sz w:val="24"/>
                <w:szCs w:val="24"/>
              </w:rPr>
              <w:t>9</w:t>
            </w:r>
          </w:p>
        </w:tc>
        <w:tc>
          <w:tcPr>
            <w:vAlign w:val="center"/>
          </w:tcPr>
          <w:p>
            <w:pPr>
              <w:jc w:val="center"/>
            </w:pPr>
            <w:r>
              <w:rPr>
                <w:color w:val="000000"/>
                <w:sz w:val="24"/>
                <w:szCs w:val="24"/>
              </w:rPr>
              <w:t>002989</w:t>
            </w:r>
          </w:p>
        </w:tc>
        <w:tc>
          <w:tcPr>
            <w:vAlign w:val="center"/>
          </w:tcPr>
          <w:p>
            <w:pPr>
              <w:jc w:val="center"/>
            </w:pPr>
            <w:r>
              <w:rPr>
                <w:color w:val="000000"/>
                <w:sz w:val="24"/>
                <w:szCs w:val="24"/>
              </w:rPr>
              <w:t>中天精装</w:t>
            </w:r>
          </w:p>
        </w:tc>
        <w:tc>
          <w:tcPr>
            <w:vAlign w:val="center"/>
          </w:tcPr>
          <w:p>
            <w:pPr>
              <w:jc w:val="right"/>
            </w:pPr>
            <w:r>
              <w:rPr>
                <w:color w:val="000000"/>
                <w:sz w:val="24"/>
                <w:szCs w:val="24"/>
              </w:rPr>
              <w:t>2,355,442</w:t>
            </w:r>
          </w:p>
        </w:tc>
        <w:tc>
          <w:tcPr>
            <w:vAlign w:val="center"/>
          </w:tcPr>
          <w:p>
            <w:pPr>
              <w:jc w:val="right"/>
            </w:pPr>
            <w:r>
              <w:rPr>
                <w:color w:val="000000"/>
                <w:sz w:val="24"/>
                <w:szCs w:val="24"/>
              </w:rPr>
              <w:t>87,386,898.20</w:t>
            </w:r>
          </w:p>
        </w:tc>
        <w:tc>
          <w:tcPr>
            <w:vAlign w:val="center"/>
          </w:tcPr>
          <w:p>
            <w:pPr>
              <w:jc w:val="right"/>
            </w:pPr>
            <w:r>
              <w:rPr>
                <w:color w:val="000000"/>
                <w:sz w:val="24"/>
                <w:szCs w:val="24"/>
              </w:rPr>
              <w:t>3.35</w:t>
            </w:r>
          </w:p>
        </w:tc>
      </w:tr>
      <w:tr>
        <w:tc>
          <w:tcPr>
            <w:vAlign w:val="center"/>
          </w:tcPr>
          <w:p>
            <w:pPr>
              <w:jc w:val="center"/>
            </w:pPr>
            <w:r>
              <w:rPr>
                <w:color w:val="000000"/>
                <w:sz w:val="24"/>
                <w:szCs w:val="24"/>
              </w:rPr>
              <w:t>10</w:t>
            </w:r>
          </w:p>
        </w:tc>
        <w:tc>
          <w:tcPr>
            <w:vAlign w:val="center"/>
          </w:tcPr>
          <w:p>
            <w:pPr>
              <w:jc w:val="center"/>
            </w:pPr>
            <w:r>
              <w:rPr>
                <w:color w:val="000000"/>
                <w:sz w:val="24"/>
                <w:szCs w:val="24"/>
              </w:rPr>
              <w:t>000526</w:t>
            </w:r>
          </w:p>
        </w:tc>
        <w:tc>
          <w:tcPr>
            <w:vAlign w:val="center"/>
          </w:tcPr>
          <w:p>
            <w:pPr>
              <w:jc w:val="center"/>
            </w:pPr>
            <w:r>
              <w:rPr>
                <w:color w:val="000000"/>
                <w:sz w:val="24"/>
                <w:szCs w:val="24"/>
              </w:rPr>
              <w:t>紫光学大</w:t>
            </w:r>
          </w:p>
        </w:tc>
        <w:tc>
          <w:tcPr>
            <w:vAlign w:val="center"/>
          </w:tcPr>
          <w:p>
            <w:pPr>
              <w:jc w:val="right"/>
            </w:pPr>
            <w:r>
              <w:rPr>
                <w:color w:val="000000"/>
                <w:sz w:val="24"/>
                <w:szCs w:val="24"/>
              </w:rPr>
              <w:t>1,371,496</w:t>
            </w:r>
          </w:p>
        </w:tc>
        <w:tc>
          <w:tcPr>
            <w:vAlign w:val="center"/>
          </w:tcPr>
          <w:p>
            <w:pPr>
              <w:jc w:val="right"/>
            </w:pPr>
            <w:r>
              <w:rPr>
                <w:color w:val="000000"/>
                <w:sz w:val="24"/>
                <w:szCs w:val="24"/>
              </w:rPr>
              <w:t>71,852,675.44</w:t>
            </w:r>
          </w:p>
        </w:tc>
        <w:tc>
          <w:tcPr>
            <w:vAlign w:val="center"/>
          </w:tcPr>
          <w:p>
            <w:pPr>
              <w:jc w:val="right"/>
            </w:pPr>
            <w:r>
              <w:rPr>
                <w:color w:val="000000"/>
                <w:sz w:val="24"/>
                <w:szCs w:val="24"/>
              </w:rPr>
              <w:t>2.75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159,360,000.00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6.11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159,360,000.00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6.11</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5,551,000.00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0.21</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164,911,000.00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6.32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1,600,000</w:t>
            </w:r>
          </w:p>
        </w:tc>
        <w:tc>
          <w:tcPr>
            <w:vAlign w:val="center"/>
          </w:tcPr>
          <w:p>
            <w:pPr>
              <w:jc w:val="right"/>
            </w:pPr>
            <w:r>
              <w:rPr>
                <w:color w:val="000000"/>
                <w:sz w:val="24"/>
                <w:szCs w:val="24"/>
              </w:rPr>
              <w:t>159,360,000.00</w:t>
            </w:r>
          </w:p>
        </w:tc>
        <w:tc>
          <w:tcPr>
            <w:vAlign w:val="center"/>
          </w:tcPr>
          <w:p>
            <w:pPr>
              <w:jc w:val="right"/>
            </w:pPr>
            <w:r>
              <w:rPr>
                <w:color w:val="000000"/>
                <w:sz w:val="24"/>
                <w:szCs w:val="24"/>
              </w:rPr>
              <w:t>6.11</w:t>
            </w:r>
          </w:p>
        </w:tc>
      </w:tr>
      <w:tr>
        <w:tc>
          <w:tcPr>
            <w:vAlign w:val="center"/>
          </w:tcPr>
          <w:p>
            <w:pPr>
              <w:jc w:val="center"/>
            </w:pPr>
            <w:r>
              <w:rPr>
                <w:color w:val="000000"/>
                <w:sz w:val="24"/>
                <w:szCs w:val="24"/>
              </w:rPr>
              <w:t>2</w:t>
            </w:r>
          </w:p>
        </w:tc>
        <w:tc>
          <w:tcPr>
            <w:vAlign w:val="center"/>
          </w:tcPr>
          <w:p>
            <w:pPr>
              <w:jc w:val="center"/>
            </w:pPr>
            <w:r>
              <w:rPr>
                <w:color w:val="000000"/>
                <w:sz w:val="24"/>
                <w:szCs w:val="24"/>
              </w:rPr>
              <w:t>113614</w:t>
            </w:r>
          </w:p>
        </w:tc>
        <w:tc>
          <w:tcPr>
            <w:vAlign w:val="center"/>
          </w:tcPr>
          <w:p>
            <w:pPr>
              <w:jc w:val="center"/>
            </w:pPr>
            <w:r>
              <w:rPr>
                <w:color w:val="000000"/>
                <w:sz w:val="24"/>
                <w:szCs w:val="24"/>
              </w:rPr>
              <w:t>健20转债</w:t>
            </w:r>
          </w:p>
        </w:tc>
        <w:tc>
          <w:tcPr>
            <w:vAlign w:val="center"/>
          </w:tcPr>
          <w:p>
            <w:pPr>
              <w:jc w:val="right"/>
            </w:pPr>
            <w:r>
              <w:rPr>
                <w:color w:val="000000"/>
                <w:sz w:val="24"/>
                <w:szCs w:val="24"/>
              </w:rPr>
              <w:t>55,510</w:t>
            </w:r>
          </w:p>
        </w:tc>
        <w:tc>
          <w:tcPr>
            <w:vAlign w:val="center"/>
          </w:tcPr>
          <w:p>
            <w:pPr>
              <w:jc w:val="right"/>
            </w:pPr>
            <w:r>
              <w:rPr>
                <w:color w:val="000000"/>
                <w:sz w:val="24"/>
                <w:szCs w:val="24"/>
              </w:rPr>
              <w:t>5,551,000.00</w:t>
            </w:r>
          </w:p>
        </w:tc>
        <w:tc>
          <w:tcPr>
            <w:vAlign w:val="center"/>
          </w:tcPr>
          <w:p>
            <w:pPr>
              <w:jc w:val="right"/>
            </w:pPr>
            <w:r>
              <w:rPr>
                <w:color w:val="000000"/>
                <w:sz w:val="24"/>
                <w:szCs w:val="24"/>
              </w:rPr>
              <w:t>0.21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510,912.66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1,331,299.04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932,058.36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2,774,270.06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2,364,761,735.88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379,632,940.33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330,087,619.93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2,414,307,056.28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1、中国证监会批准交银施罗德蓝筹股票证券投资基金募集的文件；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2、《交银施罗德蓝筹混合型证券投资基金基金合同》；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3、《交银施罗德蓝筹混合型证券投资基金招募说明书》；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4、《交银施罗德蓝筹混合型证券投资基金托管协议》；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5、关于募集交银施罗德蓝筹股票证券投资基金之法律意见书；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8、报告期内交银施罗德蓝筹混合型证券投资基金在指定报刊上各项公告的原稿。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交银施罗德蓝筹混合型证券投资基金2020年第4季度报告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