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交银施罗德上证180公司治理交易型开放式指数证券投资基金联接基金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
      </w:r>
      <w:proofErr w:type="spellStart"/>
      <w:r w:rsidRPr="006C615F">
        <w:rPr>
          <w:b/>
          <w:sz w:val="36"/>
          <w:szCs w:val="36"/>
        </w:rPr>
        <w:t/>
      </w:r>
      <w:proofErr w:type="spellEnd"/>
      <w:r w:rsidRPr="006C615F">
        <w:rPr>
          <w:b/>
          <w:sz w:val="36"/>
          <w:szCs w:val="36"/>
        </w:rPr>
        <w:t>2020年第4季度报告</w:t>
      </w:r>
    </w:p>
    <w:p w:rsidP="00B04217" w:rsidR="00943748" w:rsidRDefault="003251EE"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2020年12月31日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bookmarkStart w:id="0" w:name="_GoBack"/>
      <w:bookmarkEnd w:id="0"/>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proofErr w:type="spellStart"/>
      <w:proofErr w:type="gramStart"/>
      <w:r w:rsidR="00AB5C7D" w:rsidRPr="006C615F">
        <w:rPr>
          <w:b/>
          <w:color w:val="000000"/>
          <w:sz w:val="24"/>
        </w:rPr>
        <w:t/>
      </w:r>
      <w:r w:rsidR="003251EE" w:rsidRPr="006C615F">
        <w:rPr>
          <w:b/>
          <w:color w:val="000000"/>
          <w:sz w:val="24"/>
        </w:rPr>
        <w:t/>
      </w:r>
      <w:proofErr w:type="spellEnd"/>
      <w:proofErr w:type="gramEnd"/>
      <w:r w:rsidR="00AB5C7D" w:rsidRPr="006C615F">
        <w:rPr>
          <w:b/>
          <w:color w:val="000000"/>
          <w:sz w:val="24"/>
        </w:rPr>
        <w:t>二〇二一年一月二十一日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本报告期自2020年10月1日起至12月31日止。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1" w:name="_Toc245193810"/>
      <w:r w:rsidRPr="00324C76">
        <w:rPr>
          <w:rFonts w:ascii="Times New Roman" w:cs="Times New Roman" w:hAnsi="Times New Roman"/>
          <w:szCs w:val="24"/>
        </w:rPr>
        <w:t>2.1</w:t>
      </w:r>
      <w:bookmarkEnd w:id="1"/>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交银上证180公司治理ETF联接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2009年9月29日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201,296,914.78</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本基金通过把全部或接近全部的基金资产投资于目标ETF、标的指数成份股和备选成份股进行被动式指数化投资，正常情况下投资于目标ETF的比例不低于基金资产净值的90%。</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上证180公司治理指数×95%＋银行活期存款税后收益率×5%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上证180公司治理交易型开放式指数证券投资基金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510010</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3D1893" w:rsidRPr="00324C76">
              <w:rPr>
                <w:sz w:val="24"/>
              </w:rPr>
              <w:t/>
            </w:r>
            <w:proofErr w:type="spellStart"/>
            <w:r w:rsidR="003D1893" w:rsidRPr="00324C76">
              <w:rPr>
                <w:sz w:val="24"/>
              </w:rPr>
              <w:t/>
            </w:r>
            <w:proofErr w:type="spellEnd"/>
            <w:r w:rsidR="003D1893" w:rsidRPr="00324C76">
              <w:rPr>
                <w:sz w:val="24"/>
              </w:rPr>
              <w:t/>
            </w:r>
            <w:r w:rsidRPr="00324C76">
              <w:rPr>
                <w:sz w:val="24"/>
              </w:rPr>
              <w:t>2009年9月25日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proofErr w:type="spellStart"/>
            <w:r w:rsidRPr="00324C76">
              <w:rPr>
                <w:sz w:val="24"/>
              </w:rPr>
              <w:t/>
            </w:r>
            <w:r w:rsidRPr="00324C76">
              <w:rPr>
                <w:sz w:val="24"/>
              </w:rPr>
              <w:lastRenderedPageBreak/>
              <w:t/>
            </w:r>
            <w:proofErr w:type="spellEnd"/>
            <w:r w:rsidRPr="00324C76">
              <w:rPr>
                <w:sz w:val="24"/>
              </w:rPr>
              <w:t>上海证券交易所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F840F0" w:rsidRPr="00324C76">
              <w:rPr>
                <w:sz w:val="24"/>
              </w:rPr>
              <w:t/>
            </w:r>
            <w:proofErr w:type="spellStart"/>
            <w:r w:rsidR="00F840F0" w:rsidRPr="00324C76">
              <w:rPr>
                <w:sz w:val="24"/>
              </w:rPr>
              <w:t/>
            </w:r>
            <w:proofErr w:type="spellEnd"/>
            <w:r w:rsidR="00F840F0" w:rsidRPr="00324C76">
              <w:rPr>
                <w:sz w:val="24"/>
              </w:rPr>
              <w:t/>
            </w:r>
            <w:r w:rsidRPr="00324C76">
              <w:rPr>
                <w:sz w:val="24"/>
              </w:rPr>
              <w:t>2009年12月15日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中国农业银行股份有限公司</w:t>
            </w:r>
          </w:p>
        </w:tc>
      </w:tr>
    </w:tbl>
    <w:p w:rsidP="00B04217" w:rsidR="00220542" w:rsidRDefault="0090000A"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注：本表所列的基金主代码510010为目标基金的二级市场交易代码，目标基金的一级市场申购赎回代码为510011。</w:t>
      </w:r>
    </w:p>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紧密跟踪标的指数，追求跟踪偏离度与跟踪误差最小化。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上证180公司治理指数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roofErr w:type="spellStart"/>
            <w:r w:rsidR="00076821" w:rsidRPr="00324C76">
              <w:rPr>
                <w:kern w:val="0"/>
                <w:sz w:val="24"/>
              </w:rPr>
              <w:t/>
            </w:r>
            <w:proofErr w:type="spellEnd"/>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
            </w:r>
            <w:proofErr w:type="spellStart"/>
            <w:r w:rsidRPr="00324C76">
              <w:rPr>
                <w:color w:val="000000"/>
                <w:sz w:val="24"/>
              </w:rPr>
              <w:t/>
            </w:r>
            <w:proofErr w:type="spellEnd"/>
            <w:r w:rsidRPr="00324C76">
              <w:rPr>
                <w:color w:val="000000"/>
                <w:sz w:val="24"/>
              </w:rPr>
              <w:t>2020年10月1日-</w:t>
            </w:r>
            <w:proofErr w:type="spellStart"/>
            <w:r w:rsidRPr="00324C76">
              <w:rPr>
                <w:color w:val="000000"/>
                <w:sz w:val="24"/>
              </w:rPr>
              <w:t/>
            </w:r>
            <w:proofErr w:type="spellEnd"/>
            <w:r w:rsidRPr="00324C76">
              <w:rPr>
                <w:color w:val="000000"/>
                <w:sz w:val="24"/>
              </w:rPr>
              <w:t>2020年12月31日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roofErr w:type="spellStart"/>
            <w:r w:rsidR="00A7041B" w:rsidRPr="00324C76">
              <w:rPr>
                <w:color w:val="000000"/>
                <w:sz w:val="24"/>
              </w:rPr>
              <w:t/>
            </w:r>
            <w:proofErr w:type="spellEnd"/>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6,533,487.42</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33,660,835.76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0.1634</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328,281,172.07</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1.631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roofErr w:type="spellStart"/>
            <w:r w:rsidR="00756731" w:rsidRPr="00324C76">
              <w:rPr>
                <w:color w:val="000000"/>
                <w:sz w:val="24"/>
              </w:rPr>
              <w:t/>
            </w:r>
            <w:proofErr w:type="spellEnd"/>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11.03%</w:t>
            </w:r>
          </w:p>
        </w:tc>
        <w:tc>
          <w:tcPr>
            <w:vAlign w:val="center"/>
          </w:tcPr>
          <w:p>
            <w:pPr>
              <w:jc w:val="center"/>
            </w:pPr>
            <w:r>
              <w:rPr>
                <w:color w:val="000000"/>
                <w:sz w:val="24"/>
              </w:rPr>
              <w:t>0.92%</w:t>
            </w:r>
          </w:p>
        </w:tc>
        <w:tc>
          <w:tcPr>
            <w:vAlign w:val="center"/>
          </w:tcPr>
          <w:p>
            <w:pPr>
              <w:jc w:val="center"/>
            </w:pPr>
            <w:r>
              <w:rPr>
                <w:color w:val="000000"/>
                <w:sz w:val="24"/>
              </w:rPr>
              <w:t>10.80%</w:t>
            </w:r>
          </w:p>
        </w:tc>
        <w:tc>
          <w:tcPr>
            <w:vAlign w:val="center"/>
          </w:tcPr>
          <w:p>
            <w:pPr>
              <w:jc w:val="center"/>
            </w:pPr>
            <w:r>
              <w:rPr>
                <w:color w:val="000000"/>
                <w:sz w:val="24"/>
              </w:rPr>
              <w:t>0.94%</w:t>
            </w:r>
          </w:p>
        </w:tc>
        <w:tc>
          <w:tcPr>
            <w:vAlign w:val="center"/>
          </w:tcPr>
          <w:p>
            <w:pPr>
              <w:jc w:val="center"/>
            </w:pPr>
            <w:r>
              <w:rPr>
                <w:color w:val="000000"/>
                <w:sz w:val="24"/>
              </w:rPr>
              <w:t>0.23%</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28.12%</w:t>
            </w:r>
          </w:p>
        </w:tc>
        <w:tc>
          <w:tcPr>
            <w:vAlign w:val="center"/>
          </w:tcPr>
          <w:p>
            <w:pPr>
              <w:jc w:val="center"/>
            </w:pPr>
            <w:r>
              <w:rPr>
                <w:color w:val="000000"/>
                <w:sz w:val="24"/>
              </w:rPr>
              <w:t>1.23%</w:t>
            </w:r>
          </w:p>
        </w:tc>
        <w:tc>
          <w:tcPr>
            <w:vAlign w:val="center"/>
          </w:tcPr>
          <w:p>
            <w:pPr>
              <w:jc w:val="center"/>
            </w:pPr>
            <w:r>
              <w:rPr>
                <w:color w:val="000000"/>
                <w:sz w:val="24"/>
              </w:rPr>
              <w:t>20.01%</w:t>
            </w:r>
          </w:p>
        </w:tc>
        <w:tc>
          <w:tcPr>
            <w:vAlign w:val="center"/>
          </w:tcPr>
          <w:p>
            <w:pPr>
              <w:jc w:val="center"/>
            </w:pPr>
            <w:r>
              <w:rPr>
                <w:color w:val="000000"/>
                <w:sz w:val="24"/>
              </w:rPr>
              <w:t>1.28%</w:t>
            </w:r>
          </w:p>
        </w:tc>
        <w:tc>
          <w:tcPr>
            <w:vAlign w:val="center"/>
          </w:tcPr>
          <w:p>
            <w:pPr>
              <w:jc w:val="center"/>
            </w:pPr>
            <w:r>
              <w:rPr>
                <w:color w:val="000000"/>
                <w:sz w:val="24"/>
              </w:rPr>
              <w:t>8.11%</w:t>
            </w:r>
          </w:p>
        </w:tc>
        <w:tc>
          <w:tcPr>
            <w:vAlign w:val="center"/>
          </w:tcPr>
          <w:p>
            <w:pPr>
              <w:jc w:val="center"/>
            </w:pPr>
            <w:r>
              <w:rPr>
                <w:color w:val="000000"/>
                <w:sz w:val="24"/>
              </w:rPr>
              <w:t>-0.05%</w:t>
            </w:r>
          </w:p>
        </w:tc>
      </w:tr>
      <w:tr>
        <w:tc>
          <w:tcPr>
            <w:vAlign w:val="center"/>
          </w:tcPr>
          <w:p>
            <w:pPr>
              <w:jc w:val="left"/>
            </w:pPr>
            <w:r>
              <w:rPr>
                <w:color w:val="000000"/>
                <w:sz w:val="24"/>
              </w:rPr>
              <w:t>过去一年</w:t>
            </w:r>
          </w:p>
        </w:tc>
        <w:tc>
          <w:tcPr>
            <w:vAlign w:val="center"/>
          </w:tcPr>
          <w:p>
            <w:pPr>
              <w:jc w:val="center"/>
            </w:pPr>
            <w:r>
              <w:rPr>
                <w:color w:val="000000"/>
                <w:sz w:val="24"/>
              </w:rPr>
              <w:t>20.28%</w:t>
            </w:r>
          </w:p>
        </w:tc>
        <w:tc>
          <w:tcPr>
            <w:vAlign w:val="center"/>
          </w:tcPr>
          <w:p>
            <w:pPr>
              <w:jc w:val="center"/>
            </w:pPr>
            <w:r>
              <w:rPr>
                <w:color w:val="000000"/>
                <w:sz w:val="24"/>
              </w:rPr>
              <w:t>1.26%</w:t>
            </w:r>
          </w:p>
        </w:tc>
        <w:tc>
          <w:tcPr>
            <w:vAlign w:val="center"/>
          </w:tcPr>
          <w:p>
            <w:pPr>
              <w:jc w:val="center"/>
            </w:pPr>
            <w:r>
              <w:rPr>
                <w:color w:val="000000"/>
                <w:sz w:val="24"/>
              </w:rPr>
              <w:t>7.62%</w:t>
            </w:r>
          </w:p>
        </w:tc>
        <w:tc>
          <w:tcPr>
            <w:vAlign w:val="center"/>
          </w:tcPr>
          <w:p>
            <w:pPr>
              <w:jc w:val="center"/>
            </w:pPr>
            <w:r>
              <w:rPr>
                <w:color w:val="000000"/>
                <w:sz w:val="24"/>
              </w:rPr>
              <w:t>1.29%</w:t>
            </w:r>
          </w:p>
        </w:tc>
        <w:tc>
          <w:tcPr>
            <w:vAlign w:val="center"/>
          </w:tcPr>
          <w:p>
            <w:pPr>
              <w:jc w:val="center"/>
            </w:pPr>
            <w:r>
              <w:rPr>
                <w:color w:val="000000"/>
                <w:sz w:val="24"/>
              </w:rPr>
              <w:t>12.66%</w:t>
            </w:r>
          </w:p>
        </w:tc>
        <w:tc>
          <w:tcPr>
            <w:vAlign w:val="center"/>
          </w:tcPr>
          <w:p>
            <w:pPr>
              <w:jc w:val="center"/>
            </w:pPr>
            <w:r>
              <w:rPr>
                <w:color w:val="000000"/>
                <w:sz w:val="24"/>
              </w:rPr>
              <w:t>-0.03%</w:t>
            </w:r>
          </w:p>
        </w:tc>
      </w:tr>
      <w:tr>
        <w:tc>
          <w:tcPr>
            <w:vAlign w:val="center"/>
          </w:tcPr>
          <w:p>
            <w:pPr>
              <w:jc w:val="left"/>
            </w:pPr>
            <w:r>
              <w:rPr>
                <w:color w:val="000000"/>
                <w:sz w:val="24"/>
              </w:rPr>
              <w:t>过去三年</w:t>
            </w:r>
          </w:p>
        </w:tc>
        <w:tc>
          <w:tcPr>
            <w:vAlign w:val="center"/>
          </w:tcPr>
          <w:p>
            <w:pPr>
              <w:jc w:val="center"/>
            </w:pPr>
            <w:r>
              <w:rPr>
                <w:color w:val="000000"/>
                <w:sz w:val="24"/>
              </w:rPr>
              <w:t>22.91%</w:t>
            </w:r>
          </w:p>
        </w:tc>
        <w:tc>
          <w:tcPr>
            <w:vAlign w:val="center"/>
          </w:tcPr>
          <w:p>
            <w:pPr>
              <w:jc w:val="center"/>
            </w:pPr>
            <w:r>
              <w:rPr>
                <w:color w:val="000000"/>
                <w:sz w:val="24"/>
              </w:rPr>
              <w:t>1.20%</w:t>
            </w:r>
          </w:p>
        </w:tc>
        <w:tc>
          <w:tcPr>
            <w:vAlign w:val="center"/>
          </w:tcPr>
          <w:p>
            <w:pPr>
              <w:jc w:val="center"/>
            </w:pPr>
            <w:r>
              <w:rPr>
                <w:color w:val="000000"/>
                <w:sz w:val="24"/>
              </w:rPr>
              <w:t>4.38%</w:t>
            </w:r>
          </w:p>
        </w:tc>
        <w:tc>
          <w:tcPr>
            <w:vAlign w:val="center"/>
          </w:tcPr>
          <w:p>
            <w:pPr>
              <w:jc w:val="center"/>
            </w:pPr>
            <w:r>
              <w:rPr>
                <w:color w:val="000000"/>
                <w:sz w:val="24"/>
              </w:rPr>
              <w:t>1.21%</w:t>
            </w:r>
          </w:p>
        </w:tc>
        <w:tc>
          <w:tcPr>
            <w:vAlign w:val="center"/>
          </w:tcPr>
          <w:p>
            <w:pPr>
              <w:jc w:val="center"/>
            </w:pPr>
            <w:r>
              <w:rPr>
                <w:color w:val="000000"/>
                <w:sz w:val="24"/>
              </w:rPr>
              <w:t>18.53%</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40.85%</w:t>
            </w:r>
          </w:p>
        </w:tc>
        <w:tc>
          <w:tcPr>
            <w:vAlign w:val="center"/>
          </w:tcPr>
          <w:p>
            <w:pPr>
              <w:jc w:val="center"/>
            </w:pPr>
            <w:r>
              <w:rPr>
                <w:color w:val="000000"/>
                <w:sz w:val="24"/>
              </w:rPr>
              <w:t>1.12%</w:t>
            </w:r>
          </w:p>
        </w:tc>
        <w:tc>
          <w:tcPr>
            <w:vAlign w:val="center"/>
          </w:tcPr>
          <w:p>
            <w:pPr>
              <w:jc w:val="center"/>
            </w:pPr>
            <w:r>
              <w:rPr>
                <w:color w:val="000000"/>
                <w:sz w:val="24"/>
              </w:rPr>
              <w:t>14.89%</w:t>
            </w:r>
          </w:p>
        </w:tc>
        <w:tc>
          <w:tcPr>
            <w:vAlign w:val="center"/>
          </w:tcPr>
          <w:p>
            <w:pPr>
              <w:jc w:val="center"/>
            </w:pPr>
            <w:r>
              <w:rPr>
                <w:color w:val="000000"/>
                <w:sz w:val="24"/>
              </w:rPr>
              <w:t>1.13%</w:t>
            </w:r>
          </w:p>
        </w:tc>
        <w:tc>
          <w:tcPr>
            <w:vAlign w:val="center"/>
          </w:tcPr>
          <w:p>
            <w:pPr>
              <w:jc w:val="center"/>
            </w:pPr>
            <w:r>
              <w:rPr>
                <w:color w:val="000000"/>
                <w:sz w:val="24"/>
              </w:rPr>
              <w:t>25.96%</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63.10%</w:t>
            </w:r>
          </w:p>
        </w:tc>
        <w:tc>
          <w:tcPr>
            <w:vAlign w:val="center"/>
          </w:tcPr>
          <w:p>
            <w:pPr>
              <w:jc w:val="center"/>
            </w:pPr>
            <w:r>
              <w:rPr>
                <w:color w:val="000000"/>
                <w:sz w:val="24"/>
              </w:rPr>
              <w:t>1.38%</w:t>
            </w:r>
          </w:p>
        </w:tc>
        <w:tc>
          <w:tcPr>
            <w:vAlign w:val="center"/>
          </w:tcPr>
          <w:p>
            <w:pPr>
              <w:jc w:val="center"/>
            </w:pPr>
            <w:r>
              <w:rPr>
                <w:color w:val="000000"/>
                <w:sz w:val="24"/>
              </w:rPr>
              <w:t>37.55%</w:t>
            </w:r>
          </w:p>
        </w:tc>
        <w:tc>
          <w:tcPr>
            <w:vAlign w:val="center"/>
          </w:tcPr>
          <w:p>
            <w:pPr>
              <w:jc w:val="center"/>
            </w:pPr>
            <w:r>
              <w:rPr>
                <w:color w:val="000000"/>
                <w:sz w:val="24"/>
              </w:rPr>
              <w:t>1.40%</w:t>
            </w:r>
          </w:p>
        </w:tc>
        <w:tc>
          <w:tcPr>
            <w:vAlign w:val="center"/>
          </w:tcPr>
          <w:p>
            <w:pPr>
              <w:jc w:val="center"/>
            </w:pPr>
            <w:r>
              <w:rPr>
                <w:color w:val="000000"/>
                <w:sz w:val="24"/>
              </w:rPr>
              <w:t>25.55%</w:t>
            </w:r>
          </w:p>
        </w:tc>
        <w:tc>
          <w:tcPr>
            <w:vAlign w:val="center"/>
          </w:tcPr>
          <w:p>
            <w:pPr>
              <w:jc w:val="center"/>
            </w:pPr>
            <w:r>
              <w:rPr>
                <w:color w:val="000000"/>
                <w:sz w:val="24"/>
              </w:rPr>
              <w:t>-0.02%</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
      </w:r>
      <w:proofErr w:type="spellStart"/>
      <w:r w:rsidR="00491158" w:rsidRPr="004739A8">
        <w:rPr>
          <w:rFonts w:hint="eastAsia"/>
          <w:b/>
          <w:kern w:val="0"/>
          <w:sz w:val="24"/>
        </w:rPr>
        <w:t/>
      </w:r>
      <w:proofErr w:type="spellEnd"/>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
      </w:r>
      <w:proofErr w:type="spellStart"/>
      <w:r w:rsidRPr="00324C76">
        <w:rPr>
          <w:sz w:val="24"/>
        </w:rPr>
        <w:t/>
      </w:r>
      <w:proofErr w:type="spellEnd"/>
      <w:r w:rsidRPr="00324C76">
        <w:rPr>
          <w:sz w:val="24"/>
        </w:rPr>
        <w:t>交银施罗德上证180公司治理交易型开放式指数证券投资基金联接基金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
      </w:r>
      <w:proofErr w:type="spellStart"/>
      <w:r w:rsidR="003251EE" w:rsidRPr="00324C76">
        <w:rPr>
          <w:color w:val="000000"/>
          <w:kern w:val="0"/>
          <w:sz w:val="24"/>
        </w:rPr>
        <w:t/>
      </w:r>
      <w:proofErr w:type="spellEnd"/>
      <w:r w:rsidR="003251EE" w:rsidRPr="00324C76">
        <w:rPr>
          <w:color w:val="000000"/>
          <w:kern w:val="0"/>
          <w:sz w:val="24"/>
        </w:rPr>
        <w:t>2009年9月29日</w:t>
      </w:r>
      <w:r w:rsidRPr="00324C76">
        <w:rPr>
          <w:color w:val="000000"/>
          <w:kern w:val="0"/>
          <w:sz w:val="24"/>
        </w:rPr>
        <w:t>至</w:t>
      </w: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2020年12月31日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r w:rsidR="00C26024"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注：本基金建仓期为自基金合同生效日起的3个月。截至建仓期结束，本基金各项资产配置比例符合基金合同及招募说明书有关投资比例的约定。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中证海外中国互联网指数（QDII-LOF)、交银中证环境治理指数（LOF）、交银创业板50指数、交银国证新能源指数(LOF)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2018年5月18日至2020年7月17日担任交银施罗德致远量化智投策略定期开放混合型证券投资基金的基金经理。2015年6月26日至2020年11月25日担任交银施罗德中证互联网金融指数分级证券投资基金的基金经理。2015年3月26日至2020年11月29日担任交银施罗德国证新能源指数分级证券投资基金的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2020年全球唯一实现正增长的主要经济体。在国内经济稳步向好的背景下，投资者风险偏好显著提升，四季度A股市场震荡上行，作为跟踪基准指数的指数基金，四季度基金总体呈现上行态势。</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展望2021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A股市场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proofErr w:type="spellStart"/>
      <w:r w:rsidRPr="005F16FA">
        <w:rPr>
          <w:rFonts w:eastAsiaTheme="minorEastAsia" w:hint="eastAsia"/>
          <w:color w:themeColor="text1" w:val="000000"/>
          <w:kern w:val="0"/>
          <w:sz w:val="24"/>
        </w:rPr>
        <w:t/>
      </w:r>
      <w:proofErr w:type="spellEnd"/>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3,986,071.58</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1.21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3,986,071.58</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1.21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303,823,129.82</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92.31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8,000.00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8,000.00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21,261,917.60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6.46</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62,319.21</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0.02</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329,141,438.21</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上证180公司治理交易型开放式指数证券投资基金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303,823,129.82</w:t>
            </w:r>
          </w:p>
        </w:tc>
        <w:tc>
          <w:tcPr>
            <w:vAlign w:val="center"/>
          </w:tcPr>
          <w:p>
            <w:pPr>
              <w:jc w:val="right"/>
            </w:pPr>
            <w:r>
              <w:rPr>
                <w:sz w:val="24"/>
              </w:rPr>
              <w:t>92.55</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proofErr w:type="spellStart"/>
      <w:r w:rsidRPr="005312D8">
        <w:rPr>
          <w:color w:val="000000"/>
          <w:sz w:val="24"/>
        </w:rPr>
        <w:t/>
      </w:r>
      <w:proofErr w:type="spellEnd"/>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roofErr w:type="spellStart"/>
            <w:r w:rsidR="000E0611" w:rsidRPr="00324C76">
              <w:rPr>
                <w:sz w:val="24"/>
              </w:rPr>
              <w:t/>
            </w:r>
            <w:proofErr w:type="spellEnd"/>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251,707.00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0.08</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1,168,126.20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0.36</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155,072.00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177,416.40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39,762.10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139,651.00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119,526.24</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1,826,755.24</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0.56</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101,542.00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283.40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6,230.00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3,986,071.58</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1.21</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
      </w:r>
      <w:proofErr w:type="spellStart"/>
      <w:r w:rsidRPr="00FF0BBF">
        <w:rPr>
          <w:color w:val="000000"/>
          <w:sz w:val="24"/>
        </w:rPr>
        <w:t/>
      </w:r>
      <w:proofErr w:type="spellEnd"/>
      <w:r w:rsidRPr="00FF0BBF">
        <w:rPr>
          <w:color w:val="000000"/>
          <w:sz w:val="24"/>
        </w:rPr>
        <w:t/>
      </w:r>
      <w:proofErr w:type="spellStart"/>
      <w:r w:rsidRPr="00FF0BBF">
        <w:rPr>
          <w:color w:val="000000"/>
          <w:sz w:val="24"/>
        </w:rPr>
        <w:t/>
      </w:r>
      <w:proofErr w:type="spellEnd"/>
      <w:r w:rsidRPr="00FF0BBF">
        <w:rPr>
          <w:color w:val="000000"/>
          <w:sz w:val="24"/>
        </w:rPr>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6,900</w:t>
            </w:r>
          </w:p>
        </w:tc>
        <w:tc>
          <w:tcPr>
            <w:vAlign w:val="center"/>
          </w:tcPr>
          <w:p>
            <w:pPr>
              <w:jc w:val="right"/>
            </w:pPr>
            <w:r>
              <w:rPr>
                <w:color w:val="000000"/>
                <w:sz w:val="24"/>
              </w:rPr>
              <w:t>600,162.00</w:t>
            </w:r>
          </w:p>
        </w:tc>
        <w:tc>
          <w:tcPr>
            <w:vAlign w:val="center"/>
          </w:tcPr>
          <w:p>
            <w:pPr>
              <w:jc w:val="right"/>
            </w:pPr>
            <w:r>
              <w:rPr>
                <w:color w:val="000000"/>
                <w:sz w:val="24"/>
              </w:rPr>
              <w:t>0.18</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6,600</w:t>
            </w:r>
          </w:p>
        </w:tc>
        <w:tc>
          <w:tcPr>
            <w:vAlign w:val="center"/>
          </w:tcPr>
          <w:p>
            <w:pPr>
              <w:jc w:val="right"/>
            </w:pPr>
            <w:r>
              <w:rPr>
                <w:color w:val="000000"/>
                <w:sz w:val="24"/>
              </w:rPr>
              <w:t>290,070.00</w:t>
            </w:r>
          </w:p>
        </w:tc>
        <w:tc>
          <w:tcPr>
            <w:vAlign w:val="center"/>
          </w:tcPr>
          <w:p>
            <w:pPr>
              <w:jc w:val="right"/>
            </w:pPr>
            <w:r>
              <w:rPr>
                <w:color w:val="000000"/>
                <w:sz w:val="24"/>
              </w:rPr>
              <w:t>0.09</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3,900</w:t>
            </w:r>
          </w:p>
        </w:tc>
        <w:tc>
          <w:tcPr>
            <w:vAlign w:val="center"/>
          </w:tcPr>
          <w:p>
            <w:pPr>
              <w:jc w:val="right"/>
            </w:pPr>
            <w:r>
              <w:rPr>
                <w:color w:val="000000"/>
                <w:sz w:val="24"/>
              </w:rPr>
              <w:t>173,043.00</w:t>
            </w:r>
          </w:p>
        </w:tc>
        <w:tc>
          <w:tcPr>
            <w:vAlign w:val="center"/>
          </w:tcPr>
          <w:p>
            <w:pPr>
              <w:jc w:val="right"/>
            </w:pPr>
            <w:r>
              <w:rPr>
                <w:color w:val="000000"/>
                <w:sz w:val="24"/>
              </w:rPr>
              <w:t>0.05</w:t>
            </w:r>
          </w:p>
        </w:tc>
      </w:tr>
      <w:tr>
        <w:tc>
          <w:tcPr>
            <w:vAlign w:val="center"/>
          </w:tcPr>
          <w:p>
            <w:pPr>
              <w:jc w:val="center"/>
            </w:pPr>
            <w:r>
              <w:rPr>
                <w:color w:val="000000"/>
                <w:sz w:val="24"/>
              </w:rPr>
              <w:t>4</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8,000</w:t>
            </w:r>
          </w:p>
        </w:tc>
        <w:tc>
          <w:tcPr>
            <w:vAlign w:val="center"/>
          </w:tcPr>
          <w:p>
            <w:pPr>
              <w:jc w:val="right"/>
            </w:pPr>
            <w:r>
              <w:rPr>
                <w:color w:val="000000"/>
                <w:sz w:val="24"/>
              </w:rPr>
              <w:t>166,960.00</w:t>
            </w:r>
          </w:p>
        </w:tc>
        <w:tc>
          <w:tcPr>
            <w:vAlign w:val="center"/>
          </w:tcPr>
          <w:p>
            <w:pPr>
              <w:jc w:val="right"/>
            </w:pPr>
            <w:r>
              <w:rPr>
                <w:color w:val="000000"/>
                <w:sz w:val="24"/>
              </w:rPr>
              <w:t>0.05</w:t>
            </w:r>
          </w:p>
        </w:tc>
      </w:tr>
      <w:tr>
        <w:tc>
          <w:tcPr>
            <w:vAlign w:val="center"/>
          </w:tcPr>
          <w:p>
            <w:pPr>
              <w:jc w:val="center"/>
            </w:pPr>
            <w:r>
              <w:rPr>
                <w:color w:val="000000"/>
                <w:sz w:val="24"/>
              </w:rPr>
              <w:t>5</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3,800</w:t>
            </w:r>
          </w:p>
        </w:tc>
        <w:tc>
          <w:tcPr>
            <w:vAlign w:val="center"/>
          </w:tcPr>
          <w:p>
            <w:pPr>
              <w:jc w:val="right"/>
            </w:pPr>
            <w:r>
              <w:rPr>
                <w:color w:val="000000"/>
                <w:sz w:val="24"/>
              </w:rPr>
              <w:t>132,924.00</w:t>
            </w:r>
          </w:p>
        </w:tc>
        <w:tc>
          <w:tcPr>
            <w:vAlign w:val="center"/>
          </w:tcPr>
          <w:p>
            <w:pPr>
              <w:jc w:val="right"/>
            </w:pPr>
            <w:r>
              <w:rPr>
                <w:color w:val="000000"/>
                <w:sz w:val="24"/>
              </w:rPr>
              <w:t>0.04</w:t>
            </w:r>
          </w:p>
        </w:tc>
      </w:tr>
      <w:tr>
        <w:tc>
          <w:tcPr>
            <w:vAlign w:val="center"/>
          </w:tcPr>
          <w:p>
            <w:pPr>
              <w:jc w:val="center"/>
            </w:pPr>
            <w:r>
              <w:rPr>
                <w:color w:val="000000"/>
                <w:sz w:val="24"/>
              </w:rPr>
              <w:t>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22,300</w:t>
            </w:r>
          </w:p>
        </w:tc>
        <w:tc>
          <w:tcPr>
            <w:vAlign w:val="center"/>
          </w:tcPr>
          <w:p>
            <w:pPr>
              <w:jc w:val="right"/>
            </w:pPr>
            <w:r>
              <w:rPr>
                <w:color w:val="000000"/>
                <w:sz w:val="24"/>
              </w:rPr>
              <w:t>111,277.00</w:t>
            </w:r>
          </w:p>
        </w:tc>
        <w:tc>
          <w:tcPr>
            <w:vAlign w:val="center"/>
          </w:tcPr>
          <w:p>
            <w:pPr>
              <w:jc w:val="right"/>
            </w:pPr>
            <w:r>
              <w:rPr>
                <w:color w:val="000000"/>
                <w:sz w:val="24"/>
              </w:rPr>
              <w:t>0.03</w:t>
            </w:r>
          </w:p>
        </w:tc>
      </w:tr>
      <w:tr>
        <w:tc>
          <w:tcPr>
            <w:vAlign w:val="center"/>
          </w:tcPr>
          <w:p>
            <w:pPr>
              <w:jc w:val="center"/>
            </w:pPr>
            <w:r>
              <w:rPr>
                <w:color w:val="000000"/>
                <w:sz w:val="24"/>
              </w:rPr>
              <w:t>7</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5,600</w:t>
            </w:r>
          </w:p>
        </w:tc>
        <w:tc>
          <w:tcPr>
            <w:vAlign w:val="center"/>
          </w:tcPr>
          <w:p>
            <w:pPr>
              <w:jc w:val="right"/>
            </w:pPr>
            <w:r>
              <w:rPr>
                <w:color w:val="000000"/>
                <w:sz w:val="24"/>
              </w:rPr>
              <w:t>107,296.00</w:t>
            </w:r>
          </w:p>
        </w:tc>
        <w:tc>
          <w:tcPr>
            <w:vAlign w:val="center"/>
          </w:tcPr>
          <w:p>
            <w:pPr>
              <w:jc w:val="right"/>
            </w:pPr>
            <w:r>
              <w:rPr>
                <w:color w:val="000000"/>
                <w:sz w:val="24"/>
              </w:rPr>
              <w:t>0.03</w:t>
            </w:r>
          </w:p>
        </w:tc>
      </w:tr>
      <w:tr>
        <w:tc>
          <w:tcPr>
            <w:vAlign w:val="center"/>
          </w:tcPr>
          <w:p>
            <w:pPr>
              <w:jc w:val="center"/>
            </w:pPr>
            <w:r>
              <w:rPr>
                <w:color w:val="000000"/>
                <w:sz w:val="24"/>
              </w:rPr>
              <w:t>8</w:t>
            </w:r>
          </w:p>
        </w:tc>
        <w:tc>
          <w:tcPr>
            <w:vAlign w:val="center"/>
          </w:tcPr>
          <w:p>
            <w:pPr>
              <w:jc w:val="center"/>
            </w:pPr>
            <w:r>
              <w:rPr>
                <w:color w:val="000000"/>
                <w:sz w:val="24"/>
              </w:rPr>
              <w:t>600309</w:t>
            </w:r>
          </w:p>
        </w:tc>
        <w:tc>
          <w:tcPr>
            <w:vAlign w:val="center"/>
          </w:tcPr>
          <w:p>
            <w:pPr>
              <w:jc w:val="center"/>
            </w:pPr>
            <w:r>
              <w:rPr>
                <w:color w:val="000000"/>
                <w:sz w:val="24"/>
              </w:rPr>
              <w:t>万华化学</w:t>
            </w:r>
          </w:p>
        </w:tc>
        <w:tc>
          <w:tcPr>
            <w:vAlign w:val="center"/>
          </w:tcPr>
          <w:p>
            <w:pPr>
              <w:jc w:val="right"/>
            </w:pPr>
            <w:r>
              <w:rPr>
                <w:color w:val="000000"/>
                <w:sz w:val="24"/>
              </w:rPr>
              <w:t>1,000</w:t>
            </w:r>
          </w:p>
        </w:tc>
        <w:tc>
          <w:tcPr>
            <w:vAlign w:val="center"/>
          </w:tcPr>
          <w:p>
            <w:pPr>
              <w:jc w:val="right"/>
            </w:pPr>
            <w:r>
              <w:rPr>
                <w:color w:val="000000"/>
                <w:sz w:val="24"/>
              </w:rPr>
              <w:t>91,040.00</w:t>
            </w:r>
          </w:p>
        </w:tc>
        <w:tc>
          <w:tcPr>
            <w:vAlign w:val="center"/>
          </w:tcPr>
          <w:p>
            <w:pPr>
              <w:jc w:val="right"/>
            </w:pPr>
            <w:r>
              <w:rPr>
                <w:color w:val="000000"/>
                <w:sz w:val="24"/>
              </w:rPr>
              <w:t>0.03</w:t>
            </w:r>
          </w:p>
        </w:tc>
      </w:tr>
      <w:tr>
        <w:tc>
          <w:tcPr>
            <w:vAlign w:val="center"/>
          </w:tcPr>
          <w:p>
            <w:pPr>
              <w:jc w:val="center"/>
            </w:pPr>
            <w:r>
              <w:rPr>
                <w:color w:val="000000"/>
                <w:sz w:val="24"/>
              </w:rPr>
              <w:t>9</w:t>
            </w:r>
          </w:p>
        </w:tc>
        <w:tc>
          <w:tcPr>
            <w:vAlign w:val="center"/>
          </w:tcPr>
          <w:p>
            <w:pPr>
              <w:jc w:val="center"/>
            </w:pPr>
            <w:r>
              <w:rPr>
                <w:color w:val="000000"/>
                <w:sz w:val="24"/>
              </w:rPr>
              <w:t>601899</w:t>
            </w:r>
          </w:p>
        </w:tc>
        <w:tc>
          <w:tcPr>
            <w:vAlign w:val="center"/>
          </w:tcPr>
          <w:p>
            <w:pPr>
              <w:jc w:val="center"/>
            </w:pPr>
            <w:r>
              <w:rPr>
                <w:color w:val="000000"/>
                <w:sz w:val="24"/>
              </w:rPr>
              <w:t>紫金矿业</w:t>
            </w:r>
          </w:p>
        </w:tc>
        <w:tc>
          <w:tcPr>
            <w:vAlign w:val="center"/>
          </w:tcPr>
          <w:p>
            <w:pPr>
              <w:jc w:val="right"/>
            </w:pPr>
            <w:r>
              <w:rPr>
                <w:color w:val="000000"/>
                <w:sz w:val="24"/>
              </w:rPr>
              <w:t>8,800</w:t>
            </w:r>
          </w:p>
        </w:tc>
        <w:tc>
          <w:tcPr>
            <w:vAlign w:val="center"/>
          </w:tcPr>
          <w:p>
            <w:pPr>
              <w:jc w:val="right"/>
            </w:pPr>
            <w:r>
              <w:rPr>
                <w:color w:val="000000"/>
                <w:sz w:val="24"/>
              </w:rPr>
              <w:t>81,752.00</w:t>
            </w:r>
          </w:p>
        </w:tc>
        <w:tc>
          <w:tcPr>
            <w:vAlign w:val="center"/>
          </w:tcPr>
          <w:p>
            <w:pPr>
              <w:jc w:val="right"/>
            </w:pPr>
            <w:r>
              <w:rPr>
                <w:color w:val="000000"/>
                <w:sz w:val="24"/>
              </w:rPr>
              <w:t>0.02</w:t>
            </w:r>
          </w:p>
        </w:tc>
      </w:tr>
      <w:tr>
        <w:tc>
          <w:tcPr>
            <w:vAlign w:val="center"/>
          </w:tcPr>
          <w:p>
            <w:pPr>
              <w:jc w:val="center"/>
            </w:pPr>
            <w:r>
              <w:rPr>
                <w:color w:val="000000"/>
                <w:sz w:val="24"/>
              </w:rPr>
              <w:t>10</w:t>
            </w:r>
          </w:p>
        </w:tc>
        <w:tc>
          <w:tcPr>
            <w:vAlign w:val="center"/>
          </w:tcPr>
          <w:p>
            <w:pPr>
              <w:jc w:val="center"/>
            </w:pPr>
            <w:r>
              <w:rPr>
                <w:color w:val="000000"/>
                <w:sz w:val="24"/>
              </w:rPr>
              <w:t>600690</w:t>
            </w:r>
          </w:p>
        </w:tc>
        <w:tc>
          <w:tcPr>
            <w:vAlign w:val="center"/>
          </w:tcPr>
          <w:p>
            <w:pPr>
              <w:jc w:val="center"/>
            </w:pPr>
            <w:r>
              <w:rPr>
                <w:color w:val="000000"/>
                <w:sz w:val="24"/>
              </w:rPr>
              <w:t>海尔智家</w:t>
            </w:r>
          </w:p>
        </w:tc>
        <w:tc>
          <w:tcPr>
            <w:vAlign w:val="center"/>
          </w:tcPr>
          <w:p>
            <w:pPr>
              <w:jc w:val="right"/>
            </w:pPr>
            <w:r>
              <w:rPr>
                <w:color w:val="000000"/>
                <w:sz w:val="24"/>
              </w:rPr>
              <w:t>2,500</w:t>
            </w:r>
          </w:p>
        </w:tc>
        <w:tc>
          <w:tcPr>
            <w:vAlign w:val="center"/>
          </w:tcPr>
          <w:p>
            <w:pPr>
              <w:jc w:val="right"/>
            </w:pPr>
            <w:r>
              <w:rPr>
                <w:color w:val="000000"/>
                <w:sz w:val="24"/>
              </w:rPr>
              <w:t>73,025.00</w:t>
            </w:r>
          </w:p>
        </w:tc>
        <w:tc>
          <w:tcPr>
            <w:vAlign w:val="center"/>
          </w:tcPr>
          <w:p>
            <w:pPr>
              <w:jc w:val="right"/>
            </w:pPr>
            <w:r>
              <w:rPr>
                <w:color w:val="000000"/>
                <w:sz w:val="24"/>
              </w:rPr>
              <w:t>0.02</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E5633B" w:rsidR="00E5633B" w:rsidRDefault="00E5633B" w:rsidRPr="00A34903">
      <w:pPr>
        <w:autoSpaceDE w:val="0"/>
        <w:autoSpaceDN w:val="0"/>
        <w:adjustRightInd w:val="0"/>
        <w:spacing w:before="29" w:line="288" w:lineRule="auto"/>
        <w:ind w:left="15"/>
        <w:jc w:val="right"/>
        <w:rPr>
          <w:color w:val="000000"/>
          <w:sz w:val="24"/>
        </w:rPr>
      </w:pPr>
      <w:r w:rsidRPr="00A34903">
        <w:rPr>
          <w:color w:val="000000"/>
          <w:sz w:val="24"/>
        </w:rPr>
        <w:t/>
      </w:r>
      <w:proofErr w:type="spellStart"/>
      <w:r w:rsidRPr="00A34903">
        <w:rPr>
          <w:color w:val="000000"/>
          <w:sz w:val="24"/>
        </w:rPr>
        <w:t/>
      </w:r>
      <w:proofErr w:type="spellEnd"/>
      <w:r w:rsidRPr="00A34903">
        <w:rPr>
          <w:color w:val="000000"/>
          <w:sz w:val="24"/>
        </w:rPr>
        <w:t/>
      </w:r>
      <w:r w:rsidRPr="00A34903">
        <w:rPr>
          <w:rFonts w:hint="eastAsia"/>
          <w:color w:val="000000"/>
          <w:sz w:val="24"/>
        </w:rPr>
        <w:t>金额单位：人民币元</w:t>
      </w:r>
    </w:p>
    <w:tbl>
      <w:tblPr>
        <w:tblStyle w:val="af7"/>
        <w:tblW w:type="dxa" w:w="8868"/>
        <w:jc w:val="center"/>
        <w:tblLayout w:type="fixed"/>
        <w:tblLook w:firstColumn="1" w:firstRow="1" w:lastColumn="0" w:lastRow="0" w:noHBand="0" w:noVBand="1" w:val="04A0"/>
      </w:tblPr>
      <w:tblGrid>
        <w:gridCol w:w="850"/>
        <w:gridCol w:w="3390"/>
        <w:gridCol w:w="2801"/>
        <w:gridCol w:w="1827"/>
      </w:tblGrid>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r w:rsidR="0021023C" w:rsidRPr="00324C76">
              <w:rPr>
                <w:color w:val="000000"/>
                <w:sz w:val="24"/>
              </w:rPr>
              <w:t/>
            </w:r>
            <w:proofErr w:type="spellStart"/>
            <w:r w:rsidR="0021023C" w:rsidRPr="00324C76">
              <w:rPr>
                <w:color w:val="000000"/>
                <w:sz w:val="24"/>
              </w:rPr>
              <w:t/>
            </w:r>
            <w:proofErr w:type="spellEnd"/>
            <w:r w:rsidR="0021023C" w:rsidRPr="00324C76">
              <w:rPr>
                <w:color w:val="000000"/>
                <w:sz w:val="24"/>
              </w:rPr>
              <w:t/>
            </w:r>
          </w:p>
        </w:tc>
        <w:tc>
          <w:tcPr>
            <w:tcW w:type="dxa" w:w="339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债券品种</w:t>
            </w:r>
          </w:p>
        </w:tc>
        <w:tc>
          <w:tcPr>
            <w:tcW w:type="dxa" w:w="2801"/>
            <w:vAlign w:val="center"/>
          </w:tcPr>
          <w:p w:rsidP="00AA5BDE" w:rsidR="00BA574A" w:rsidRDefault="00BA574A" w:rsidRPr="00324C76">
            <w:pPr>
              <w:spacing w:before="29" w:line="288" w:lineRule="auto"/>
              <w:ind w:left="17"/>
              <w:jc w:val="center"/>
              <w:rPr>
                <w:color w:val="000000"/>
                <w:sz w:val="24"/>
              </w:rPr>
            </w:pPr>
            <w:r w:rsidRPr="00324C76">
              <w:rPr>
                <w:color w:val="000000"/>
                <w:sz w:val="24"/>
              </w:rPr>
              <w:t>公允价值</w:t>
            </w:r>
          </w:p>
        </w:tc>
        <w:tc>
          <w:tcPr>
            <w:tcW w:type="dxa" w:w="1827"/>
            <w:vAlign w:val="center"/>
          </w:tcPr>
          <w:p w:rsidP="00B04217" w:rsidR="00BA574A" w:rsidRDefault="00A20072" w:rsidRPr="00324C76">
            <w:pPr>
              <w:spacing w:before="29" w:line="288" w:lineRule="auto"/>
              <w:ind w:left="17"/>
              <w:jc w:val="center"/>
              <w:rPr>
                <w:color w:val="000000"/>
                <w:sz w:val="24"/>
              </w:rPr>
            </w:pPr>
            <w:r w:rsidRPr="005312D8">
              <w:rPr>
                <w:color w:val="000000"/>
                <w:sz w:val="24"/>
              </w:rPr>
              <w:t>占基金资产净值比例</w:t>
            </w:r>
            <w:r>
              <w:rPr>
                <w:rFonts w:hint="eastAsia"/>
                <w:color w:val="000000"/>
                <w:sz w:val="24"/>
              </w:rPr>
              <w:t>(</w:t>
            </w:r>
            <w:r>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1</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国家债券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2</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央行票据</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r w:rsidRPr="00324C76">
              <w:rPr>
                <w:color w:val="000000"/>
                <w:sz w:val="24"/>
              </w:rPr>
              <w:lastRenderedPageBreak/>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lastRenderedPageBreak/>
              <w:t>3</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金融债券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其中：政策性金融债</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4</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5</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6</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中期票据</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7</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8,000.00</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r w:rsidRPr="00324C76">
              <w:rPr>
                <w:color w:val="000000"/>
                <w:sz w:val="24"/>
              </w:rPr>
              <w:lastRenderedPageBreak/>
              <w:t/>
            </w:r>
            <w:proofErr w:type="spellEnd"/>
            <w:r w:rsidRPr="00324C76">
              <w:rPr>
                <w:color w:val="000000"/>
                <w:sz w:val="24"/>
              </w:rPr>
              <w:t>0.00</w:t>
            </w:r>
          </w:p>
        </w:tc>
      </w:tr>
      <w:tr w:rsidR="004F1DD8" w:rsidRPr="00324C76" w:rsidTr="00622A9C">
        <w:trPr>
          <w:jc w:val="center"/>
        </w:trPr>
        <w:tc>
          <w:tcPr>
            <w:tcW w:type="dxa" w:w="850"/>
            <w:vAlign w:val="center"/>
          </w:tcPr>
          <w:p w:rsidP="00622A9C" w:rsidR="004F1DD8" w:rsidRDefault="004F1DD8" w:rsidRPr="00AF09A2">
            <w:pPr>
              <w:spacing w:before="29" w:line="288" w:lineRule="auto"/>
              <w:ind w:left="17"/>
              <w:jc w:val="center"/>
              <w:rPr>
                <w:color w:val="000000"/>
                <w:sz w:val="24"/>
              </w:rPr>
            </w:pPr>
            <w:r w:rsidRPr="00AF09A2">
              <w:rPr>
                <w:rFonts w:hint="eastAsia"/>
                <w:color w:val="000000"/>
                <w:sz w:val="24"/>
              </w:rPr>
              <w:lastRenderedPageBreak/>
              <w:t>8</w:t>
            </w:r>
          </w:p>
        </w:tc>
        <w:tc>
          <w:tcPr>
            <w:tcW w:type="dxa" w:w="3390"/>
            <w:vAlign w:val="center"/>
          </w:tcPr>
          <w:p w:rsidP="00622A9C" w:rsidR="004F1DD8" w:rsidRDefault="004F1DD8" w:rsidRPr="00AF09A2">
            <w:pPr>
              <w:spacing w:before="29" w:line="288" w:lineRule="auto"/>
              <w:ind w:left="17"/>
              <w:jc w:val="left"/>
              <w:rPr>
                <w:color w:val="000000"/>
                <w:sz w:val="24"/>
              </w:rPr>
            </w:pPr>
            <w:r w:rsidRPr="00AF09A2">
              <w:rPr>
                <w:rFonts w:hint="eastAsia"/>
                <w:color w:val="000000"/>
                <w:sz w:val="24"/>
              </w:rPr>
              <w:t>同业存单</w:t>
            </w:r>
          </w:p>
        </w:tc>
        <w:tc>
          <w:tcPr>
            <w:tcW w:type="dxa" w:w="2801"/>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proofErr w:type="spellStart"/>
            <w:r w:rsidRPr="00AF09A2">
              <w:rPr>
                <w:color w:val="000000"/>
                <w:sz w:val="24"/>
              </w:rPr>
              <w:t/>
            </w:r>
            <w:proofErr w:type="spellEnd"/>
            <w:r w:rsidRPr="00AF09A2">
              <w:rPr>
                <w:rFonts w:hint="eastAsia"/>
                <w:color w:val="000000"/>
                <w:sz w:val="24"/>
              </w:rPr>
              <w:t>-</w:t>
            </w:r>
          </w:p>
        </w:tc>
        <w:tc>
          <w:tcPr>
            <w:tcW w:type="dxa" w:w="1827"/>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proofErr w:type="spellStart"/>
            <w:r w:rsidRPr="00AF09A2">
              <w:rPr>
                <w:color w:val="000000"/>
                <w:sz w:val="24"/>
              </w:rPr>
              <w:t/>
            </w:r>
            <w:proofErr w:type="spellEnd"/>
            <w:r w:rsidRPr="00AF09A2">
              <w:rPr>
                <w:rFonts w:hint="eastAsia"/>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9</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其他</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10</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合计</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8,000.00</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0.00</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3A1482" w:rsidR="003A1482" w:rsidRDefault="003A1482" w:rsidRPr="00A34903">
      <w:pPr>
        <w:autoSpaceDE w:val="0"/>
        <w:autoSpaceDN w:val="0"/>
        <w:adjustRightInd w:val="0"/>
        <w:spacing w:before="29" w:line="288" w:lineRule="auto"/>
        <w:ind w:left="15"/>
        <w:jc w:val="right"/>
        <w:rPr>
          <w:color w:val="000000"/>
          <w:sz w:val="24"/>
        </w:rPr>
      </w:pPr>
      <w:r w:rsidRPr="00A34903">
        <w:rPr>
          <w:color w:val="000000"/>
          <w:sz w:val="24"/>
        </w:rPr>
        <w:t/>
      </w:r>
      <w:proofErr w:type="spellStart"/>
      <w:r w:rsidRPr="00A34903">
        <w:rPr>
          <w:color w:val="000000"/>
          <w:sz w:val="24"/>
        </w:rPr>
        <w:t/>
      </w:r>
      <w:proofErr w:type="spellEnd"/>
      <w:r w:rsidRPr="00A34903">
        <w:rPr>
          <w:color w:val="000000"/>
          <w:sz w:val="24"/>
        </w:rPr>
        <w:t/>
      </w:r>
      <w:r w:rsidRPr="00A34903">
        <w:rPr>
          <w:rFonts w:hint="eastAsia"/>
          <w:color w:val="00000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915"/>
        <w:gridCol w:w="1327"/>
        <w:gridCol w:w="1916"/>
        <w:gridCol w:w="1385"/>
      </w:tblGrid>
      <w:tr w:rsidR="00BA574A" w:rsidRPr="00324C76" w:rsidTr="003A1482">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475"/>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债券代码</w:t>
            </w:r>
          </w:p>
        </w:tc>
        <w:tc>
          <w:tcPr>
            <w:tcW w:type="dxa" w:w="1915"/>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债券名称</w:t>
            </w:r>
          </w:p>
        </w:tc>
        <w:tc>
          <w:tcPr>
            <w:tcW w:type="dxa" w:w="1327"/>
            <w:vAlign w:val="center"/>
          </w:tcPr>
          <w:p w:rsidP="00B04217" w:rsidR="00BA574A" w:rsidRDefault="0021347B" w:rsidRPr="00324C76">
            <w:pPr>
              <w:spacing w:before="29" w:line="288" w:lineRule="auto"/>
              <w:ind w:left="17"/>
              <w:jc w:val="center"/>
              <w:rPr>
                <w:color w:val="000000"/>
                <w:sz w:val="24"/>
              </w:rPr>
            </w:pPr>
            <w:r w:rsidRPr="005312D8">
              <w:rPr>
                <w:color w:val="000000"/>
                <w:sz w:val="24"/>
              </w:rPr>
              <w:t>数量</w:t>
            </w:r>
            <w:r>
              <w:rPr>
                <w:rFonts w:hint="eastAsia"/>
                <w:color w:val="000000"/>
                <w:sz w:val="24"/>
              </w:rPr>
              <w:t>(</w:t>
            </w:r>
            <w:r>
              <w:rPr>
                <w:rFonts w:hint="eastAsia"/>
                <w:color w:val="000000"/>
                <w:sz w:val="24"/>
              </w:rPr>
              <w:t>张</w:t>
            </w:r>
            <w:r>
              <w:rPr>
                <w:color w:val="000000"/>
                <w:sz w:val="24"/>
              </w:rPr>
              <w:t>)</w:t>
            </w:r>
          </w:p>
        </w:tc>
        <w:tc>
          <w:tcPr>
            <w:tcW w:type="dxa" w:w="1916"/>
            <w:vAlign w:val="center"/>
          </w:tcPr>
          <w:p w:rsidP="00B04217" w:rsidR="00BA574A" w:rsidRDefault="00BA574A" w:rsidRPr="00324C76">
            <w:pPr>
              <w:spacing w:before="29" w:line="288" w:lineRule="auto"/>
              <w:ind w:left="17"/>
              <w:jc w:val="center"/>
              <w:rPr>
                <w:color w:val="000000"/>
                <w:sz w:val="24"/>
              </w:rPr>
            </w:pPr>
            <w:r w:rsidRPr="00324C76">
              <w:rPr>
                <w:color w:val="000000"/>
                <w:sz w:val="24"/>
              </w:rPr>
              <w:t>公允价值</w:t>
            </w:r>
          </w:p>
        </w:tc>
        <w:tc>
          <w:tcPr>
            <w:tcW w:type="dxa" w:w="1385"/>
            <w:vAlign w:val="center"/>
          </w:tcPr>
          <w:p w:rsidP="00B04217" w:rsidR="00BA574A" w:rsidRDefault="0021347B" w:rsidRPr="00324C76">
            <w:pPr>
              <w:spacing w:before="29" w:line="288" w:lineRule="auto"/>
              <w:ind w:left="17"/>
              <w:jc w:val="center"/>
              <w:rPr>
                <w:color w:val="000000"/>
                <w:sz w:val="24"/>
              </w:rPr>
            </w:pPr>
            <w:r w:rsidRPr="005312D8">
              <w:rPr>
                <w:color w:val="00000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113044</w:t>
            </w:r>
          </w:p>
        </w:tc>
        <w:tc>
          <w:tcPr>
            <w:vAlign w:val="center"/>
          </w:tcPr>
          <w:p>
            <w:pPr>
              <w:jc w:val="center"/>
            </w:pPr>
            <w:r>
              <w:rPr>
                <w:color w:val="000000"/>
                <w:sz w:val="24"/>
              </w:rPr>
              <w:t>大秦转债</w:t>
            </w:r>
          </w:p>
        </w:tc>
        <w:tc>
          <w:tcPr>
            <w:vAlign w:val="center"/>
          </w:tcPr>
          <w:p>
            <w:pPr>
              <w:jc w:val="right"/>
            </w:pPr>
            <w:r>
              <w:rPr>
                <w:color w:val="000000"/>
                <w:sz w:val="24"/>
              </w:rPr>
              <w:t>80</w:t>
            </w:r>
          </w:p>
        </w:tc>
        <w:tc>
          <w:tcPr>
            <w:vAlign w:val="center"/>
          </w:tcPr>
          <w:p>
            <w:pPr>
              <w:jc w:val="right"/>
            </w:pPr>
            <w:r>
              <w:rPr>
                <w:color w:val="000000"/>
                <w:sz w:val="24"/>
              </w:rPr>
              <w:t>8,000.00</w:t>
            </w:r>
          </w:p>
        </w:tc>
        <w:tc>
          <w:tcPr>
            <w:vAlign w:val="center"/>
          </w:tcPr>
          <w:p>
            <w:pPr>
              <w:jc w:val="right"/>
            </w:pPr>
            <w:r>
              <w:rPr>
                <w:color w:val="000000"/>
                <w:sz w:val="24"/>
              </w:rPr>
              <w:t>0.00</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
      </w:r>
      <w:proofErr w:type="spellStart"/>
      <w:r w:rsidRPr="002124AD">
        <w:rPr>
          <w:sz w:val="24"/>
        </w:rPr>
        <w:t/>
      </w:r>
      <w:proofErr w:type="spellEnd"/>
      <w:r w:rsidRPr="002124AD">
        <w:rPr>
          <w:sz w:val="24"/>
        </w:rPr>
        <w:t/>
      </w:r>
      <w:proofErr w:type="spellStart"/>
      <w:r w:rsidRPr="002124AD">
        <w:rPr>
          <w:sz w:val="24"/>
        </w:rPr>
        <w:t/>
      </w:r>
      <w:proofErr w:type="spellEnd"/>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5.12.2</w:t>
      </w:r>
      <w:r w:rsidRPr="00120EC8">
        <w:rPr>
          <w:kern w:val="0"/>
          <w:sz w:val="24"/>
        </w:rPr>
        <w:t>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proofErr w:type="spellStart"/>
      <w:r w:rsidRPr="000A02AE">
        <w:rPr>
          <w:rFonts w:hint="eastAsia"/>
          <w:kern w:val="0"/>
          <w:sz w:val="24"/>
        </w:rPr>
        <w:t/>
      </w:r>
      <w:proofErr w:type="spellEnd"/>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11,356.32</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4,936.93</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46,025.96</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62,319.21</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r w:rsidRPr="00390F9A">
        <w:rPr>
          <w:b/>
          <w:color w:val="000000"/>
          <w:kern w:val="0"/>
          <w:sz w:val="24"/>
        </w:rPr>
        <w:t/>
      </w:r>
      <w:proofErr w:type="spellStart"/>
      <w:r w:rsidRPr="00390F9A">
        <w:rPr>
          <w:b/>
          <w:color w:val="000000"/>
          <w:kern w:val="0"/>
          <w:sz w:val="24"/>
        </w:rPr>
        <w:t/>
      </w:r>
      <w:proofErr w:type="spellEnd"/>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p w:rsidP="00B04217" w:rsidR="002620C9" w:rsidRDefault="00A40C1C" w:rsidRPr="00324C76">
      <w:pPr>
        <w:spacing w:before="29" w:line="288" w:lineRule="auto"/>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
      </w:r>
      <w:proofErr w:type="spellStart"/>
      <w:r w:rsidRPr="00C51B4E">
        <w:rPr>
          <w:rFonts w:eastAsiaTheme="minorEastAsia"/>
          <w:color w:themeColor="text1" w:val="000000"/>
          <w:kern w:val="0"/>
          <w:sz w:val="21"/>
          <w:szCs w:val="21"/>
        </w:rPr>
        <w:t/>
      </w:r>
      <w:proofErr w:type="spellEnd"/>
      <w:r w:rsidRPr="00C51B4E">
        <w:rPr>
          <w:rFonts w:eastAsiaTheme="minorEastAsia"/>
          <w:color w:themeColor="text1" w:val="000000"/>
          <w:kern w:val="0"/>
          <w:sz w:val="21"/>
          <w:szCs w:val="21"/>
        </w:rPr>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r w:rsidR="00A40C1C" w:rsidRPr="00324C76">
              <w:rPr>
                <w:color w:val="000000"/>
                <w:sz w:val="24"/>
              </w:rPr>
              <w:t>210,969,863.78</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4,211,527.59</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
            </w:r>
            <w:proofErr w:type="spellStart"/>
            <w:r w:rsidR="006973EC" w:rsidRPr="00324C76">
              <w:rPr>
                <w:color w:val="000000"/>
                <w:kern w:val="0"/>
                <w:sz w:val="24"/>
              </w:rPr>
              <w:t/>
            </w:r>
            <w:proofErr w:type="spellEnd"/>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13,884,476.59</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201,296,914.78</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
      </w:r>
      <w:proofErr w:type="spellStart"/>
      <w:r>
        <w:rPr>
          <w:rFonts w:eastAsiaTheme="minorEastAsia"/>
          <w:color w:val="000000"/>
          <w:kern w:val="0"/>
          <w:sz w:val="24"/>
          <w:szCs w:val="24"/>
        </w:rPr>
        <w:t/>
      </w:r>
      <w:proofErr w:type="spellEnd"/>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w:r>
      <w:proofErr w:type="spellStart"/>
      <w:r w:rsidRPr="00F229B7">
        <w:rPr>
          <w:b/>
          <w:sz w:val="24"/>
        </w:rPr>
        <w:t/>
      </w:r>
      <w:proofErr w:type="spellEnd"/>
      <w:r w:rsidRPr="00F229B7">
        <w:rPr>
          <w:b/>
          <w:sz w:val="24"/>
        </w:rPr>
        <w:t xml:space="preserve">7.1 </w:t>
      </w:r>
      <w:r w:rsidRPr="00F229B7">
        <w:rPr>
          <w:b/>
          <w:sz w:val="24"/>
        </w:rPr>
        <w:t>基金管理人持有本基金份额变动情况</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本报告期内未发生基金管理人运用固有资金投资本基金的情况。</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w:r>
      <w:proofErr w:type="spellStart"/>
      <w:r w:rsidRPr="00F20F7C">
        <w:rPr>
          <w:b/>
          <w:sz w:val="24"/>
        </w:rPr>
        <w:t/>
      </w:r>
      <w:proofErr w:type="spellEnd"/>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C500CD">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w:t>
      </w:r>
      <w:r w:rsidR="00696A7B">
        <w:rPr>
          <w:rFonts w:asciiTheme="minorEastAsia" w:cs="Arial" w:eastAsiaTheme="minorEastAsia" w:hAnsiTheme="minorEastAsia" w:hint="eastAsia"/>
          <w:color w:themeColor="text1" w:val="000000"/>
          <w:kern w:val="0"/>
          <w:sz w:val="24"/>
          <w:szCs w:val="24"/>
        </w:rPr>
        <w:t/>
      </w:r>
      <w:proofErr w:type="spellStart"/>
      <w:r w:rsidR="00696A7B">
        <w:rPr>
          <w:rFonts w:asciiTheme="minorEastAsia" w:cs="Arial" w:eastAsiaTheme="minorEastAsia" w:hAnsiTheme="minorEastAsia" w:hint="eastAsia"/>
          <w:color w:themeColor="text1" w:val="000000"/>
          <w:kern w:val="0"/>
          <w:sz w:val="24"/>
          <w:szCs w:val="24"/>
        </w:rPr>
        <w:t/>
      </w:r>
      <w:proofErr w:type="spellEnd"/>
      <w:r w:rsidR="00696A7B">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sidR="00696A7B">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lastRenderedPageBreak/>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影响投资者决策的其他重要信息</w:t>
      </w:r>
    </w:p>
    <w:p w:rsidP="00696A7B" w:rsidR="00696A7B" w:rsidRDefault="00696A7B">
      <w:pPr>
        <w:spacing w:line="360" w:lineRule="auto"/>
        <w:ind w:firstLine="480" w:firstLineChars="200"/>
        <w:rPr>
          <w:rFonts w:ascii="宋体" w:hAnsi="宋体"/>
          <w:color w:val="000000"/>
          <w:sz w:val="24"/>
        </w:rPr>
      </w:pPr>
      <w:r>
        <w:rPr>
          <w:rFonts w:ascii="宋体" w:hAnsi="宋体" w:hint="eastAsia"/>
          <w:color w:val="000000"/>
          <w:sz w:val="24"/>
        </w:rPr>
        <w:t/>
      </w:r>
      <w:proofErr w:type="spellStart"/>
      <w:r>
        <w:rPr>
          <w:rFonts w:ascii="宋体" w:hAnsi="宋体" w:hint="eastAsia"/>
          <w:color w:val="000000"/>
          <w:sz w:val="24"/>
        </w:rPr>
        <w:t/>
      </w:r>
      <w:proofErr w:type="spellEnd"/>
      <w:r>
        <w:rPr>
          <w:rFonts w:ascii="宋体" w:hAnsi="宋体" w:hint="eastAsia"/>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B04217" w:rsidR="00E42623" w:rsidRDefault="00E42623" w:rsidRPr="00324C76">
      <w:pPr>
        <w:spacing w:before="29" w:line="288" w:lineRule="auto"/>
        <w:ind w:firstLine="480" w:firstLineChars="200"/>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1、中国证监会核准交银施罗德上证180公司治理交易型开放式指数证券投资基金联接基金募集的文件；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2、《交银施罗德上证180公司治理交易型开放式指数证券投资基金联接基金基金合同》； </w:t>
      </w:r>
    </w:p>
    <w:p>
      <w:pPr>
        <w:spacing w:before="29" w:line="288" w:lineRule="auto"/>
        <w:ind w:firstLine="480" w:firstLineChars="200"/>
        <w:rPr>
          <w:color w:val="000000"/>
          <w:sz w:val="24"/>
        </w:rPr>
      </w:pPr>
      <w:r>
        <w:rPr>
          <w:color w:val="000000"/>
          <w:sz w:val="24"/>
        </w:rPr>
        <w:t>3、《交银施罗德上证180公司治理交易型开放式指数证券投资基金联接基金招募说明书》；</w:t>
      </w:r>
    </w:p>
    <w:p>
      <w:pPr>
        <w:spacing w:before="29" w:line="288" w:lineRule="auto"/>
        <w:ind w:firstLine="480" w:firstLineChars="200"/>
        <w:rPr>
          <w:color w:val="000000"/>
          <w:sz w:val="24"/>
        </w:rPr>
      </w:pPr>
      <w:r>
        <w:rPr>
          <w:color w:val="000000"/>
          <w:sz w:val="24"/>
        </w:rPr>
        <w:t>4、《交银施罗德上证180公司治理交易型开放式指数证券投资基金联接基金托管协议》；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5、关于申请募集交银施罗德上证180公司治理交易型开放式指数证券投资基金联接基金之法律意见书；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8、报告期内交银施罗德上证180公司治理交易型开放式指数证券投资基金联接基金在指定报刊上各项公告的原稿。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
      </w:r>
      <w:proofErr w:type="spellStart"/>
      <w:r w:rsidRPr="00324C76">
        <w:rPr>
          <w:color w:val="000000"/>
          <w:sz w:val="24"/>
        </w:rPr>
        <w:t/>
      </w:r>
      <w:proofErr w:type="spellEnd"/>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41" w:rsidRDefault="006C7741">
      <w:r>
        <w:separator/>
      </w:r>
    </w:p>
  </w:endnote>
  <w:endnote w:type="continuationSeparator" w:id="0">
    <w:p w:rsidR="006C7741" w:rsidRDefault="006C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4D4B49">
      <w:rPr>
        <w:noProof/>
        <w:kern w:val="0"/>
        <w:szCs w:val="21"/>
      </w:rPr>
      <w:t>21</w:t>
    </w:r>
    <w:r w:rsidR="007823C0">
      <w:rPr>
        <w:kern w:val="0"/>
        <w:szCs w:val="21"/>
      </w:rPr>
      <w:fldChar w:fldCharType="end"/>
    </w:r>
    <w:proofErr w:type="gramStart"/>
    <w:r>
      <w:rPr>
        <w:rFonts w:hint="eastAsia"/>
        <w:kern w:val="0"/>
        <w:szCs w:val="21"/>
      </w:rPr>
      <w:t>页共</w:t>
    </w:r>
    <w:proofErr w:type="gramEnd"/>
    <w:r w:rsidR="007823C0">
      <w:rPr>
        <w:kern w:val="0"/>
        <w:szCs w:val="21"/>
      </w:rPr>
      <w:fldChar w:fldCharType="begin"/>
    </w:r>
    <w:r>
      <w:rPr>
        <w:kern w:val="0"/>
        <w:szCs w:val="21"/>
      </w:rPr>
      <w:instrText xml:space="preserve"> NUMPAGES </w:instrText>
    </w:r>
    <w:r w:rsidR="007823C0">
      <w:rPr>
        <w:kern w:val="0"/>
        <w:szCs w:val="21"/>
      </w:rPr>
      <w:fldChar w:fldCharType="separate"/>
    </w:r>
    <w:r w:rsidR="004D4B49">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C7741" w:rsidRDefault="006C7741">
      <w:r>
        <w:separator/>
      </w:r>
    </w:p>
  </w:footnote>
  <w:footnote w:id="0" w:type="continuationSeparator">
    <w:p w:rsidR="006C7741" w:rsidRDefault="006C774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交银施罗德上证180公司治理交易型开放式指数证券投资基金联接基金</w:t>
    </w:r>
    <w:proofErr w:type="spellStart"/>
    <w:r w:rsidRPr="003E676C">
      <w:rPr>
        <w:sz w:val="24"/>
        <w:szCs w:val="24"/>
      </w:rPr>
      <w:t/>
    </w:r>
    <w:proofErr w:type="spellEnd"/>
    <w:r w:rsidRPr="003E676C">
      <w:rPr>
        <w:sz w:val="24"/>
        <w:szCs w:val="24"/>
      </w:rPr>
      <w:t>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347B"/>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4B49"/>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C7741"/>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0072"/>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13F"/>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CA48-731E-4570-AA71-0EF792D4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364</TotalTime>
  <Pages>26</Pages>
  <Words>3997</Words>
  <Characters>22784</Characters>
  <Application>Microsoft Office Word</Application>
  <DocSecurity>0</DocSecurity>
  <Lines>189</Lines>
  <Paragraphs>53</Paragraphs>
  <ScaleCrop>false</ScaleCrop>
  <Company>TRT. Ltd. Co.</Company>
  <LinksUpToDate>false</LinksUpToDate>
  <CharactersWithSpaces>26728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2020-08-12T12:57:00Z</dcterms:modified>
  <cp:revision>435</cp:revision>
</cp:coreProperties>
</file>