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交银施罗德品质升级混合型证券投资基金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2018年2月8日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393,029,713.44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59,666,677.13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169,779,043.40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0.4757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853,022,727.55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2.1704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28.81%</w:t>
            </w:r>
          </w:p>
        </w:tc>
        <w:tc>
          <w:tcPr>
            <w:vAlign w:val="center"/>
          </w:tcPr>
          <w:p>
            <w:pPr>
              <w:jc w:val="center"/>
            </w:pPr>
            <w:r>
              <w:rPr>
                <w:color w:val="000000"/>
                <w:sz w:val="24"/>
                <w:szCs w:val="24"/>
              </w:rPr>
              <w:t>1.11%</w:t>
            </w:r>
          </w:p>
        </w:tc>
        <w:tc>
          <w:tcPr>
            <w:vAlign w:val="center"/>
          </w:tcPr>
          <w:p>
            <w:pPr>
              <w:jc w:val="center"/>
            </w:pPr>
            <w:r>
              <w:rPr>
                <w:color w:val="000000"/>
                <w:sz w:val="24"/>
                <w:szCs w:val="24"/>
              </w:rPr>
              <w:t>8.55%</w:t>
            </w:r>
          </w:p>
        </w:tc>
        <w:tc>
          <w:tcPr>
            <w:vAlign w:val="center"/>
          </w:tcPr>
          <w:p>
            <w:pPr>
              <w:jc w:val="center"/>
            </w:pPr>
            <w:r>
              <w:rPr>
                <w:color w:val="000000"/>
                <w:sz w:val="24"/>
                <w:szCs w:val="24"/>
              </w:rPr>
              <w:t>0.59%</w:t>
            </w:r>
          </w:p>
        </w:tc>
        <w:tc>
          <w:tcPr>
            <w:vAlign w:val="center"/>
          </w:tcPr>
          <w:p>
            <w:pPr>
              <w:jc w:val="center"/>
            </w:pPr>
            <w:r>
              <w:rPr>
                <w:color w:val="000000"/>
                <w:sz w:val="24"/>
                <w:szCs w:val="24"/>
              </w:rPr>
              <w:t>20.26%</w:t>
            </w:r>
          </w:p>
        </w:tc>
        <w:tc>
          <w:tcPr>
            <w:vAlign w:val="center"/>
          </w:tcPr>
          <w:p>
            <w:pPr>
              <w:jc w:val="center"/>
            </w:pPr>
            <w:r>
              <w:rPr>
                <w:color w:val="000000"/>
                <w:sz w:val="24"/>
                <w:szCs w:val="24"/>
              </w:rPr>
              <w:t>0.52%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54.92%</w:t>
            </w:r>
          </w:p>
        </w:tc>
        <w:tc>
          <w:tcPr>
            <w:vAlign w:val="center"/>
          </w:tcPr>
          <w:p>
            <w:pPr>
              <w:jc w:val="center"/>
            </w:pPr>
            <w:r>
              <w:rPr>
                <w:color w:val="000000"/>
                <w:sz w:val="24"/>
                <w:szCs w:val="24"/>
              </w:rPr>
              <w:t>1.36%</w:t>
            </w:r>
          </w:p>
        </w:tc>
        <w:tc>
          <w:tcPr>
            <w:vAlign w:val="center"/>
          </w:tcPr>
          <w:p>
            <w:pPr>
              <w:jc w:val="center"/>
            </w:pPr>
            <w:r>
              <w:rPr>
                <w:color w:val="000000"/>
                <w:sz w:val="24"/>
                <w:szCs w:val="24"/>
              </w:rPr>
              <w:t>15.02%</w:t>
            </w:r>
          </w:p>
        </w:tc>
        <w:tc>
          <w:tcPr>
            <w:vAlign w:val="center"/>
          </w:tcPr>
          <w:p>
            <w:pPr>
              <w:jc w:val="center"/>
            </w:pPr>
            <w:r>
              <w:rPr>
                <w:color w:val="000000"/>
                <w:sz w:val="24"/>
                <w:szCs w:val="24"/>
              </w:rPr>
              <w:t>0.80%</w:t>
            </w:r>
          </w:p>
        </w:tc>
        <w:tc>
          <w:tcPr>
            <w:vAlign w:val="center"/>
          </w:tcPr>
          <w:p>
            <w:pPr>
              <w:jc w:val="center"/>
            </w:pPr>
            <w:r>
              <w:rPr>
                <w:color w:val="000000"/>
                <w:sz w:val="24"/>
                <w:szCs w:val="24"/>
              </w:rPr>
              <w:t>39.90%</w:t>
            </w:r>
          </w:p>
        </w:tc>
        <w:tc>
          <w:tcPr>
            <w:vAlign w:val="center"/>
          </w:tcPr>
          <w:p>
            <w:pPr>
              <w:jc w:val="center"/>
            </w:pPr>
            <w:r>
              <w:rPr>
                <w:color w:val="000000"/>
                <w:sz w:val="24"/>
                <w:szCs w:val="24"/>
              </w:rPr>
              <w:t>0.56%</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104.75%</w:t>
            </w:r>
          </w:p>
        </w:tc>
        <w:tc>
          <w:tcPr>
            <w:vAlign w:val="center"/>
          </w:tcPr>
          <w:p>
            <w:pPr>
              <w:jc w:val="center"/>
            </w:pPr>
            <w:r>
              <w:rPr>
                <w:color w:val="000000"/>
                <w:sz w:val="24"/>
                <w:szCs w:val="24"/>
              </w:rPr>
              <w:t>1.52%</w:t>
            </w:r>
          </w:p>
        </w:tc>
        <w:tc>
          <w:tcPr>
            <w:vAlign w:val="center"/>
          </w:tcPr>
          <w:p>
            <w:pPr>
              <w:jc w:val="center"/>
            </w:pPr>
            <w:r>
              <w:rPr>
                <w:color w:val="000000"/>
                <w:sz w:val="24"/>
                <w:szCs w:val="24"/>
              </w:rPr>
              <w:t>17.63%</w:t>
            </w:r>
          </w:p>
        </w:tc>
        <w:tc>
          <w:tcPr>
            <w:vAlign w:val="center"/>
          </w:tcPr>
          <w:p>
            <w:pPr>
              <w:jc w:val="center"/>
            </w:pPr>
            <w:r>
              <w:rPr>
                <w:color w:val="000000"/>
                <w:sz w:val="24"/>
                <w:szCs w:val="24"/>
              </w:rPr>
              <w:t>0.85%</w:t>
            </w:r>
          </w:p>
        </w:tc>
        <w:tc>
          <w:tcPr>
            <w:vAlign w:val="center"/>
          </w:tcPr>
          <w:p>
            <w:pPr>
              <w:jc w:val="center"/>
            </w:pPr>
            <w:r>
              <w:rPr>
                <w:color w:val="000000"/>
                <w:sz w:val="24"/>
                <w:szCs w:val="24"/>
              </w:rPr>
              <w:t>87.12%</w:t>
            </w:r>
          </w:p>
        </w:tc>
        <w:tc>
          <w:tcPr>
            <w:vAlign w:val="center"/>
          </w:tcPr>
          <w:p>
            <w:pPr>
              <w:jc w:val="center"/>
            </w:pPr>
            <w:r>
              <w:rPr>
                <w:color w:val="000000"/>
                <w:sz w:val="24"/>
                <w:szCs w:val="24"/>
              </w:rPr>
              <w:t>0.67%</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117.04%</w:t>
            </w:r>
          </w:p>
        </w:tc>
        <w:tc>
          <w:tcPr>
            <w:vAlign w:val="center"/>
          </w:tcPr>
          <w:p>
            <w:pPr>
              <w:jc w:val="center"/>
            </w:pPr>
            <w:r>
              <w:rPr>
                <w:color w:val="000000"/>
                <w:sz w:val="24"/>
                <w:szCs w:val="24"/>
              </w:rPr>
              <w:t>1.46%</w:t>
            </w:r>
          </w:p>
        </w:tc>
        <w:tc>
          <w:tcPr>
            <w:vAlign w:val="center"/>
          </w:tcPr>
          <w:p>
            <w:pPr>
              <w:jc w:val="center"/>
            </w:pPr>
            <w:r>
              <w:rPr>
                <w:color w:val="000000"/>
                <w:sz w:val="24"/>
                <w:szCs w:val="24"/>
              </w:rPr>
              <w:t>25.40%</w:t>
            </w:r>
          </w:p>
        </w:tc>
        <w:tc>
          <w:tcPr>
            <w:vAlign w:val="center"/>
          </w:tcPr>
          <w:p>
            <w:pPr>
              <w:jc w:val="center"/>
            </w:pPr>
            <w:r>
              <w:rPr>
                <w:color w:val="000000"/>
                <w:sz w:val="24"/>
                <w:szCs w:val="24"/>
              </w:rPr>
              <w:t>0.81%</w:t>
            </w:r>
          </w:p>
        </w:tc>
        <w:tc>
          <w:tcPr>
            <w:vAlign w:val="center"/>
          </w:tcPr>
          <w:p>
            <w:pPr>
              <w:jc w:val="center"/>
            </w:pPr>
            <w:r>
              <w:rPr>
                <w:color w:val="000000"/>
                <w:sz w:val="24"/>
                <w:szCs w:val="24"/>
              </w:rPr>
              <w:t>91.64%</w:t>
            </w:r>
          </w:p>
        </w:tc>
        <w:tc>
          <w:tcPr>
            <w:vAlign w:val="center"/>
          </w:tcPr>
          <w:p>
            <w:pPr>
              <w:jc w:val="center"/>
            </w:pPr>
            <w:r>
              <w:rPr>
                <w:color w:val="000000"/>
                <w:sz w:val="24"/>
                <w:szCs w:val="24"/>
              </w:rPr>
              <w:t>0.65%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交银施罗德品质升级混合型证券投资基金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2018年2月8日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交银策略回报灵活配置混合、交银消费新驱动股票、交银股息优化混合、交银品质升级混合、交银内需增长混合的基金经理</w:t>
            </w:r>
          </w:p>
        </w:tc>
        <w:tc>
          <w:tcPr>
            <w:vAlign w:val="center"/>
          </w:tcPr>
          <w:p>
            <w:pPr>
              <w:jc w:val="center"/>
            </w:pPr>
            <w:r>
              <w:rPr>
                <w:color w:val="000000"/>
                <w:sz w:val="24"/>
                <w:szCs w:val="24"/>
              </w:rPr>
              <w:t>2018-02-08</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四季度，全球疫情出现反复，国内疫情也出现零星爆发，全球流动性依然维持在较高水平，各类资产出现比较明显的上涨。接近年底，国内流动性出现了一定的收缩，使得整个国内资本市场出现了进一步的大分化，以消费、医药以及新能源等长期赛道为首的资产出现了比较明显的上涨，流动性较差的股票则出现比较明显的回落。</w:t>
      </w:r>
    </w:p>
    <w:p>
      <w:pPr>
        <w:spacing w:before="29" w:line="288" w:lineRule="auto"/>
        <w:ind w:firstLine="480" w:firstLineChars="200"/>
        <w:rPr>
          <w:color w:val="000000"/>
          <w:sz w:val="24"/>
          <w:szCs w:val="24"/>
        </w:rPr>
      </w:pPr>
      <w:r>
        <w:rPr>
          <w:color w:val="000000"/>
          <w:sz w:val="24"/>
          <w:szCs w:val="24"/>
        </w:rPr>
        <w:t>本基金四季度依然维持以消费医药白马为基础底仓的思路，适度增持了一些低估值的金融地产，增加了整个组合的均衡度和平衡感，降低了整个组合的估值水平。</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我们保持谨慎乐观，整体预期收益率较前两年可能要出现明显下降：（1）如果海外疫情得不到控制，整个全球流动性将依然保持高水位。考虑到人民币汇率升值压力，国内流动性也将维持在较为宽松的水平，但是整个国内信用收缩或将成为必然。（2）外资流入加快。我们认为，2021年一季度的资本市场将出现进一步分化，特别是热门赛道里也将出现比较明显的分化。我们在组合上将进一步均衡，希望寻找各个行业的阿尔法来抵消未来可能出现的整体估值下行。（1）寻找消费、医药行业中，未来还有可能提升一致预期的公司；（2）均衡组合配置，以部分低估值高分红公司（剔除价值陷阱）替代现金。</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749,242,680.48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749,242,680.48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95,799,855.16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21,417,285.17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866,459,820.81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519,238,299.92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16,322.72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8,613,394.28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41,641,959.83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4.88</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10,088,634.78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25,691,356.49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64,917,813.54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36,442,590.00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689,108.95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35,135,892.69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6,767,307.28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749,242,680.48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87.83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40,651</w:t>
            </w:r>
          </w:p>
        </w:tc>
        <w:tc>
          <w:tcPr>
            <w:vAlign w:val="center"/>
          </w:tcPr>
          <w:p>
            <w:pPr>
              <w:jc w:val="right"/>
            </w:pPr>
            <w:r>
              <w:rPr>
                <w:color w:val="000000"/>
                <w:sz w:val="24"/>
                <w:szCs w:val="24"/>
              </w:rPr>
              <w:t>81,220,698.00</w:t>
            </w:r>
          </w:p>
        </w:tc>
        <w:tc>
          <w:tcPr>
            <w:vAlign w:val="center"/>
          </w:tcPr>
          <w:p>
            <w:pPr>
              <w:jc w:val="right"/>
            </w:pPr>
            <w:r>
              <w:rPr>
                <w:color w:val="000000"/>
                <w:sz w:val="24"/>
                <w:szCs w:val="24"/>
              </w:rPr>
              <w:t>9.52</w:t>
            </w:r>
          </w:p>
        </w:tc>
      </w:tr>
      <w:tr>
        <w:tc>
          <w:tcPr>
            <w:vAlign w:val="center"/>
          </w:tcPr>
          <w:p>
            <w:pPr>
              <w:jc w:val="center"/>
            </w:pPr>
            <w:r>
              <w:rPr>
                <w:color w:val="000000"/>
                <w:sz w:val="24"/>
                <w:szCs w:val="24"/>
              </w:rPr>
              <w:t>2</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327,455</w:t>
            </w:r>
          </w:p>
        </w:tc>
        <w:tc>
          <w:tcPr>
            <w:vAlign w:val="center"/>
          </w:tcPr>
          <w:p>
            <w:pPr>
              <w:jc w:val="right"/>
            </w:pPr>
            <w:r>
              <w:rPr>
                <w:color w:val="000000"/>
                <w:sz w:val="24"/>
                <w:szCs w:val="24"/>
              </w:rPr>
              <w:t>77,276,105.45</w:t>
            </w:r>
          </w:p>
        </w:tc>
        <w:tc>
          <w:tcPr>
            <w:vAlign w:val="center"/>
          </w:tcPr>
          <w:p>
            <w:pPr>
              <w:jc w:val="right"/>
            </w:pPr>
            <w:r>
              <w:rPr>
                <w:color w:val="000000"/>
                <w:sz w:val="24"/>
                <w:szCs w:val="24"/>
              </w:rPr>
              <w:t>9.06</w:t>
            </w:r>
          </w:p>
        </w:tc>
      </w:tr>
      <w:tr>
        <w:tc>
          <w:tcPr>
            <w:vAlign w:val="center"/>
          </w:tcPr>
          <w:p>
            <w:pPr>
              <w:jc w:val="center"/>
            </w:pPr>
            <w:r>
              <w:rPr>
                <w:color w:val="000000"/>
                <w:sz w:val="24"/>
                <w:szCs w:val="24"/>
              </w:rPr>
              <w:t>3</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2,261,632</w:t>
            </w:r>
          </w:p>
        </w:tc>
        <w:tc>
          <w:tcPr>
            <w:vAlign w:val="center"/>
          </w:tcPr>
          <w:p>
            <w:pPr>
              <w:jc w:val="right"/>
            </w:pPr>
            <w:r>
              <w:rPr>
                <w:color w:val="000000"/>
                <w:sz w:val="24"/>
                <w:szCs w:val="24"/>
              </w:rPr>
              <w:t>64,908,838.40</w:t>
            </w:r>
          </w:p>
        </w:tc>
        <w:tc>
          <w:tcPr>
            <w:vAlign w:val="center"/>
          </w:tcPr>
          <w:p>
            <w:pPr>
              <w:jc w:val="right"/>
            </w:pPr>
            <w:r>
              <w:rPr>
                <w:color w:val="000000"/>
                <w:sz w:val="24"/>
                <w:szCs w:val="24"/>
              </w:rPr>
              <w:t>7.61</w:t>
            </w:r>
          </w:p>
        </w:tc>
      </w:tr>
      <w:tr>
        <w:tc>
          <w:tcPr>
            <w:vAlign w:val="center"/>
          </w:tcPr>
          <w:p>
            <w:pPr>
              <w:jc w:val="center"/>
            </w:pPr>
            <w:r>
              <w:rPr>
                <w:color w:val="000000"/>
                <w:sz w:val="24"/>
                <w:szCs w:val="24"/>
              </w:rPr>
              <w:t>4</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205,445</w:t>
            </w:r>
          </w:p>
        </w:tc>
        <w:tc>
          <w:tcPr>
            <w:vAlign w:val="center"/>
          </w:tcPr>
          <w:p>
            <w:pPr>
              <w:jc w:val="right"/>
            </w:pPr>
            <w:r>
              <w:rPr>
                <w:color w:val="000000"/>
                <w:sz w:val="24"/>
                <w:szCs w:val="24"/>
              </w:rPr>
              <w:t>59,959,123.25</w:t>
            </w:r>
          </w:p>
        </w:tc>
        <w:tc>
          <w:tcPr>
            <w:vAlign w:val="center"/>
          </w:tcPr>
          <w:p>
            <w:pPr>
              <w:jc w:val="right"/>
            </w:pPr>
            <w:r>
              <w:rPr>
                <w:color w:val="000000"/>
                <w:sz w:val="24"/>
                <w:szCs w:val="24"/>
              </w:rPr>
              <w:t>7.03</w:t>
            </w:r>
          </w:p>
        </w:tc>
      </w:tr>
      <w:tr>
        <w:tc>
          <w:tcPr>
            <w:vAlign w:val="center"/>
          </w:tcPr>
          <w:p>
            <w:pPr>
              <w:jc w:val="center"/>
            </w:pPr>
            <w:r>
              <w:rPr>
                <w:color w:val="000000"/>
                <w:sz w:val="24"/>
                <w:szCs w:val="24"/>
              </w:rPr>
              <w:t>5</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2,094,145</w:t>
            </w:r>
          </w:p>
        </w:tc>
        <w:tc>
          <w:tcPr>
            <w:vAlign w:val="center"/>
          </w:tcPr>
          <w:p>
            <w:pPr>
              <w:jc w:val="right"/>
            </w:pPr>
            <w:r>
              <w:rPr>
                <w:color w:val="000000"/>
                <w:sz w:val="24"/>
                <w:szCs w:val="24"/>
              </w:rPr>
              <w:t>50,573,601.75</w:t>
            </w:r>
          </w:p>
        </w:tc>
        <w:tc>
          <w:tcPr>
            <w:vAlign w:val="center"/>
          </w:tcPr>
          <w:p>
            <w:pPr>
              <w:jc w:val="right"/>
            </w:pPr>
            <w:r>
              <w:rPr>
                <w:color w:val="000000"/>
                <w:sz w:val="24"/>
                <w:szCs w:val="24"/>
              </w:rPr>
              <w:t>5.93</w:t>
            </w:r>
          </w:p>
        </w:tc>
      </w:tr>
      <w:tr>
        <w:tc>
          <w:tcPr>
            <w:vAlign w:val="center"/>
          </w:tcPr>
          <w:p>
            <w:pPr>
              <w:jc w:val="center"/>
            </w:pPr>
            <w:r>
              <w:rPr>
                <w:color w:val="000000"/>
                <w:sz w:val="24"/>
                <w:szCs w:val="24"/>
              </w:rPr>
              <w:t>6</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271,000</w:t>
            </w:r>
          </w:p>
        </w:tc>
        <w:tc>
          <w:tcPr>
            <w:vAlign w:val="center"/>
          </w:tcPr>
          <w:p>
            <w:pPr>
              <w:jc w:val="right"/>
            </w:pPr>
            <w:r>
              <w:rPr>
                <w:color w:val="000000"/>
                <w:sz w:val="24"/>
                <w:szCs w:val="24"/>
              </w:rPr>
              <w:t>42,411,500.00</w:t>
            </w:r>
          </w:p>
        </w:tc>
        <w:tc>
          <w:tcPr>
            <w:vAlign w:val="center"/>
          </w:tcPr>
          <w:p>
            <w:pPr>
              <w:jc w:val="right"/>
            </w:pPr>
            <w:r>
              <w:rPr>
                <w:color w:val="000000"/>
                <w:sz w:val="24"/>
                <w:szCs w:val="24"/>
              </w:rPr>
              <w:t>4.97</w:t>
            </w:r>
          </w:p>
        </w:tc>
      </w:tr>
      <w:tr>
        <w:tc>
          <w:tcPr>
            <w:vAlign w:val="center"/>
          </w:tcPr>
          <w:p>
            <w:pPr>
              <w:jc w:val="center"/>
            </w:pPr>
            <w:r>
              <w:rPr>
                <w:color w:val="000000"/>
                <w:sz w:val="24"/>
                <w:szCs w:val="24"/>
              </w:rPr>
              <w:t>7</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808,111</w:t>
            </w:r>
          </w:p>
        </w:tc>
        <w:tc>
          <w:tcPr>
            <w:vAlign w:val="center"/>
          </w:tcPr>
          <w:p>
            <w:pPr>
              <w:jc w:val="right"/>
            </w:pPr>
            <w:r>
              <w:rPr>
                <w:color w:val="000000"/>
                <w:sz w:val="24"/>
                <w:szCs w:val="24"/>
              </w:rPr>
              <w:t>41,641,959.83</w:t>
            </w:r>
          </w:p>
        </w:tc>
        <w:tc>
          <w:tcPr>
            <w:vAlign w:val="center"/>
          </w:tcPr>
          <w:p>
            <w:pPr>
              <w:jc w:val="right"/>
            </w:pPr>
            <w:r>
              <w:rPr>
                <w:color w:val="000000"/>
                <w:sz w:val="24"/>
                <w:szCs w:val="24"/>
              </w:rPr>
              <w:t>4.88</w:t>
            </w:r>
          </w:p>
        </w:tc>
      </w:tr>
      <w:tr>
        <w:tc>
          <w:tcPr>
            <w:vAlign w:val="center"/>
          </w:tcPr>
          <w:p>
            <w:pPr>
              <w:jc w:val="center"/>
            </w:pPr>
            <w:r>
              <w:rPr>
                <w:color w:val="000000"/>
                <w:sz w:val="24"/>
                <w:szCs w:val="24"/>
              </w:rPr>
              <w:t>8</w:t>
            </w:r>
          </w:p>
        </w:tc>
        <w:tc>
          <w:tcPr>
            <w:vAlign w:val="center"/>
          </w:tcPr>
          <w:p>
            <w:pPr>
              <w:jc w:val="center"/>
            </w:pPr>
            <w:r>
              <w:rPr>
                <w:color w:val="000000"/>
                <w:sz w:val="24"/>
                <w:szCs w:val="24"/>
              </w:rPr>
              <w:t>603259</w:t>
            </w:r>
          </w:p>
        </w:tc>
        <w:tc>
          <w:tcPr>
            <w:vAlign w:val="center"/>
          </w:tcPr>
          <w:p>
            <w:pPr>
              <w:jc w:val="center"/>
            </w:pPr>
            <w:r>
              <w:rPr>
                <w:color w:val="000000"/>
                <w:sz w:val="24"/>
                <w:szCs w:val="24"/>
              </w:rPr>
              <w:t>药明康德</w:t>
            </w:r>
          </w:p>
        </w:tc>
        <w:tc>
          <w:tcPr>
            <w:vAlign w:val="center"/>
          </w:tcPr>
          <w:p>
            <w:pPr>
              <w:jc w:val="right"/>
            </w:pPr>
            <w:r>
              <w:rPr>
                <w:color w:val="000000"/>
                <w:sz w:val="24"/>
                <w:szCs w:val="24"/>
              </w:rPr>
              <w:t>270,390</w:t>
            </w:r>
          </w:p>
        </w:tc>
        <w:tc>
          <w:tcPr>
            <w:vAlign w:val="center"/>
          </w:tcPr>
          <w:p>
            <w:pPr>
              <w:jc w:val="right"/>
            </w:pPr>
            <w:r>
              <w:rPr>
                <w:color w:val="000000"/>
                <w:sz w:val="24"/>
                <w:szCs w:val="24"/>
              </w:rPr>
              <w:t>36,426,940.80</w:t>
            </w:r>
          </w:p>
        </w:tc>
        <w:tc>
          <w:tcPr>
            <w:vAlign w:val="center"/>
          </w:tcPr>
          <w:p>
            <w:pPr>
              <w:jc w:val="right"/>
            </w:pPr>
            <w:r>
              <w:rPr>
                <w:color w:val="000000"/>
                <w:sz w:val="24"/>
                <w:szCs w:val="24"/>
              </w:rPr>
              <w:t>4.27</w:t>
            </w:r>
          </w:p>
        </w:tc>
      </w:tr>
      <w:tr>
        <w:tc>
          <w:tcPr>
            <w:vAlign w:val="center"/>
          </w:tcPr>
          <w:p>
            <w:pPr>
              <w:jc w:val="center"/>
            </w:pPr>
            <w:r>
              <w:rPr>
                <w:color w:val="000000"/>
                <w:sz w:val="24"/>
                <w:szCs w:val="24"/>
              </w:rPr>
              <w:t>9</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307,273</w:t>
            </w:r>
          </w:p>
        </w:tc>
        <w:tc>
          <w:tcPr>
            <w:vAlign w:val="center"/>
          </w:tcPr>
          <w:p>
            <w:pPr>
              <w:jc w:val="right"/>
            </w:pPr>
            <w:r>
              <w:rPr>
                <w:color w:val="000000"/>
                <w:sz w:val="24"/>
                <w:szCs w:val="24"/>
              </w:rPr>
              <w:t>34,248,648.58</w:t>
            </w:r>
          </w:p>
        </w:tc>
        <w:tc>
          <w:tcPr>
            <w:vAlign w:val="center"/>
          </w:tcPr>
          <w:p>
            <w:pPr>
              <w:jc w:val="right"/>
            </w:pPr>
            <w:r>
              <w:rPr>
                <w:color w:val="000000"/>
                <w:sz w:val="24"/>
                <w:szCs w:val="24"/>
              </w:rPr>
              <w:t>4.01</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878,750</w:t>
            </w:r>
          </w:p>
        </w:tc>
        <w:tc>
          <w:tcPr>
            <w:vAlign w:val="center"/>
          </w:tcPr>
          <w:p>
            <w:pPr>
              <w:jc w:val="right"/>
            </w:pPr>
            <w:r>
              <w:rPr>
                <w:color w:val="000000"/>
                <w:sz w:val="24"/>
                <w:szCs w:val="24"/>
              </w:rPr>
              <w:t>34,095,500.00</w:t>
            </w:r>
          </w:p>
        </w:tc>
        <w:tc>
          <w:tcPr>
            <w:vAlign w:val="center"/>
          </w:tcPr>
          <w:p>
            <w:pPr>
              <w:jc w:val="right"/>
            </w:pPr>
            <w:r>
              <w:rPr>
                <w:color w:val="000000"/>
                <w:sz w:val="24"/>
                <w:szCs w:val="24"/>
              </w:rPr>
              <w:t>4.00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246,324.04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18,531,987.00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25,716.99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2,613,257.14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21,417,285.17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303,174,815.76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237,366,626.44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147,511,728.76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393,029,713.44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1、中国证监会准予交银施罗德品质升级混合型证券投资基金募集注册的文件；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2、《交银施罗德品质升级混合型证券投资基金基金合同》；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3、《交银施罗德品质升级混合型证券投资基金招募说明书》；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4、《交银施罗德品质升级混合型证券投资基金托管协议》；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5、关于申请募集注册交银施罗德品质升级混合型证券投资基金的法律意见书；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8、报告期内交银施罗德品质升级混合型证券投资基金在指定报刊上各项公告的原稿。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交银施罗德品质升级混合型证券投资基金2020年第4季度报告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