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交银施罗德裕通纯债债券型证券投资基金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2020</w:t>
      </w:r>
      <w:r w:rsidRPr="005858C2">
        <w:rPr>
          <w:rFonts w:eastAsiaTheme="minorEastAsia"/>
          <w:b/>
          <w:sz w:val="36"/>
          <w:szCs w:val="36"/>
        </w:rPr>
        <w:t>年第</w:t>
      </w:r>
      <w:r w:rsidRPr="005858C2">
        <w:rPr>
          <w:rFonts w:eastAsiaTheme="minorEastAsia"/>
          <w:b/>
          <w:sz w:val="36"/>
          <w:szCs w:val="36"/>
        </w:rPr>
        <w:t>3</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2020</w:t>
      </w:r>
      <w:r w:rsidRPr="005858C2">
        <w:rPr>
          <w:b/>
          <w:sz w:val="36"/>
          <w:szCs w:val="36"/>
        </w:rPr>
        <w:t>年</w:t>
      </w:r>
      <w:r w:rsidRPr="005858C2">
        <w:rPr>
          <w:b/>
          <w:sz w:val="36"/>
          <w:szCs w:val="36"/>
        </w:rPr>
        <w:t>9</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兴业银行股份有限公司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二〇二〇年十月二十八日</w:t>
      </w:r>
    </w:p>
    <w:p w:rsidR="009238DB" w:rsidRPr="007F52FA" w:rsidRDefault="009238DB" w:rsidP="000A29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基金托管人兴业银行股份有限公司根据本基金合同规定，于</w:t>
      </w:r>
      <w:r>
        <w:rPr>
          <w:rFonts w:eastAsiaTheme="minorEastAsia"/>
          <w:color w:val="000000"/>
          <w:sz w:val="24"/>
        </w:rPr>
        <w:t>2020</w:t>
      </w:r>
      <w:r>
        <w:rPr>
          <w:rFonts w:eastAsiaTheme="minorEastAsia"/>
          <w:color w:val="000000"/>
          <w:sz w:val="24"/>
        </w:rPr>
        <w:t>年</w:t>
      </w:r>
      <w:r>
        <w:rPr>
          <w:rFonts w:eastAsiaTheme="minorEastAsia"/>
          <w:color w:val="000000"/>
          <w:sz w:val="24"/>
        </w:rPr>
        <w:t>10</w:t>
      </w:r>
      <w:r>
        <w:rPr>
          <w:rFonts w:eastAsiaTheme="minorEastAsia"/>
          <w:color w:val="000000"/>
          <w:sz w:val="24"/>
        </w:rPr>
        <w:t>月</w:t>
      </w:r>
      <w:r>
        <w:rPr>
          <w:rFonts w:eastAsiaTheme="minorEastAsia"/>
          <w:color w:val="000000"/>
          <w:sz w:val="24"/>
        </w:rPr>
        <w:t>27</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2020</w:t>
      </w:r>
      <w:r w:rsidRPr="007F52FA">
        <w:rPr>
          <w:rFonts w:eastAsiaTheme="minorEastAsia"/>
          <w:color w:val="000000"/>
          <w:sz w:val="24"/>
        </w:rPr>
        <w:t>年</w:t>
      </w:r>
      <w:r w:rsidRPr="007F52FA">
        <w:rPr>
          <w:rFonts w:eastAsiaTheme="minorEastAsia"/>
          <w:color w:val="000000"/>
          <w:sz w:val="24"/>
        </w:rPr>
        <w:t>7</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9</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交银裕通纯债债券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519762</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2015</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29</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580,395,172.56</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在严格控制风险的基础上，通过积极主动的投资管理，追求基金资产的长期稳健增值，力争实现超越业绩比较基准的投资回报。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宏观周期研究、行业周期研究、公司研究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深入挖掘价值被低估的标的券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w:t>
            </w:r>
            <w:r w:rsidRPr="007F52FA">
              <w:rPr>
                <w:color w:val="000000"/>
                <w:kern w:val="0"/>
                <w:sz w:val="24"/>
              </w:rPr>
              <w:lastRenderedPageBreak/>
              <w:t>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兴业银行股份有限公司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交银裕通纯债债券</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交银裕通纯债债券</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519762</w:t>
            </w:r>
          </w:p>
        </w:tc>
        <w:tc>
          <w:tcPr>
            <w:tcW w:w="3048" w:type="dxa"/>
            <w:vAlign w:val="center"/>
          </w:tcPr>
          <w:p w:rsidR="00C23B30" w:rsidRPr="000E4C40" w:rsidRDefault="00C23B30" w:rsidP="00A52A9E">
            <w:pPr>
              <w:spacing w:before="29" w:line="288" w:lineRule="auto"/>
              <w:jc w:val="left"/>
              <w:rPr>
                <w:sz w:val="24"/>
              </w:rPr>
            </w:pPr>
            <w:r w:rsidRPr="000E4C40">
              <w:rPr>
                <w:sz w:val="24"/>
              </w:rPr>
              <w:t>519763</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580,019,872.33</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375,300.23</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(2020</w:t>
            </w:r>
            <w:r w:rsidRPr="00414345">
              <w:rPr>
                <w:color w:val="000000"/>
                <w:sz w:val="24"/>
              </w:rPr>
              <w:t>年</w:t>
            </w:r>
            <w:r w:rsidRPr="00414345">
              <w:rPr>
                <w:color w:val="000000"/>
                <w:sz w:val="24"/>
              </w:rPr>
              <w:t>7</w:t>
            </w:r>
            <w:r w:rsidRPr="00414345">
              <w:rPr>
                <w:color w:val="000000"/>
                <w:sz w:val="24"/>
              </w:rPr>
              <w:t>月</w:t>
            </w:r>
            <w:r w:rsidRPr="00414345">
              <w:rPr>
                <w:color w:val="000000"/>
                <w:sz w:val="24"/>
              </w:rPr>
              <w:t>1</w:t>
            </w:r>
            <w:r w:rsidRPr="00414345">
              <w:rPr>
                <w:color w:val="000000"/>
                <w:sz w:val="24"/>
              </w:rPr>
              <w:t>日</w:t>
            </w:r>
            <w:r w:rsidRPr="00414345">
              <w:rPr>
                <w:color w:val="000000"/>
                <w:sz w:val="24"/>
              </w:rPr>
              <w:t>-2020</w:t>
            </w:r>
            <w:r w:rsidRPr="00414345">
              <w:rPr>
                <w:color w:val="000000"/>
                <w:sz w:val="24"/>
              </w:rPr>
              <w:t>年</w:t>
            </w:r>
            <w:r w:rsidRPr="00414345">
              <w:rPr>
                <w:color w:val="000000"/>
                <w:sz w:val="24"/>
              </w:rPr>
              <w:t>9</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交银裕通纯债债券</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交银裕通纯债债券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-1,291,928.43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-1,366.65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-6,996,330.01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-6,991.66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-0.0056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-0.0118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584,016,410.29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386,095.54</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1.0069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1.0288</w:t>
            </w:r>
          </w:p>
        </w:tc>
      </w:tr>
    </w:tbl>
    <w:p w:rsidR="001019B5" w:rsidRDefault="002F790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交银裕通纯债债券</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1019B5">
        <w:trPr>
          <w:jc w:val="center"/>
        </w:trPr>
        <w:tc>
          <w:tcPr>
            <w:tcW w:w="1266" w:type="dxa"/>
            <w:vAlign w:val="center"/>
          </w:tcPr>
          <w:p w:rsidR="001019B5" w:rsidRDefault="002F7902">
            <w:pPr>
              <w:jc w:val="left"/>
            </w:pPr>
            <w:r>
              <w:rPr>
                <w:color w:val="000000"/>
                <w:sz w:val="24"/>
              </w:rPr>
              <w:lastRenderedPageBreak/>
              <w:t>过去三个月</w:t>
            </w:r>
          </w:p>
        </w:tc>
        <w:tc>
          <w:tcPr>
            <w:tcW w:w="1267" w:type="dxa"/>
            <w:vAlign w:val="center"/>
          </w:tcPr>
          <w:p w:rsidR="001019B5" w:rsidRDefault="002F7902">
            <w:pPr>
              <w:jc w:val="center"/>
            </w:pPr>
            <w:r>
              <w:rPr>
                <w:color w:val="000000"/>
                <w:sz w:val="24"/>
              </w:rPr>
              <w:t>-0.33%</w:t>
            </w:r>
          </w:p>
        </w:tc>
        <w:tc>
          <w:tcPr>
            <w:tcW w:w="1267" w:type="dxa"/>
            <w:vAlign w:val="center"/>
          </w:tcPr>
          <w:p w:rsidR="001019B5" w:rsidRDefault="002F7902">
            <w:pPr>
              <w:jc w:val="center"/>
            </w:pPr>
            <w:r>
              <w:rPr>
                <w:color w:val="000000"/>
                <w:sz w:val="24"/>
              </w:rPr>
              <w:t>0.06%</w:t>
            </w:r>
          </w:p>
        </w:tc>
        <w:tc>
          <w:tcPr>
            <w:tcW w:w="1267" w:type="dxa"/>
            <w:vAlign w:val="center"/>
          </w:tcPr>
          <w:p w:rsidR="001019B5" w:rsidRDefault="002F7902">
            <w:pPr>
              <w:jc w:val="center"/>
            </w:pPr>
            <w:r>
              <w:rPr>
                <w:color w:val="000000"/>
                <w:sz w:val="24"/>
              </w:rPr>
              <w:t>-1.48%</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1.15%</w:t>
            </w:r>
          </w:p>
        </w:tc>
        <w:tc>
          <w:tcPr>
            <w:tcW w:w="1267" w:type="dxa"/>
            <w:vAlign w:val="center"/>
          </w:tcPr>
          <w:p w:rsidR="001019B5" w:rsidRDefault="002F7902">
            <w:pPr>
              <w:jc w:val="center"/>
            </w:pPr>
            <w:r>
              <w:rPr>
                <w:color w:val="000000"/>
                <w:sz w:val="24"/>
              </w:rPr>
              <w:t>-0.02%</w:t>
            </w:r>
          </w:p>
        </w:tc>
      </w:tr>
      <w:tr w:rsidR="001019B5">
        <w:trPr>
          <w:jc w:val="center"/>
        </w:trPr>
        <w:tc>
          <w:tcPr>
            <w:tcW w:w="1266" w:type="dxa"/>
            <w:vAlign w:val="center"/>
          </w:tcPr>
          <w:p w:rsidR="001019B5" w:rsidRDefault="002F7902">
            <w:pPr>
              <w:jc w:val="left"/>
            </w:pPr>
            <w:r>
              <w:rPr>
                <w:color w:val="000000"/>
                <w:sz w:val="24"/>
              </w:rPr>
              <w:t>过去六个月</w:t>
            </w:r>
          </w:p>
        </w:tc>
        <w:tc>
          <w:tcPr>
            <w:tcW w:w="1267" w:type="dxa"/>
            <w:vAlign w:val="center"/>
          </w:tcPr>
          <w:p w:rsidR="001019B5" w:rsidRDefault="002F7902">
            <w:pPr>
              <w:jc w:val="center"/>
            </w:pPr>
            <w:r>
              <w:rPr>
                <w:color w:val="000000"/>
                <w:sz w:val="24"/>
              </w:rPr>
              <w:t>-0.75%</w:t>
            </w:r>
          </w:p>
        </w:tc>
        <w:tc>
          <w:tcPr>
            <w:tcW w:w="1267" w:type="dxa"/>
            <w:vAlign w:val="center"/>
          </w:tcPr>
          <w:p w:rsidR="001019B5" w:rsidRDefault="002F7902">
            <w:pPr>
              <w:jc w:val="center"/>
            </w:pPr>
            <w:r>
              <w:rPr>
                <w:color w:val="000000"/>
                <w:sz w:val="24"/>
              </w:rPr>
              <w:t>0.10%</w:t>
            </w:r>
          </w:p>
        </w:tc>
        <w:tc>
          <w:tcPr>
            <w:tcW w:w="1267" w:type="dxa"/>
            <w:vAlign w:val="center"/>
          </w:tcPr>
          <w:p w:rsidR="001019B5" w:rsidRDefault="002F7902">
            <w:pPr>
              <w:jc w:val="center"/>
            </w:pPr>
            <w:r>
              <w:rPr>
                <w:color w:val="000000"/>
                <w:sz w:val="24"/>
              </w:rPr>
              <w:t>-2.50%</w:t>
            </w:r>
          </w:p>
        </w:tc>
        <w:tc>
          <w:tcPr>
            <w:tcW w:w="1267" w:type="dxa"/>
            <w:vAlign w:val="center"/>
          </w:tcPr>
          <w:p w:rsidR="001019B5" w:rsidRDefault="002F7902">
            <w:pPr>
              <w:jc w:val="center"/>
            </w:pPr>
            <w:r>
              <w:rPr>
                <w:color w:val="000000"/>
                <w:sz w:val="24"/>
              </w:rPr>
              <w:t>0.10%</w:t>
            </w:r>
          </w:p>
        </w:tc>
        <w:tc>
          <w:tcPr>
            <w:tcW w:w="1267" w:type="dxa"/>
            <w:vAlign w:val="center"/>
          </w:tcPr>
          <w:p w:rsidR="001019B5" w:rsidRDefault="002F7902">
            <w:pPr>
              <w:jc w:val="center"/>
            </w:pPr>
            <w:r>
              <w:rPr>
                <w:color w:val="000000"/>
                <w:sz w:val="24"/>
              </w:rPr>
              <w:t>1.75%</w:t>
            </w:r>
          </w:p>
        </w:tc>
        <w:tc>
          <w:tcPr>
            <w:tcW w:w="1267" w:type="dxa"/>
            <w:vAlign w:val="center"/>
          </w:tcPr>
          <w:p w:rsidR="001019B5" w:rsidRDefault="002F7902">
            <w:pPr>
              <w:jc w:val="center"/>
            </w:pPr>
            <w:r>
              <w:rPr>
                <w:color w:val="000000"/>
                <w:sz w:val="24"/>
              </w:rPr>
              <w:t>0.00%</w:t>
            </w:r>
          </w:p>
        </w:tc>
      </w:tr>
      <w:tr w:rsidR="001019B5">
        <w:trPr>
          <w:jc w:val="center"/>
        </w:trPr>
        <w:tc>
          <w:tcPr>
            <w:tcW w:w="1266" w:type="dxa"/>
            <w:vAlign w:val="center"/>
          </w:tcPr>
          <w:p w:rsidR="001019B5" w:rsidRDefault="002F7902">
            <w:pPr>
              <w:jc w:val="left"/>
            </w:pPr>
            <w:r>
              <w:rPr>
                <w:color w:val="000000"/>
                <w:sz w:val="24"/>
              </w:rPr>
              <w:t>过去一年</w:t>
            </w:r>
          </w:p>
        </w:tc>
        <w:tc>
          <w:tcPr>
            <w:tcW w:w="1267" w:type="dxa"/>
            <w:vAlign w:val="center"/>
          </w:tcPr>
          <w:p w:rsidR="001019B5" w:rsidRDefault="002F7902">
            <w:pPr>
              <w:jc w:val="center"/>
            </w:pPr>
            <w:r>
              <w:rPr>
                <w:color w:val="000000"/>
                <w:sz w:val="24"/>
              </w:rPr>
              <w:t>2.33%</w:t>
            </w:r>
          </w:p>
        </w:tc>
        <w:tc>
          <w:tcPr>
            <w:tcW w:w="1267" w:type="dxa"/>
            <w:vAlign w:val="center"/>
          </w:tcPr>
          <w:p w:rsidR="001019B5" w:rsidRDefault="002F7902">
            <w:pPr>
              <w:jc w:val="center"/>
            </w:pPr>
            <w:r>
              <w:rPr>
                <w:color w:val="000000"/>
                <w:sz w:val="24"/>
              </w:rPr>
              <w:t>0.09%</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0.09%</w:t>
            </w:r>
          </w:p>
        </w:tc>
        <w:tc>
          <w:tcPr>
            <w:tcW w:w="1267" w:type="dxa"/>
            <w:vAlign w:val="center"/>
          </w:tcPr>
          <w:p w:rsidR="001019B5" w:rsidRDefault="002F7902">
            <w:pPr>
              <w:jc w:val="center"/>
            </w:pPr>
            <w:r>
              <w:rPr>
                <w:color w:val="000000"/>
                <w:sz w:val="24"/>
              </w:rPr>
              <w:t>2.41%</w:t>
            </w:r>
          </w:p>
        </w:tc>
        <w:tc>
          <w:tcPr>
            <w:tcW w:w="1267" w:type="dxa"/>
            <w:vAlign w:val="center"/>
          </w:tcPr>
          <w:p w:rsidR="001019B5" w:rsidRDefault="002F7902">
            <w:pPr>
              <w:jc w:val="center"/>
            </w:pPr>
            <w:r>
              <w:rPr>
                <w:color w:val="000000"/>
                <w:sz w:val="24"/>
              </w:rPr>
              <w:t>0.00%</w:t>
            </w:r>
          </w:p>
        </w:tc>
      </w:tr>
      <w:tr w:rsidR="001019B5">
        <w:trPr>
          <w:jc w:val="center"/>
        </w:trPr>
        <w:tc>
          <w:tcPr>
            <w:tcW w:w="1266" w:type="dxa"/>
            <w:vAlign w:val="center"/>
          </w:tcPr>
          <w:p w:rsidR="001019B5" w:rsidRDefault="002F7902">
            <w:pPr>
              <w:jc w:val="left"/>
            </w:pPr>
            <w:r>
              <w:rPr>
                <w:color w:val="000000"/>
                <w:sz w:val="24"/>
              </w:rPr>
              <w:t>过去三年</w:t>
            </w:r>
          </w:p>
        </w:tc>
        <w:tc>
          <w:tcPr>
            <w:tcW w:w="1267" w:type="dxa"/>
            <w:vAlign w:val="center"/>
          </w:tcPr>
          <w:p w:rsidR="001019B5" w:rsidRDefault="002F7902">
            <w:pPr>
              <w:jc w:val="center"/>
            </w:pPr>
            <w:r>
              <w:rPr>
                <w:color w:val="000000"/>
                <w:sz w:val="24"/>
              </w:rPr>
              <w:t>14.08%</w:t>
            </w:r>
          </w:p>
        </w:tc>
        <w:tc>
          <w:tcPr>
            <w:tcW w:w="1267" w:type="dxa"/>
            <w:vAlign w:val="center"/>
          </w:tcPr>
          <w:p w:rsidR="001019B5" w:rsidRDefault="002F7902">
            <w:pPr>
              <w:jc w:val="center"/>
            </w:pPr>
            <w:r>
              <w:rPr>
                <w:color w:val="000000"/>
                <w:sz w:val="24"/>
              </w:rPr>
              <w:t>0.07%</w:t>
            </w:r>
          </w:p>
        </w:tc>
        <w:tc>
          <w:tcPr>
            <w:tcW w:w="1267" w:type="dxa"/>
            <w:vAlign w:val="center"/>
          </w:tcPr>
          <w:p w:rsidR="001019B5" w:rsidRDefault="002F7902">
            <w:pPr>
              <w:jc w:val="center"/>
            </w:pPr>
            <w:r>
              <w:rPr>
                <w:color w:val="000000"/>
                <w:sz w:val="24"/>
              </w:rPr>
              <w:t>4.21%</w:t>
            </w:r>
          </w:p>
        </w:tc>
        <w:tc>
          <w:tcPr>
            <w:tcW w:w="1267" w:type="dxa"/>
            <w:vAlign w:val="center"/>
          </w:tcPr>
          <w:p w:rsidR="001019B5" w:rsidRDefault="002F7902">
            <w:pPr>
              <w:jc w:val="center"/>
            </w:pPr>
            <w:r>
              <w:rPr>
                <w:color w:val="000000"/>
                <w:sz w:val="24"/>
              </w:rPr>
              <w:t>0.07%</w:t>
            </w:r>
          </w:p>
        </w:tc>
        <w:tc>
          <w:tcPr>
            <w:tcW w:w="1267" w:type="dxa"/>
            <w:vAlign w:val="center"/>
          </w:tcPr>
          <w:p w:rsidR="001019B5" w:rsidRDefault="002F7902">
            <w:pPr>
              <w:jc w:val="center"/>
            </w:pPr>
            <w:r>
              <w:rPr>
                <w:color w:val="000000"/>
                <w:sz w:val="24"/>
              </w:rPr>
              <w:t>9.87%</w:t>
            </w:r>
          </w:p>
        </w:tc>
        <w:tc>
          <w:tcPr>
            <w:tcW w:w="1267" w:type="dxa"/>
            <w:vAlign w:val="center"/>
          </w:tcPr>
          <w:p w:rsidR="001019B5" w:rsidRDefault="002F7902">
            <w:pPr>
              <w:jc w:val="center"/>
            </w:pPr>
            <w:r>
              <w:rPr>
                <w:color w:val="000000"/>
                <w:sz w:val="24"/>
              </w:rPr>
              <w:t>0.00%</w:t>
            </w:r>
          </w:p>
        </w:tc>
      </w:tr>
      <w:tr w:rsidR="001019B5">
        <w:trPr>
          <w:jc w:val="center"/>
        </w:trPr>
        <w:tc>
          <w:tcPr>
            <w:tcW w:w="1266" w:type="dxa"/>
            <w:vAlign w:val="center"/>
          </w:tcPr>
          <w:p w:rsidR="001019B5" w:rsidRDefault="002F7902">
            <w:pPr>
              <w:jc w:val="left"/>
            </w:pPr>
            <w:r>
              <w:rPr>
                <w:color w:val="000000"/>
                <w:sz w:val="24"/>
              </w:rPr>
              <w:t>自基金合同生效至今</w:t>
            </w:r>
          </w:p>
        </w:tc>
        <w:tc>
          <w:tcPr>
            <w:tcW w:w="1267" w:type="dxa"/>
            <w:vAlign w:val="center"/>
          </w:tcPr>
          <w:p w:rsidR="001019B5" w:rsidRDefault="002F7902">
            <w:pPr>
              <w:jc w:val="center"/>
            </w:pPr>
            <w:r>
              <w:rPr>
                <w:color w:val="000000"/>
                <w:sz w:val="24"/>
              </w:rPr>
              <w:t>14.53%</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0.21%</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14.32%</w:t>
            </w:r>
          </w:p>
        </w:tc>
        <w:tc>
          <w:tcPr>
            <w:tcW w:w="1267" w:type="dxa"/>
            <w:vAlign w:val="center"/>
          </w:tcPr>
          <w:p w:rsidR="001019B5" w:rsidRDefault="002F7902">
            <w:pPr>
              <w:jc w:val="center"/>
            </w:pPr>
            <w:r>
              <w:rPr>
                <w:color w:val="000000"/>
                <w:sz w:val="24"/>
              </w:rPr>
              <w:t>0.00%</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交银裕通纯债债券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1019B5">
        <w:trPr>
          <w:jc w:val="center"/>
        </w:trPr>
        <w:tc>
          <w:tcPr>
            <w:tcW w:w="1266" w:type="dxa"/>
            <w:vAlign w:val="center"/>
          </w:tcPr>
          <w:p w:rsidR="001019B5" w:rsidRDefault="002F7902">
            <w:pPr>
              <w:jc w:val="left"/>
            </w:pPr>
            <w:r>
              <w:rPr>
                <w:color w:val="000000"/>
                <w:sz w:val="24"/>
              </w:rPr>
              <w:t>过去三个月</w:t>
            </w:r>
          </w:p>
        </w:tc>
        <w:tc>
          <w:tcPr>
            <w:tcW w:w="1267" w:type="dxa"/>
            <w:vAlign w:val="center"/>
          </w:tcPr>
          <w:p w:rsidR="001019B5" w:rsidRDefault="002F7902">
            <w:pPr>
              <w:jc w:val="center"/>
            </w:pPr>
            <w:r>
              <w:rPr>
                <w:color w:val="000000"/>
                <w:sz w:val="24"/>
              </w:rPr>
              <w:t>-0.47%</w:t>
            </w:r>
          </w:p>
        </w:tc>
        <w:tc>
          <w:tcPr>
            <w:tcW w:w="1267" w:type="dxa"/>
            <w:vAlign w:val="center"/>
          </w:tcPr>
          <w:p w:rsidR="001019B5" w:rsidRDefault="002F7902">
            <w:pPr>
              <w:jc w:val="center"/>
            </w:pPr>
            <w:r>
              <w:rPr>
                <w:color w:val="000000"/>
                <w:sz w:val="24"/>
              </w:rPr>
              <w:t>0.06%</w:t>
            </w:r>
          </w:p>
        </w:tc>
        <w:tc>
          <w:tcPr>
            <w:tcW w:w="1267" w:type="dxa"/>
            <w:vAlign w:val="center"/>
          </w:tcPr>
          <w:p w:rsidR="001019B5" w:rsidRDefault="002F7902">
            <w:pPr>
              <w:jc w:val="center"/>
            </w:pPr>
            <w:r>
              <w:rPr>
                <w:color w:val="000000"/>
                <w:sz w:val="24"/>
              </w:rPr>
              <w:t>-1.48%</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1.01%</w:t>
            </w:r>
          </w:p>
        </w:tc>
        <w:tc>
          <w:tcPr>
            <w:tcW w:w="1267" w:type="dxa"/>
            <w:vAlign w:val="center"/>
          </w:tcPr>
          <w:p w:rsidR="001019B5" w:rsidRDefault="002F7902">
            <w:pPr>
              <w:jc w:val="center"/>
            </w:pPr>
            <w:r>
              <w:rPr>
                <w:color w:val="000000"/>
                <w:sz w:val="24"/>
              </w:rPr>
              <w:t>-0.02%</w:t>
            </w:r>
          </w:p>
        </w:tc>
      </w:tr>
      <w:tr w:rsidR="001019B5">
        <w:trPr>
          <w:jc w:val="center"/>
        </w:trPr>
        <w:tc>
          <w:tcPr>
            <w:tcW w:w="1266" w:type="dxa"/>
            <w:vAlign w:val="center"/>
          </w:tcPr>
          <w:p w:rsidR="001019B5" w:rsidRDefault="002F7902">
            <w:pPr>
              <w:jc w:val="left"/>
            </w:pPr>
            <w:r>
              <w:rPr>
                <w:color w:val="000000"/>
                <w:sz w:val="24"/>
              </w:rPr>
              <w:t>过去六个月</w:t>
            </w:r>
          </w:p>
        </w:tc>
        <w:tc>
          <w:tcPr>
            <w:tcW w:w="1267" w:type="dxa"/>
            <w:vAlign w:val="center"/>
          </w:tcPr>
          <w:p w:rsidR="001019B5" w:rsidRDefault="002F7902">
            <w:pPr>
              <w:jc w:val="center"/>
            </w:pPr>
            <w:r>
              <w:rPr>
                <w:color w:val="000000"/>
                <w:sz w:val="24"/>
              </w:rPr>
              <w:t>-0.98%</w:t>
            </w:r>
          </w:p>
        </w:tc>
        <w:tc>
          <w:tcPr>
            <w:tcW w:w="1267" w:type="dxa"/>
            <w:vAlign w:val="center"/>
          </w:tcPr>
          <w:p w:rsidR="001019B5" w:rsidRDefault="002F7902">
            <w:pPr>
              <w:jc w:val="center"/>
            </w:pPr>
            <w:r>
              <w:rPr>
                <w:color w:val="000000"/>
                <w:sz w:val="24"/>
              </w:rPr>
              <w:t>0.10%</w:t>
            </w:r>
          </w:p>
        </w:tc>
        <w:tc>
          <w:tcPr>
            <w:tcW w:w="1267" w:type="dxa"/>
            <w:vAlign w:val="center"/>
          </w:tcPr>
          <w:p w:rsidR="001019B5" w:rsidRDefault="002F7902">
            <w:pPr>
              <w:jc w:val="center"/>
            </w:pPr>
            <w:r>
              <w:rPr>
                <w:color w:val="000000"/>
                <w:sz w:val="24"/>
              </w:rPr>
              <w:t>-2.50%</w:t>
            </w:r>
          </w:p>
        </w:tc>
        <w:tc>
          <w:tcPr>
            <w:tcW w:w="1267" w:type="dxa"/>
            <w:vAlign w:val="center"/>
          </w:tcPr>
          <w:p w:rsidR="001019B5" w:rsidRDefault="002F7902">
            <w:pPr>
              <w:jc w:val="center"/>
            </w:pPr>
            <w:r>
              <w:rPr>
                <w:color w:val="000000"/>
                <w:sz w:val="24"/>
              </w:rPr>
              <w:t>0.10%</w:t>
            </w:r>
          </w:p>
        </w:tc>
        <w:tc>
          <w:tcPr>
            <w:tcW w:w="1267" w:type="dxa"/>
            <w:vAlign w:val="center"/>
          </w:tcPr>
          <w:p w:rsidR="001019B5" w:rsidRDefault="002F7902">
            <w:pPr>
              <w:jc w:val="center"/>
            </w:pPr>
            <w:r>
              <w:rPr>
                <w:color w:val="000000"/>
                <w:sz w:val="24"/>
              </w:rPr>
              <w:t>1.52%</w:t>
            </w:r>
          </w:p>
        </w:tc>
        <w:tc>
          <w:tcPr>
            <w:tcW w:w="1267" w:type="dxa"/>
            <w:vAlign w:val="center"/>
          </w:tcPr>
          <w:p w:rsidR="001019B5" w:rsidRDefault="002F7902">
            <w:pPr>
              <w:jc w:val="center"/>
            </w:pPr>
            <w:r>
              <w:rPr>
                <w:color w:val="000000"/>
                <w:sz w:val="24"/>
              </w:rPr>
              <w:t>0.00%</w:t>
            </w:r>
          </w:p>
        </w:tc>
      </w:tr>
      <w:tr w:rsidR="001019B5">
        <w:trPr>
          <w:jc w:val="center"/>
        </w:trPr>
        <w:tc>
          <w:tcPr>
            <w:tcW w:w="1266" w:type="dxa"/>
            <w:vAlign w:val="center"/>
          </w:tcPr>
          <w:p w:rsidR="001019B5" w:rsidRDefault="002F7902">
            <w:pPr>
              <w:jc w:val="left"/>
            </w:pPr>
            <w:r>
              <w:rPr>
                <w:color w:val="000000"/>
                <w:sz w:val="24"/>
              </w:rPr>
              <w:t>过去一年</w:t>
            </w:r>
          </w:p>
        </w:tc>
        <w:tc>
          <w:tcPr>
            <w:tcW w:w="1267" w:type="dxa"/>
            <w:vAlign w:val="center"/>
          </w:tcPr>
          <w:p w:rsidR="001019B5" w:rsidRDefault="002F7902">
            <w:pPr>
              <w:jc w:val="center"/>
            </w:pPr>
            <w:r>
              <w:rPr>
                <w:color w:val="000000"/>
                <w:sz w:val="24"/>
              </w:rPr>
              <w:t>1.62%</w:t>
            </w:r>
          </w:p>
        </w:tc>
        <w:tc>
          <w:tcPr>
            <w:tcW w:w="1267" w:type="dxa"/>
            <w:vAlign w:val="center"/>
          </w:tcPr>
          <w:p w:rsidR="001019B5" w:rsidRDefault="002F7902">
            <w:pPr>
              <w:jc w:val="center"/>
            </w:pPr>
            <w:r>
              <w:rPr>
                <w:color w:val="000000"/>
                <w:sz w:val="24"/>
              </w:rPr>
              <w:t>0.09%</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0.09%</w:t>
            </w:r>
          </w:p>
        </w:tc>
        <w:tc>
          <w:tcPr>
            <w:tcW w:w="1267" w:type="dxa"/>
            <w:vAlign w:val="center"/>
          </w:tcPr>
          <w:p w:rsidR="001019B5" w:rsidRDefault="002F7902">
            <w:pPr>
              <w:jc w:val="center"/>
            </w:pPr>
            <w:r>
              <w:rPr>
                <w:color w:val="000000"/>
                <w:sz w:val="24"/>
              </w:rPr>
              <w:t>1.70%</w:t>
            </w:r>
          </w:p>
        </w:tc>
        <w:tc>
          <w:tcPr>
            <w:tcW w:w="1267" w:type="dxa"/>
            <w:vAlign w:val="center"/>
          </w:tcPr>
          <w:p w:rsidR="001019B5" w:rsidRDefault="002F7902">
            <w:pPr>
              <w:jc w:val="center"/>
            </w:pPr>
            <w:r>
              <w:rPr>
                <w:color w:val="000000"/>
                <w:sz w:val="24"/>
              </w:rPr>
              <w:t>0.00%</w:t>
            </w:r>
          </w:p>
        </w:tc>
      </w:tr>
      <w:tr w:rsidR="001019B5">
        <w:trPr>
          <w:jc w:val="center"/>
        </w:trPr>
        <w:tc>
          <w:tcPr>
            <w:tcW w:w="1266" w:type="dxa"/>
            <w:vAlign w:val="center"/>
          </w:tcPr>
          <w:p w:rsidR="001019B5" w:rsidRDefault="002F7902">
            <w:pPr>
              <w:jc w:val="left"/>
            </w:pPr>
            <w:r>
              <w:rPr>
                <w:color w:val="000000"/>
                <w:sz w:val="24"/>
              </w:rPr>
              <w:t>过去三年</w:t>
            </w:r>
          </w:p>
        </w:tc>
        <w:tc>
          <w:tcPr>
            <w:tcW w:w="1267" w:type="dxa"/>
            <w:vAlign w:val="center"/>
          </w:tcPr>
          <w:p w:rsidR="001019B5" w:rsidRDefault="002F7902">
            <w:pPr>
              <w:jc w:val="center"/>
            </w:pPr>
            <w:r>
              <w:rPr>
                <w:color w:val="000000"/>
                <w:sz w:val="24"/>
              </w:rPr>
              <w:t>14.69%</w:t>
            </w:r>
          </w:p>
        </w:tc>
        <w:tc>
          <w:tcPr>
            <w:tcW w:w="1267" w:type="dxa"/>
            <w:vAlign w:val="center"/>
          </w:tcPr>
          <w:p w:rsidR="001019B5" w:rsidRDefault="002F7902">
            <w:pPr>
              <w:jc w:val="center"/>
            </w:pPr>
            <w:r>
              <w:rPr>
                <w:color w:val="000000"/>
                <w:sz w:val="24"/>
              </w:rPr>
              <w:t>0.10%</w:t>
            </w:r>
          </w:p>
        </w:tc>
        <w:tc>
          <w:tcPr>
            <w:tcW w:w="1267" w:type="dxa"/>
            <w:vAlign w:val="center"/>
          </w:tcPr>
          <w:p w:rsidR="001019B5" w:rsidRDefault="002F7902">
            <w:pPr>
              <w:jc w:val="center"/>
            </w:pPr>
            <w:r>
              <w:rPr>
                <w:color w:val="000000"/>
                <w:sz w:val="24"/>
              </w:rPr>
              <w:t>4.21%</w:t>
            </w:r>
          </w:p>
        </w:tc>
        <w:tc>
          <w:tcPr>
            <w:tcW w:w="1267" w:type="dxa"/>
            <w:vAlign w:val="center"/>
          </w:tcPr>
          <w:p w:rsidR="001019B5" w:rsidRDefault="002F7902">
            <w:pPr>
              <w:jc w:val="center"/>
            </w:pPr>
            <w:r>
              <w:rPr>
                <w:color w:val="000000"/>
                <w:sz w:val="24"/>
              </w:rPr>
              <w:t>0.07%</w:t>
            </w:r>
          </w:p>
        </w:tc>
        <w:tc>
          <w:tcPr>
            <w:tcW w:w="1267" w:type="dxa"/>
            <w:vAlign w:val="center"/>
          </w:tcPr>
          <w:p w:rsidR="001019B5" w:rsidRDefault="002F7902">
            <w:pPr>
              <w:jc w:val="center"/>
            </w:pPr>
            <w:r>
              <w:rPr>
                <w:color w:val="000000"/>
                <w:sz w:val="24"/>
              </w:rPr>
              <w:t>10.48%</w:t>
            </w:r>
          </w:p>
        </w:tc>
        <w:tc>
          <w:tcPr>
            <w:tcW w:w="1267" w:type="dxa"/>
            <w:vAlign w:val="center"/>
          </w:tcPr>
          <w:p w:rsidR="001019B5" w:rsidRDefault="002F7902">
            <w:pPr>
              <w:jc w:val="center"/>
            </w:pPr>
            <w:r>
              <w:rPr>
                <w:color w:val="000000"/>
                <w:sz w:val="24"/>
              </w:rPr>
              <w:t>0.03%</w:t>
            </w:r>
          </w:p>
        </w:tc>
      </w:tr>
      <w:tr w:rsidR="001019B5">
        <w:trPr>
          <w:jc w:val="center"/>
        </w:trPr>
        <w:tc>
          <w:tcPr>
            <w:tcW w:w="1266" w:type="dxa"/>
            <w:vAlign w:val="center"/>
          </w:tcPr>
          <w:p w:rsidR="001019B5" w:rsidRDefault="002F7902">
            <w:pPr>
              <w:jc w:val="left"/>
            </w:pPr>
            <w:r>
              <w:rPr>
                <w:color w:val="000000"/>
                <w:sz w:val="24"/>
              </w:rPr>
              <w:t>自基金合同生效至今</w:t>
            </w:r>
          </w:p>
        </w:tc>
        <w:tc>
          <w:tcPr>
            <w:tcW w:w="1267" w:type="dxa"/>
            <w:vAlign w:val="center"/>
          </w:tcPr>
          <w:p w:rsidR="001019B5" w:rsidRDefault="002F7902">
            <w:pPr>
              <w:jc w:val="center"/>
            </w:pPr>
            <w:r>
              <w:rPr>
                <w:color w:val="000000"/>
                <w:sz w:val="24"/>
              </w:rPr>
              <w:t>14.23%</w:t>
            </w:r>
          </w:p>
        </w:tc>
        <w:tc>
          <w:tcPr>
            <w:tcW w:w="1267" w:type="dxa"/>
            <w:vAlign w:val="center"/>
          </w:tcPr>
          <w:p w:rsidR="001019B5" w:rsidRDefault="002F7902">
            <w:pPr>
              <w:jc w:val="center"/>
            </w:pPr>
            <w:r>
              <w:rPr>
                <w:color w:val="000000"/>
                <w:sz w:val="24"/>
              </w:rPr>
              <w:t>0.10%</w:t>
            </w:r>
          </w:p>
        </w:tc>
        <w:tc>
          <w:tcPr>
            <w:tcW w:w="1267" w:type="dxa"/>
            <w:vAlign w:val="center"/>
          </w:tcPr>
          <w:p w:rsidR="001019B5" w:rsidRDefault="002F7902">
            <w:pPr>
              <w:jc w:val="center"/>
            </w:pPr>
            <w:r>
              <w:rPr>
                <w:color w:val="000000"/>
                <w:sz w:val="24"/>
              </w:rPr>
              <w:t>0.21%</w:t>
            </w:r>
          </w:p>
        </w:tc>
        <w:tc>
          <w:tcPr>
            <w:tcW w:w="1267" w:type="dxa"/>
            <w:vAlign w:val="center"/>
          </w:tcPr>
          <w:p w:rsidR="001019B5" w:rsidRDefault="002F7902">
            <w:pPr>
              <w:jc w:val="center"/>
            </w:pPr>
            <w:r>
              <w:rPr>
                <w:color w:val="000000"/>
                <w:sz w:val="24"/>
              </w:rPr>
              <w:t>0.08%</w:t>
            </w:r>
          </w:p>
        </w:tc>
        <w:tc>
          <w:tcPr>
            <w:tcW w:w="1267" w:type="dxa"/>
            <w:vAlign w:val="center"/>
          </w:tcPr>
          <w:p w:rsidR="001019B5" w:rsidRDefault="002F7902">
            <w:pPr>
              <w:jc w:val="center"/>
            </w:pPr>
            <w:r>
              <w:rPr>
                <w:color w:val="000000"/>
                <w:sz w:val="24"/>
              </w:rPr>
              <w:t>14.02%</w:t>
            </w:r>
          </w:p>
        </w:tc>
        <w:tc>
          <w:tcPr>
            <w:tcW w:w="1267" w:type="dxa"/>
            <w:vAlign w:val="center"/>
          </w:tcPr>
          <w:p w:rsidR="001019B5" w:rsidRDefault="002F7902">
            <w:pPr>
              <w:jc w:val="center"/>
            </w:pPr>
            <w:r>
              <w:rPr>
                <w:color w:val="000000"/>
                <w:sz w:val="24"/>
              </w:rPr>
              <w:t>0.02%</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交银施罗德裕通纯债债券型证券投资基金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2015</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29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2020</w:t>
      </w:r>
      <w:r w:rsidRPr="007F52FA">
        <w:rPr>
          <w:rFonts w:ascii="Times New Roman" w:hAnsi="Times New Roman"/>
          <w:sz w:val="24"/>
          <w:szCs w:val="24"/>
        </w:rPr>
        <w:t>年</w:t>
      </w:r>
      <w:r w:rsidRPr="007F52FA">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交银裕通纯债债券</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交银裕通纯债债券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1527"/>
        <w:gridCol w:w="1134"/>
        <w:gridCol w:w="850"/>
        <w:gridCol w:w="1160"/>
        <w:gridCol w:w="3251"/>
      </w:tblGrid>
      <w:tr w:rsidR="00C41617" w:rsidRPr="007F52FA" w:rsidTr="002D418E">
        <w:trPr>
          <w:jc w:val="center"/>
        </w:trPr>
        <w:tc>
          <w:tcPr>
            <w:tcW w:w="94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1527"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1984"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16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51"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2D418E">
        <w:trPr>
          <w:jc w:val="center"/>
        </w:trPr>
        <w:tc>
          <w:tcPr>
            <w:tcW w:w="94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527"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134"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85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16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51"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1019B5" w:rsidTr="002D418E">
        <w:trPr>
          <w:jc w:val="center"/>
        </w:trPr>
        <w:tc>
          <w:tcPr>
            <w:tcW w:w="946" w:type="dxa"/>
            <w:vAlign w:val="center"/>
          </w:tcPr>
          <w:p w:rsidR="001019B5" w:rsidRDefault="002F7902">
            <w:pPr>
              <w:jc w:val="center"/>
            </w:pPr>
            <w:r>
              <w:rPr>
                <w:color w:val="000000"/>
                <w:sz w:val="24"/>
              </w:rPr>
              <w:t>季参平</w:t>
            </w:r>
          </w:p>
        </w:tc>
        <w:tc>
          <w:tcPr>
            <w:tcW w:w="1527" w:type="dxa"/>
            <w:vAlign w:val="center"/>
          </w:tcPr>
          <w:p w:rsidR="001019B5" w:rsidRDefault="002D418E">
            <w:pPr>
              <w:jc w:val="center"/>
            </w:pPr>
            <w:r w:rsidRPr="002D418E">
              <w:rPr>
                <w:rFonts w:hint="eastAsia"/>
                <w:color w:val="000000"/>
                <w:sz w:val="24"/>
              </w:rPr>
              <w:t>交银货币、交银裕通纯债债券、交银现金宝货币、交银天鑫宝货币、交银裕祥纯债债券、交银中债</w:t>
            </w:r>
            <w:r w:rsidRPr="002D418E">
              <w:rPr>
                <w:rFonts w:hint="eastAsia"/>
                <w:color w:val="000000"/>
                <w:sz w:val="24"/>
              </w:rPr>
              <w:t>1-3</w:t>
            </w:r>
            <w:r w:rsidRPr="002D418E">
              <w:rPr>
                <w:rFonts w:hint="eastAsia"/>
                <w:color w:val="000000"/>
                <w:sz w:val="24"/>
              </w:rPr>
              <w:t>年政金债指数的基金经理</w:t>
            </w:r>
            <w:bookmarkStart w:id="0" w:name="_GoBack"/>
            <w:bookmarkEnd w:id="0"/>
          </w:p>
        </w:tc>
        <w:tc>
          <w:tcPr>
            <w:tcW w:w="1134" w:type="dxa"/>
            <w:vAlign w:val="center"/>
          </w:tcPr>
          <w:p w:rsidR="001019B5" w:rsidRDefault="002F7902">
            <w:pPr>
              <w:jc w:val="center"/>
            </w:pPr>
            <w:r>
              <w:rPr>
                <w:color w:val="000000"/>
                <w:sz w:val="24"/>
              </w:rPr>
              <w:t>2019-10-12</w:t>
            </w:r>
          </w:p>
        </w:tc>
        <w:tc>
          <w:tcPr>
            <w:tcW w:w="850" w:type="dxa"/>
            <w:vAlign w:val="center"/>
          </w:tcPr>
          <w:p w:rsidR="001019B5" w:rsidRDefault="002F7902">
            <w:pPr>
              <w:jc w:val="center"/>
            </w:pPr>
            <w:r>
              <w:rPr>
                <w:color w:val="000000"/>
                <w:sz w:val="24"/>
              </w:rPr>
              <w:t>-</w:t>
            </w:r>
          </w:p>
        </w:tc>
        <w:tc>
          <w:tcPr>
            <w:tcW w:w="1160" w:type="dxa"/>
            <w:vAlign w:val="center"/>
          </w:tcPr>
          <w:p w:rsidR="001019B5" w:rsidRDefault="002F7902">
            <w:pPr>
              <w:jc w:val="center"/>
            </w:pPr>
            <w:r>
              <w:rPr>
                <w:color w:val="000000"/>
                <w:sz w:val="24"/>
              </w:rPr>
              <w:t>8</w:t>
            </w:r>
            <w:r>
              <w:rPr>
                <w:color w:val="000000"/>
                <w:sz w:val="24"/>
              </w:rPr>
              <w:t>年</w:t>
            </w:r>
          </w:p>
        </w:tc>
        <w:tc>
          <w:tcPr>
            <w:tcW w:w="3251" w:type="dxa"/>
            <w:vAlign w:val="center"/>
          </w:tcPr>
          <w:p w:rsidR="001019B5" w:rsidRDefault="002F7902">
            <w:r>
              <w:rPr>
                <w:color w:val="000000"/>
                <w:sz w:val="24"/>
              </w:rPr>
              <w:t>季参平先生，美国密歇根大学金融工程硕士、对外经济贸易大学经济学学士。</w:t>
            </w:r>
            <w:r>
              <w:rPr>
                <w:color w:val="000000"/>
                <w:sz w:val="24"/>
              </w:rPr>
              <w:t>2012</w:t>
            </w:r>
            <w:r>
              <w:rPr>
                <w:color w:val="000000"/>
                <w:sz w:val="24"/>
              </w:rPr>
              <w:t>年</w:t>
            </w:r>
            <w:r>
              <w:rPr>
                <w:color w:val="000000"/>
                <w:sz w:val="24"/>
              </w:rPr>
              <w:t>3</w:t>
            </w:r>
            <w:r>
              <w:rPr>
                <w:color w:val="000000"/>
                <w:sz w:val="24"/>
              </w:rPr>
              <w:t>月至</w:t>
            </w:r>
            <w:r>
              <w:rPr>
                <w:color w:val="000000"/>
                <w:sz w:val="24"/>
              </w:rPr>
              <w:t>2017</w:t>
            </w:r>
            <w:r>
              <w:rPr>
                <w:color w:val="000000"/>
                <w:sz w:val="24"/>
              </w:rPr>
              <w:t>年</w:t>
            </w:r>
            <w:r>
              <w:rPr>
                <w:color w:val="000000"/>
                <w:sz w:val="24"/>
              </w:rPr>
              <w:t>7</w:t>
            </w:r>
            <w:r>
              <w:rPr>
                <w:color w:val="000000"/>
                <w:sz w:val="24"/>
              </w:rPr>
              <w:t>月任瑞士银行外汇和利率交易员、联席董事。</w:t>
            </w:r>
            <w:r>
              <w:rPr>
                <w:color w:val="000000"/>
                <w:sz w:val="24"/>
              </w:rPr>
              <w:t>2017</w:t>
            </w:r>
            <w:r>
              <w:rPr>
                <w:color w:val="000000"/>
                <w:sz w:val="24"/>
              </w:rPr>
              <w:t>年加入交银施罗德基金管理有限公司，历任基金经理助理。</w:t>
            </w:r>
            <w:r>
              <w:rPr>
                <w:color w:val="000000"/>
                <w:sz w:val="24"/>
              </w:rPr>
              <w:t>2019</w:t>
            </w:r>
            <w:r>
              <w:rPr>
                <w:color w:val="000000"/>
                <w:sz w:val="24"/>
              </w:rPr>
              <w:t>年</w:t>
            </w:r>
            <w:r>
              <w:rPr>
                <w:color w:val="000000"/>
                <w:sz w:val="24"/>
              </w:rPr>
              <w:t>7</w:t>
            </w:r>
            <w:r>
              <w:rPr>
                <w:color w:val="000000"/>
                <w:sz w:val="24"/>
              </w:rPr>
              <w:t>月</w:t>
            </w:r>
            <w:r>
              <w:rPr>
                <w:color w:val="000000"/>
                <w:sz w:val="24"/>
              </w:rPr>
              <w:t>26</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18</w:t>
            </w:r>
            <w:r>
              <w:rPr>
                <w:color w:val="000000"/>
                <w:sz w:val="24"/>
              </w:rPr>
              <w:t>日担任交银施罗德天运宝货币市场基金的基金经理。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1019B5" w:rsidRDefault="002F790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019B5" w:rsidRDefault="002F790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019B5" w:rsidRDefault="002F790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1019B5" w:rsidRDefault="002F7902">
      <w:pPr>
        <w:spacing w:before="29" w:line="288" w:lineRule="auto"/>
        <w:ind w:firstLineChars="200" w:firstLine="480"/>
        <w:rPr>
          <w:color w:val="000000"/>
          <w:sz w:val="24"/>
        </w:rPr>
      </w:pPr>
      <w:r>
        <w:rPr>
          <w:color w:val="000000"/>
          <w:sz w:val="24"/>
        </w:rPr>
        <w:t>2020</w:t>
      </w:r>
      <w:r>
        <w:rPr>
          <w:color w:val="000000"/>
          <w:sz w:val="24"/>
        </w:rPr>
        <w:t>年三季度债券收益率呈现出七月震荡上行、八月持续上行以及九月震荡横盘的格局，总体来看债券市场在三季度的表现较为疲弱。具体来看，七月初受权益资产上扬、央行净回笼资金以及特别国债发行等不利债券的因素影响，收益率先是大幅上行。随后七月下旬受中美互关领事馆事件的催化，债券收益率在避险情绪下又再次下行，十年国债收益率在这段时间内在</w:t>
      </w:r>
      <w:r>
        <w:rPr>
          <w:color w:val="000000"/>
          <w:sz w:val="24"/>
        </w:rPr>
        <w:t>2.86%-3.08%</w:t>
      </w:r>
      <w:r>
        <w:rPr>
          <w:color w:val="000000"/>
          <w:sz w:val="24"/>
        </w:rPr>
        <w:t>的区间内宽幅震荡。八月上旬，债券市场在进出口数据超预期和工业消费数据低于预期的影响下维持震荡，随后超储率低位、利率债发行和缴税等因素影响下，资金面持续收紧并带动同业存单发行利率上行，利率曲线呈现熊平化特征，债券收益率的持续走高也延续至九月初，十年国债收益率最高在</w:t>
      </w:r>
      <w:r>
        <w:rPr>
          <w:color w:val="000000"/>
          <w:sz w:val="24"/>
        </w:rPr>
        <w:t>3.15%</w:t>
      </w:r>
      <w:r>
        <w:rPr>
          <w:color w:val="000000"/>
          <w:sz w:val="24"/>
        </w:rPr>
        <w:t>附近。九月下旬的市场缺乏主要矛盾，在国债纳入富时罗素指数、央行超量投放</w:t>
      </w:r>
      <w:r>
        <w:rPr>
          <w:color w:val="000000"/>
          <w:sz w:val="24"/>
        </w:rPr>
        <w:t>MLF</w:t>
      </w:r>
      <w:r>
        <w:rPr>
          <w:color w:val="000000"/>
          <w:sz w:val="24"/>
        </w:rPr>
        <w:t>资金和权益资产风险偏好回落等因素影响下，债券收益率维持窄幅震荡。截止</w:t>
      </w:r>
      <w:r>
        <w:rPr>
          <w:color w:val="000000"/>
          <w:sz w:val="24"/>
        </w:rPr>
        <w:t>2020</w:t>
      </w:r>
      <w:r>
        <w:rPr>
          <w:color w:val="000000"/>
          <w:sz w:val="24"/>
        </w:rPr>
        <w:t>年</w:t>
      </w:r>
      <w:r>
        <w:rPr>
          <w:color w:val="000000"/>
          <w:sz w:val="24"/>
        </w:rPr>
        <w:t>9</w:t>
      </w:r>
      <w:r>
        <w:rPr>
          <w:color w:val="000000"/>
          <w:sz w:val="24"/>
        </w:rPr>
        <w:t>月</w:t>
      </w:r>
      <w:r>
        <w:rPr>
          <w:color w:val="000000"/>
          <w:sz w:val="24"/>
        </w:rPr>
        <w:t>30</w:t>
      </w:r>
      <w:r>
        <w:rPr>
          <w:color w:val="000000"/>
          <w:sz w:val="24"/>
        </w:rPr>
        <w:t>日，十年国债收益率上行约</w:t>
      </w:r>
      <w:r>
        <w:rPr>
          <w:color w:val="000000"/>
          <w:sz w:val="24"/>
        </w:rPr>
        <w:t>34BP</w:t>
      </w:r>
      <w:r>
        <w:rPr>
          <w:color w:val="000000"/>
          <w:sz w:val="24"/>
        </w:rPr>
        <w:t>至</w:t>
      </w:r>
      <w:r>
        <w:rPr>
          <w:color w:val="000000"/>
          <w:sz w:val="24"/>
        </w:rPr>
        <w:t>3.15%</w:t>
      </w:r>
      <w:r>
        <w:rPr>
          <w:color w:val="000000"/>
          <w:sz w:val="24"/>
        </w:rPr>
        <w:t>，十年国开收益率上行约</w:t>
      </w:r>
      <w:r>
        <w:rPr>
          <w:color w:val="000000"/>
          <w:sz w:val="24"/>
        </w:rPr>
        <w:t>63BP</w:t>
      </w:r>
      <w:r>
        <w:rPr>
          <w:color w:val="000000"/>
          <w:sz w:val="24"/>
        </w:rPr>
        <w:t>至</w:t>
      </w:r>
      <w:r>
        <w:rPr>
          <w:color w:val="000000"/>
          <w:sz w:val="24"/>
        </w:rPr>
        <w:t>3.72%</w:t>
      </w:r>
      <w:r>
        <w:rPr>
          <w:color w:val="000000"/>
          <w:sz w:val="24"/>
        </w:rPr>
        <w:t>。</w:t>
      </w:r>
    </w:p>
    <w:p w:rsidR="001019B5" w:rsidRDefault="002F7902">
      <w:pPr>
        <w:spacing w:before="29" w:line="288" w:lineRule="auto"/>
        <w:ind w:firstLineChars="200" w:firstLine="480"/>
        <w:rPr>
          <w:color w:val="000000"/>
          <w:sz w:val="24"/>
        </w:rPr>
      </w:pPr>
      <w:r>
        <w:rPr>
          <w:color w:val="000000"/>
          <w:sz w:val="24"/>
        </w:rPr>
        <w:t>报告期内，基于对经济基本面和政策的把握，并考虑组合收益的稳定性，组合主要配置了中短久期的利率债，优化了组合持仓情况，同时根据市场适时调整组合久期。央行货币政策提出结构性紧张的流动性货币政策框架，将增大货币市场的波动性和结构性分层的特点，根据这些特点，组合在大部分时间保持了较保守的久期和杠杆水平。</w:t>
      </w:r>
    </w:p>
    <w:p w:rsidR="001019B5" w:rsidRDefault="002F7902">
      <w:pPr>
        <w:spacing w:before="29" w:line="288" w:lineRule="auto"/>
        <w:ind w:firstLineChars="200" w:firstLine="480"/>
        <w:rPr>
          <w:color w:val="000000"/>
          <w:sz w:val="24"/>
        </w:rPr>
      </w:pPr>
      <w:r>
        <w:rPr>
          <w:color w:val="000000"/>
          <w:sz w:val="24"/>
        </w:rPr>
        <w:t>展望</w:t>
      </w:r>
      <w:r>
        <w:rPr>
          <w:color w:val="000000"/>
          <w:sz w:val="24"/>
        </w:rPr>
        <w:t>2020</w:t>
      </w:r>
      <w:r>
        <w:rPr>
          <w:color w:val="000000"/>
          <w:sz w:val="24"/>
        </w:rPr>
        <w:t>年四季度，我们将密切关注国内经济基本面增长是否能持续超出市场预期，观察</w:t>
      </w:r>
      <w:r>
        <w:rPr>
          <w:color w:val="000000"/>
          <w:sz w:val="24"/>
        </w:rPr>
        <w:t>CPI</w:t>
      </w:r>
      <w:r>
        <w:rPr>
          <w:color w:val="000000"/>
          <w:sz w:val="24"/>
        </w:rPr>
        <w:t>在基数效应影响下逐级回落的幅度和</w:t>
      </w:r>
      <w:r>
        <w:rPr>
          <w:color w:val="000000"/>
          <w:sz w:val="24"/>
        </w:rPr>
        <w:t>PPI</w:t>
      </w:r>
      <w:r>
        <w:rPr>
          <w:color w:val="000000"/>
          <w:sz w:val="24"/>
        </w:rPr>
        <w:t>趋势回升的态势，并对低超储率下的资金面紧平衡状态持续观察。整体来看，</w:t>
      </w:r>
      <w:r>
        <w:rPr>
          <w:color w:val="000000"/>
          <w:sz w:val="24"/>
        </w:rPr>
        <w:t>2020</w:t>
      </w:r>
      <w:r>
        <w:rPr>
          <w:color w:val="000000"/>
          <w:sz w:val="24"/>
        </w:rPr>
        <w:t>年四季度债券市场存在趋势性机会的概率不大，同时继续调整的空间也有限，债券和股票性价比的天平正在向债券倾斜，我们建议对债券逐步转换乐观心态，调整久期策略，加强票息策略和杠杆策略。</w:t>
      </w:r>
    </w:p>
    <w:p w:rsidR="00952A72" w:rsidRPr="007F52FA" w:rsidRDefault="00323F25" w:rsidP="007C14DF">
      <w:pPr>
        <w:spacing w:before="29" w:line="288" w:lineRule="auto"/>
        <w:ind w:firstLineChars="200" w:firstLine="480"/>
        <w:rPr>
          <w:color w:val="000000"/>
          <w:sz w:val="24"/>
        </w:rPr>
      </w:pPr>
      <w:r w:rsidRPr="007F52FA">
        <w:rPr>
          <w:color w:val="000000"/>
          <w:sz w:val="24"/>
        </w:rPr>
        <w:t>操作策略方面，组合将继续以利率债投资为主要策略，关注利率品种的骑乘收益，做好券种轮换和中短久期品种的精选配置，同时积极进行灵活的组合久期波段操作，以期增厚组合收益。</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“3.1</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 xml:space="preserve">“3.2.1 </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本基金本报告期内曾连续二十个工作日以上出现基金份额持有人数量不满</w:t>
      </w:r>
      <w:r w:rsidRPr="002070B4">
        <w:rPr>
          <w:color w:val="000000"/>
          <w:sz w:val="24"/>
        </w:rPr>
        <w:t>200</w:t>
      </w:r>
      <w:r w:rsidRPr="002070B4">
        <w:rPr>
          <w:color w:val="000000"/>
          <w:sz w:val="24"/>
        </w:rPr>
        <w:t>人的情形，截至本报告期末，本基金基金份额持有人数量已高于</w:t>
      </w:r>
      <w:r w:rsidRPr="002070B4">
        <w:rPr>
          <w:color w:val="000000"/>
          <w:sz w:val="24"/>
        </w:rPr>
        <w:t>200</w:t>
      </w:r>
      <w:r w:rsidRPr="002070B4">
        <w:rPr>
          <w:color w:val="000000"/>
          <w:sz w:val="24"/>
        </w:rPr>
        <w:t>人。</w:t>
      </w:r>
    </w:p>
    <w:p w:rsidR="00400FA6" w:rsidRPr="007F52FA" w:rsidRDefault="00400FA6" w:rsidP="007C14DF">
      <w:pPr>
        <w:spacing w:before="29" w:line="288" w:lineRule="auto"/>
        <w:ind w:firstLineChars="200" w:firstLine="480"/>
        <w:rPr>
          <w:color w:val="000000"/>
          <w:sz w:val="24"/>
        </w:rPr>
      </w:pPr>
    </w:p>
    <w:p w:rsidR="009238DB" w:rsidRPr="007C6127" w:rsidRDefault="009238DB" w:rsidP="000A29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p w:rsidR="00610880" w:rsidRPr="0028293E" w:rsidRDefault="001A5E45" w:rsidP="001A5E45">
      <w:pPr>
        <w:autoSpaceDE w:val="0"/>
        <w:autoSpaceDN w:val="0"/>
        <w:adjustRightInd w:val="0"/>
        <w:spacing w:line="360" w:lineRule="auto"/>
        <w:jc w:val="right"/>
        <w:rPr>
          <w:rFonts w:eastAsiaTheme="minorEastAsia"/>
          <w:b/>
          <w:color w:val="000000" w:themeColor="text1"/>
          <w:kern w:val="0"/>
          <w:sz w:val="24"/>
        </w:rPr>
      </w:pPr>
      <w:r w:rsidRPr="001A5E45">
        <w:rPr>
          <w:rFonts w:hint="eastAsia"/>
          <w:color w:val="000000"/>
          <w:kern w:val="0"/>
        </w:rPr>
        <w:t>金额单位：人民币元</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005D2D89">
              <w:rPr>
                <w:rFonts w:eastAsiaTheme="minorEastAsia" w:hint="eastAsia"/>
                <w:color w:val="000000" w:themeColor="text1"/>
                <w:sz w:val="24"/>
              </w:rPr>
              <w:t>（</w:t>
            </w:r>
            <w:r w:rsidR="005D2D89">
              <w:rPr>
                <w:rFonts w:eastAsiaTheme="minorEastAsia" w:hint="eastAsia"/>
                <w:color w:val="000000" w:themeColor="text1"/>
                <w:sz w:val="24"/>
              </w:rPr>
              <w:t>%</w:t>
            </w:r>
            <w:r w:rsidR="005D2D89">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618,383,000.00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98.32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618,383,000.00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98.32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271,553.20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0.04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10,315,882.14</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1.64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628,970,435.34</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Default="001A5D39" w:rsidP="001A5D39">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C6200" w:rsidRPr="001C6200" w:rsidRDefault="001C6200"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R="008220BF" w:rsidRPr="008220BF"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618,383,000.00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105.81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618,383,000.00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105.81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618,383,000.00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105.81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R="00D21CE9" w:rsidRPr="00D21CE9"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1019B5">
        <w:trPr>
          <w:jc w:val="center"/>
        </w:trPr>
        <w:tc>
          <w:tcPr>
            <w:tcW w:w="1075" w:type="dxa"/>
            <w:vAlign w:val="center"/>
          </w:tcPr>
          <w:p w:rsidR="001019B5" w:rsidRDefault="002F7902">
            <w:pPr>
              <w:jc w:val="center"/>
            </w:pPr>
            <w:r>
              <w:rPr>
                <w:color w:val="000000"/>
                <w:sz w:val="24"/>
              </w:rPr>
              <w:t>1</w:t>
            </w:r>
          </w:p>
        </w:tc>
        <w:tc>
          <w:tcPr>
            <w:tcW w:w="1533" w:type="dxa"/>
            <w:vAlign w:val="center"/>
          </w:tcPr>
          <w:p w:rsidR="001019B5" w:rsidRDefault="002F7902">
            <w:pPr>
              <w:jc w:val="center"/>
            </w:pPr>
            <w:r>
              <w:rPr>
                <w:color w:val="000000"/>
                <w:sz w:val="24"/>
              </w:rPr>
              <w:t>180412</w:t>
            </w:r>
          </w:p>
        </w:tc>
        <w:tc>
          <w:tcPr>
            <w:tcW w:w="1533" w:type="dxa"/>
            <w:vAlign w:val="center"/>
          </w:tcPr>
          <w:p w:rsidR="001019B5" w:rsidRDefault="002F7902">
            <w:pPr>
              <w:jc w:val="center"/>
            </w:pPr>
            <w:r>
              <w:rPr>
                <w:color w:val="000000"/>
                <w:sz w:val="24"/>
              </w:rPr>
              <w:t>18</w:t>
            </w:r>
            <w:r>
              <w:rPr>
                <w:color w:val="000000"/>
                <w:sz w:val="24"/>
              </w:rPr>
              <w:t>农发</w:t>
            </w:r>
            <w:r>
              <w:rPr>
                <w:color w:val="000000"/>
                <w:sz w:val="24"/>
              </w:rPr>
              <w:t>12</w:t>
            </w:r>
          </w:p>
        </w:tc>
        <w:tc>
          <w:tcPr>
            <w:tcW w:w="1394" w:type="dxa"/>
            <w:vAlign w:val="center"/>
          </w:tcPr>
          <w:p w:rsidR="001019B5" w:rsidRDefault="002F7902">
            <w:pPr>
              <w:jc w:val="right"/>
            </w:pPr>
            <w:r>
              <w:rPr>
                <w:color w:val="000000"/>
                <w:sz w:val="24"/>
              </w:rPr>
              <w:t>1,000,000</w:t>
            </w:r>
          </w:p>
        </w:tc>
        <w:tc>
          <w:tcPr>
            <w:tcW w:w="1944" w:type="dxa"/>
            <w:vAlign w:val="center"/>
          </w:tcPr>
          <w:p w:rsidR="001019B5" w:rsidRDefault="002F7902">
            <w:pPr>
              <w:jc w:val="right"/>
            </w:pPr>
            <w:r>
              <w:rPr>
                <w:color w:val="000000"/>
                <w:sz w:val="24"/>
              </w:rPr>
              <w:t>100,390,000.00</w:t>
            </w:r>
          </w:p>
        </w:tc>
        <w:tc>
          <w:tcPr>
            <w:tcW w:w="1389" w:type="dxa"/>
            <w:vAlign w:val="center"/>
          </w:tcPr>
          <w:p w:rsidR="001019B5" w:rsidRDefault="002F7902">
            <w:pPr>
              <w:jc w:val="right"/>
            </w:pPr>
            <w:r>
              <w:rPr>
                <w:color w:val="000000"/>
                <w:sz w:val="24"/>
              </w:rPr>
              <w:t>17.18</w:t>
            </w:r>
          </w:p>
        </w:tc>
      </w:tr>
      <w:tr w:rsidR="001019B5">
        <w:trPr>
          <w:jc w:val="center"/>
        </w:trPr>
        <w:tc>
          <w:tcPr>
            <w:tcW w:w="1075" w:type="dxa"/>
            <w:vAlign w:val="center"/>
          </w:tcPr>
          <w:p w:rsidR="001019B5" w:rsidRDefault="002F7902">
            <w:pPr>
              <w:jc w:val="center"/>
            </w:pPr>
            <w:r>
              <w:rPr>
                <w:color w:val="000000"/>
                <w:sz w:val="24"/>
              </w:rPr>
              <w:t>2</w:t>
            </w:r>
          </w:p>
        </w:tc>
        <w:tc>
          <w:tcPr>
            <w:tcW w:w="1533" w:type="dxa"/>
            <w:vAlign w:val="center"/>
          </w:tcPr>
          <w:p w:rsidR="001019B5" w:rsidRDefault="002F7902">
            <w:pPr>
              <w:jc w:val="center"/>
            </w:pPr>
            <w:r>
              <w:rPr>
                <w:color w:val="000000"/>
                <w:sz w:val="24"/>
              </w:rPr>
              <w:t>190202</w:t>
            </w:r>
          </w:p>
        </w:tc>
        <w:tc>
          <w:tcPr>
            <w:tcW w:w="1533" w:type="dxa"/>
            <w:vAlign w:val="center"/>
          </w:tcPr>
          <w:p w:rsidR="001019B5" w:rsidRDefault="002F7902">
            <w:pPr>
              <w:jc w:val="center"/>
            </w:pPr>
            <w:r>
              <w:rPr>
                <w:color w:val="000000"/>
                <w:sz w:val="24"/>
              </w:rPr>
              <w:t>19</w:t>
            </w:r>
            <w:r>
              <w:rPr>
                <w:color w:val="000000"/>
                <w:sz w:val="24"/>
              </w:rPr>
              <w:t>国开</w:t>
            </w:r>
            <w:r>
              <w:rPr>
                <w:color w:val="000000"/>
                <w:sz w:val="24"/>
              </w:rPr>
              <w:t>02</w:t>
            </w:r>
          </w:p>
        </w:tc>
        <w:tc>
          <w:tcPr>
            <w:tcW w:w="1394" w:type="dxa"/>
            <w:vAlign w:val="center"/>
          </w:tcPr>
          <w:p w:rsidR="001019B5" w:rsidRDefault="002F7902">
            <w:pPr>
              <w:jc w:val="right"/>
            </w:pPr>
            <w:r>
              <w:rPr>
                <w:color w:val="000000"/>
                <w:sz w:val="24"/>
              </w:rPr>
              <w:t>1,000,000</w:t>
            </w:r>
          </w:p>
        </w:tc>
        <w:tc>
          <w:tcPr>
            <w:tcW w:w="1944" w:type="dxa"/>
            <w:vAlign w:val="center"/>
          </w:tcPr>
          <w:p w:rsidR="001019B5" w:rsidRDefault="002F7902">
            <w:pPr>
              <w:jc w:val="right"/>
            </w:pPr>
            <w:r>
              <w:rPr>
                <w:color w:val="000000"/>
                <w:sz w:val="24"/>
              </w:rPr>
              <w:t>100,080,000.00</w:t>
            </w:r>
          </w:p>
        </w:tc>
        <w:tc>
          <w:tcPr>
            <w:tcW w:w="1389" w:type="dxa"/>
            <w:vAlign w:val="center"/>
          </w:tcPr>
          <w:p w:rsidR="001019B5" w:rsidRDefault="002F7902">
            <w:pPr>
              <w:jc w:val="right"/>
            </w:pPr>
            <w:r>
              <w:rPr>
                <w:color w:val="000000"/>
                <w:sz w:val="24"/>
              </w:rPr>
              <w:t>17.13</w:t>
            </w:r>
          </w:p>
        </w:tc>
      </w:tr>
      <w:tr w:rsidR="001019B5">
        <w:trPr>
          <w:jc w:val="center"/>
        </w:trPr>
        <w:tc>
          <w:tcPr>
            <w:tcW w:w="1075" w:type="dxa"/>
            <w:vAlign w:val="center"/>
          </w:tcPr>
          <w:p w:rsidR="001019B5" w:rsidRDefault="002F7902">
            <w:pPr>
              <w:jc w:val="center"/>
            </w:pPr>
            <w:r>
              <w:rPr>
                <w:color w:val="000000"/>
                <w:sz w:val="24"/>
              </w:rPr>
              <w:t>3</w:t>
            </w:r>
          </w:p>
        </w:tc>
        <w:tc>
          <w:tcPr>
            <w:tcW w:w="1533" w:type="dxa"/>
            <w:vAlign w:val="center"/>
          </w:tcPr>
          <w:p w:rsidR="001019B5" w:rsidRDefault="002F7902">
            <w:pPr>
              <w:jc w:val="center"/>
            </w:pPr>
            <w:r>
              <w:rPr>
                <w:color w:val="000000"/>
                <w:sz w:val="24"/>
              </w:rPr>
              <w:t>190303</w:t>
            </w:r>
          </w:p>
        </w:tc>
        <w:tc>
          <w:tcPr>
            <w:tcW w:w="1533" w:type="dxa"/>
            <w:vAlign w:val="center"/>
          </w:tcPr>
          <w:p w:rsidR="001019B5" w:rsidRDefault="002F7902">
            <w:pPr>
              <w:jc w:val="center"/>
            </w:pPr>
            <w:r>
              <w:rPr>
                <w:color w:val="000000"/>
                <w:sz w:val="24"/>
              </w:rPr>
              <w:t>19</w:t>
            </w:r>
            <w:r>
              <w:rPr>
                <w:color w:val="000000"/>
                <w:sz w:val="24"/>
              </w:rPr>
              <w:t>进出</w:t>
            </w:r>
            <w:r>
              <w:rPr>
                <w:color w:val="000000"/>
                <w:sz w:val="24"/>
              </w:rPr>
              <w:t>03</w:t>
            </w:r>
          </w:p>
        </w:tc>
        <w:tc>
          <w:tcPr>
            <w:tcW w:w="1394" w:type="dxa"/>
            <w:vAlign w:val="center"/>
          </w:tcPr>
          <w:p w:rsidR="001019B5" w:rsidRDefault="002F7902">
            <w:pPr>
              <w:jc w:val="right"/>
            </w:pPr>
            <w:r>
              <w:rPr>
                <w:color w:val="000000"/>
                <w:sz w:val="24"/>
              </w:rPr>
              <w:t>1,000,000</w:t>
            </w:r>
          </w:p>
        </w:tc>
        <w:tc>
          <w:tcPr>
            <w:tcW w:w="1944" w:type="dxa"/>
            <w:vAlign w:val="center"/>
          </w:tcPr>
          <w:p w:rsidR="001019B5" w:rsidRDefault="002F7902">
            <w:pPr>
              <w:jc w:val="right"/>
            </w:pPr>
            <w:r>
              <w:rPr>
                <w:color w:val="000000"/>
                <w:sz w:val="24"/>
              </w:rPr>
              <w:t>99,860,000.00</w:t>
            </w:r>
          </w:p>
        </w:tc>
        <w:tc>
          <w:tcPr>
            <w:tcW w:w="1389" w:type="dxa"/>
            <w:vAlign w:val="center"/>
          </w:tcPr>
          <w:p w:rsidR="001019B5" w:rsidRDefault="002F7902">
            <w:pPr>
              <w:jc w:val="right"/>
            </w:pPr>
            <w:r>
              <w:rPr>
                <w:color w:val="000000"/>
                <w:sz w:val="24"/>
              </w:rPr>
              <w:t>17.09</w:t>
            </w:r>
          </w:p>
        </w:tc>
      </w:tr>
      <w:tr w:rsidR="001019B5">
        <w:trPr>
          <w:jc w:val="center"/>
        </w:trPr>
        <w:tc>
          <w:tcPr>
            <w:tcW w:w="1075" w:type="dxa"/>
            <w:vAlign w:val="center"/>
          </w:tcPr>
          <w:p w:rsidR="001019B5" w:rsidRDefault="002F7902">
            <w:pPr>
              <w:jc w:val="center"/>
            </w:pPr>
            <w:r>
              <w:rPr>
                <w:color w:val="000000"/>
                <w:sz w:val="24"/>
              </w:rPr>
              <w:t>4</w:t>
            </w:r>
          </w:p>
        </w:tc>
        <w:tc>
          <w:tcPr>
            <w:tcW w:w="1533" w:type="dxa"/>
            <w:vAlign w:val="center"/>
          </w:tcPr>
          <w:p w:rsidR="001019B5" w:rsidRDefault="002F7902">
            <w:pPr>
              <w:jc w:val="center"/>
            </w:pPr>
            <w:r>
              <w:rPr>
                <w:color w:val="000000"/>
                <w:sz w:val="24"/>
              </w:rPr>
              <w:t>092018001</w:t>
            </w:r>
          </w:p>
        </w:tc>
        <w:tc>
          <w:tcPr>
            <w:tcW w:w="1533" w:type="dxa"/>
            <w:vAlign w:val="center"/>
          </w:tcPr>
          <w:p w:rsidR="001019B5" w:rsidRDefault="002F7902">
            <w:pPr>
              <w:jc w:val="center"/>
            </w:pPr>
            <w:r>
              <w:rPr>
                <w:color w:val="000000"/>
                <w:sz w:val="24"/>
              </w:rPr>
              <w:t>20</w:t>
            </w:r>
            <w:r>
              <w:rPr>
                <w:color w:val="000000"/>
                <w:sz w:val="24"/>
              </w:rPr>
              <w:t>农发清发</w:t>
            </w:r>
            <w:r>
              <w:rPr>
                <w:color w:val="000000"/>
                <w:sz w:val="24"/>
              </w:rPr>
              <w:t>01</w:t>
            </w:r>
          </w:p>
        </w:tc>
        <w:tc>
          <w:tcPr>
            <w:tcW w:w="1394" w:type="dxa"/>
            <w:vAlign w:val="center"/>
          </w:tcPr>
          <w:p w:rsidR="001019B5" w:rsidRDefault="002F7902">
            <w:pPr>
              <w:jc w:val="right"/>
            </w:pPr>
            <w:r>
              <w:rPr>
                <w:color w:val="000000"/>
                <w:sz w:val="24"/>
              </w:rPr>
              <w:t>1,000,000</w:t>
            </w:r>
          </w:p>
        </w:tc>
        <w:tc>
          <w:tcPr>
            <w:tcW w:w="1944" w:type="dxa"/>
            <w:vAlign w:val="center"/>
          </w:tcPr>
          <w:p w:rsidR="001019B5" w:rsidRDefault="002F7902">
            <w:pPr>
              <w:jc w:val="right"/>
            </w:pPr>
            <w:r>
              <w:rPr>
                <w:color w:val="000000"/>
                <w:sz w:val="24"/>
              </w:rPr>
              <w:t>98,830,000.00</w:t>
            </w:r>
          </w:p>
        </w:tc>
        <w:tc>
          <w:tcPr>
            <w:tcW w:w="1389" w:type="dxa"/>
            <w:vAlign w:val="center"/>
          </w:tcPr>
          <w:p w:rsidR="001019B5" w:rsidRDefault="002F7902">
            <w:pPr>
              <w:jc w:val="right"/>
            </w:pPr>
            <w:r>
              <w:rPr>
                <w:color w:val="000000"/>
                <w:sz w:val="24"/>
              </w:rPr>
              <w:t>16.91</w:t>
            </w:r>
          </w:p>
        </w:tc>
      </w:tr>
      <w:tr w:rsidR="001019B5">
        <w:trPr>
          <w:jc w:val="center"/>
        </w:trPr>
        <w:tc>
          <w:tcPr>
            <w:tcW w:w="1075" w:type="dxa"/>
            <w:vAlign w:val="center"/>
          </w:tcPr>
          <w:p w:rsidR="001019B5" w:rsidRDefault="002F7902">
            <w:pPr>
              <w:jc w:val="center"/>
            </w:pPr>
            <w:r>
              <w:rPr>
                <w:color w:val="000000"/>
                <w:sz w:val="24"/>
              </w:rPr>
              <w:t>5</w:t>
            </w:r>
          </w:p>
        </w:tc>
        <w:tc>
          <w:tcPr>
            <w:tcW w:w="1533" w:type="dxa"/>
            <w:vAlign w:val="center"/>
          </w:tcPr>
          <w:p w:rsidR="001019B5" w:rsidRDefault="002F7902">
            <w:pPr>
              <w:jc w:val="center"/>
            </w:pPr>
            <w:r>
              <w:rPr>
                <w:color w:val="000000"/>
                <w:sz w:val="24"/>
              </w:rPr>
              <w:t>190407</w:t>
            </w:r>
          </w:p>
        </w:tc>
        <w:tc>
          <w:tcPr>
            <w:tcW w:w="1533" w:type="dxa"/>
            <w:vAlign w:val="center"/>
          </w:tcPr>
          <w:p w:rsidR="001019B5" w:rsidRDefault="002F7902">
            <w:pPr>
              <w:jc w:val="center"/>
            </w:pPr>
            <w:r>
              <w:rPr>
                <w:color w:val="000000"/>
                <w:sz w:val="24"/>
              </w:rPr>
              <w:t>19</w:t>
            </w:r>
            <w:r>
              <w:rPr>
                <w:color w:val="000000"/>
                <w:sz w:val="24"/>
              </w:rPr>
              <w:t>农发</w:t>
            </w:r>
            <w:r>
              <w:rPr>
                <w:color w:val="000000"/>
                <w:sz w:val="24"/>
              </w:rPr>
              <w:t>07</w:t>
            </w:r>
          </w:p>
        </w:tc>
        <w:tc>
          <w:tcPr>
            <w:tcW w:w="1394" w:type="dxa"/>
            <w:vAlign w:val="center"/>
          </w:tcPr>
          <w:p w:rsidR="001019B5" w:rsidRDefault="002F7902">
            <w:pPr>
              <w:jc w:val="right"/>
            </w:pPr>
            <w:r>
              <w:rPr>
                <w:color w:val="000000"/>
                <w:sz w:val="24"/>
              </w:rPr>
              <w:t>500,000</w:t>
            </w:r>
          </w:p>
        </w:tc>
        <w:tc>
          <w:tcPr>
            <w:tcW w:w="1944" w:type="dxa"/>
            <w:vAlign w:val="center"/>
          </w:tcPr>
          <w:p w:rsidR="001019B5" w:rsidRDefault="002F7902">
            <w:pPr>
              <w:jc w:val="right"/>
            </w:pPr>
            <w:r>
              <w:rPr>
                <w:color w:val="000000"/>
                <w:sz w:val="24"/>
              </w:rPr>
              <w:t>49,975,000.00</w:t>
            </w:r>
          </w:p>
        </w:tc>
        <w:tc>
          <w:tcPr>
            <w:tcW w:w="1389" w:type="dxa"/>
            <w:vAlign w:val="center"/>
          </w:tcPr>
          <w:p w:rsidR="001019B5" w:rsidRDefault="002F7902">
            <w:pPr>
              <w:jc w:val="right"/>
            </w:pPr>
            <w:r>
              <w:rPr>
                <w:color w:val="000000"/>
                <w:sz w:val="24"/>
              </w:rPr>
              <w:t>8.55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1C6200" w:rsidRPr="007F52FA" w:rsidRDefault="001C6200" w:rsidP="007C14DF">
      <w:pPr>
        <w:autoSpaceDE w:val="0"/>
        <w:autoSpaceDN w:val="0"/>
        <w:adjustRightInd w:val="0"/>
        <w:spacing w:before="29" w:line="288" w:lineRule="auto"/>
        <w:jc w:val="left"/>
        <w:rPr>
          <w:color w:val="00000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1C6200">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R="001D5CD0" w:rsidRDefault="001D5CD0" w:rsidP="007C14DF">
      <w:pPr>
        <w:autoSpaceDE w:val="0"/>
        <w:autoSpaceDN w:val="0"/>
        <w:adjustRightInd w:val="0"/>
        <w:spacing w:before="29" w:line="288" w:lineRule="auto"/>
        <w:rPr>
          <w:kern w:val="0"/>
          <w:sz w:val="24"/>
        </w:rPr>
      </w:pPr>
      <w:r w:rsidRPr="00885AD9">
        <w:rPr>
          <w:b/>
          <w:kern w:val="0"/>
          <w:sz w:val="24"/>
        </w:rPr>
        <w:t>5.11.3</w:t>
      </w:r>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R="006B32A4" w:rsidRPr="007F52FA" w:rsidRDefault="00C33577" w:rsidP="006B32A4">
      <w:pPr>
        <w:autoSpaceDE w:val="0"/>
        <w:autoSpaceDN w:val="0"/>
        <w:adjustRightInd w:val="0"/>
        <w:spacing w:before="29" w:line="288" w:lineRule="auto"/>
        <w:jc w:val="right"/>
        <w:rPr>
          <w:kern w:val="0"/>
          <w:sz w:val="24"/>
        </w:rPr>
      </w:pPr>
      <w:r w:rsidRPr="00C33577">
        <w:rPr>
          <w:rFonts w:hint="eastAsia"/>
          <w:kern w:val="0"/>
          <w:sz w:val="24"/>
        </w:rPr>
        <w:t>金额单位：人民币元</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10,296,715.14</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19,167.00</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10,315,882.14</w:t>
            </w:r>
          </w:p>
        </w:tc>
      </w:tr>
    </w:tbl>
    <w:p w:rsidR="001D5CD0" w:rsidRPr="007F52FA" w:rsidRDefault="001D5CD0" w:rsidP="007C14DF">
      <w:pPr>
        <w:autoSpaceDE w:val="0"/>
        <w:autoSpaceDN w:val="0"/>
        <w:adjustRightInd w:val="0"/>
        <w:spacing w:before="29" w:line="288" w:lineRule="auto"/>
        <w:jc w:val="left"/>
        <w:rPr>
          <w:sz w:val="24"/>
        </w:rPr>
      </w:pPr>
    </w:p>
    <w:p w:rsidR="001D5CD0" w:rsidRPr="00143E9C" w:rsidRDefault="001D5CD0" w:rsidP="007C14DF">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R="001D5CD0"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C6200" w:rsidRPr="007F52FA" w:rsidRDefault="001C6200" w:rsidP="007C14DF">
      <w:pPr>
        <w:autoSpaceDE w:val="0"/>
        <w:autoSpaceDN w:val="0"/>
        <w:adjustRightInd w:val="0"/>
        <w:spacing w:before="29" w:line="288" w:lineRule="auto"/>
        <w:jc w:val="left"/>
        <w:rPr>
          <w:rFonts w:eastAsiaTheme="minorEastAsia"/>
          <w:sz w:val="24"/>
        </w:rPr>
      </w:pPr>
    </w:p>
    <w:p w:rsidR="001D5CD0" w:rsidRPr="00143E9C" w:rsidRDefault="001D5CD0" w:rsidP="007C14DF">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R="001D5CD0"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C6200" w:rsidRPr="007F52FA" w:rsidRDefault="001C6200" w:rsidP="007C14DF">
      <w:pPr>
        <w:autoSpaceDE w:val="0"/>
        <w:autoSpaceDN w:val="0"/>
        <w:adjustRightInd w:val="0"/>
        <w:spacing w:before="29" w:line="288" w:lineRule="auto"/>
        <w:jc w:val="left"/>
        <w:rPr>
          <w:rFonts w:eastAsiaTheme="minorEastAsia"/>
          <w:sz w:val="24"/>
        </w:rPr>
      </w:pPr>
    </w:p>
    <w:p w:rsidR="001D5CD0" w:rsidRPr="00901A22" w:rsidRDefault="001D5CD0" w:rsidP="007C14DF">
      <w:pPr>
        <w:spacing w:before="29" w:line="288" w:lineRule="auto"/>
        <w:rPr>
          <w:rFonts w:eastAsiaTheme="minorEastAsia"/>
          <w:b/>
          <w:color w:val="000000"/>
          <w:kern w:val="0"/>
          <w:sz w:val="24"/>
        </w:rPr>
      </w:pP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C51B4E" w:rsidP="000A29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§6</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交银裕通纯债债券</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交银裕通纯债债券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2,037,184,112.60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2,763,667.43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4,881.49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209,461.66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1,457,169,121.76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2,597,828.86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580,019,872.33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375,300.23</w:t>
            </w:r>
          </w:p>
        </w:tc>
      </w:tr>
    </w:tbl>
    <w:p w:rsidR="001019B5" w:rsidRDefault="002F790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w:t>
      </w:r>
      <w:r w:rsidR="001C6200">
        <w:rPr>
          <w:rFonts w:eastAsiaTheme="minorEastAsia"/>
          <w:color w:val="000000"/>
          <w:sz w:val="24"/>
        </w:rPr>
        <w:t xml:space="preserve">   </w:t>
      </w:r>
      <w:r w:rsidRPr="007F52FA">
        <w:rPr>
          <w:rFonts w:eastAsiaTheme="minorEastAsia"/>
          <w:color w:val="000000"/>
          <w:sz w:val="24"/>
        </w:rPr>
        <w:t>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0A29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Pr="001C6200" w:rsidRDefault="00ED0E09" w:rsidP="000A2988">
      <w:pPr>
        <w:pStyle w:val="1"/>
        <w:spacing w:beforeLines="100" w:before="312" w:afterLines="100" w:after="312" w:line="360" w:lineRule="auto"/>
        <w:jc w:val="center"/>
        <w:rPr>
          <w:rFonts w:eastAsiaTheme="minorEastAsia"/>
          <w:color w:val="000000" w:themeColor="text1"/>
          <w:kern w:val="0"/>
          <w:sz w:val="24"/>
          <w:szCs w:val="24"/>
        </w:rPr>
      </w:pPr>
      <w:r w:rsidRPr="001C6200">
        <w:rPr>
          <w:rFonts w:eastAsiaTheme="minorEastAsia"/>
          <w:color w:val="000000" w:themeColor="text1"/>
          <w:kern w:val="0"/>
          <w:sz w:val="24"/>
          <w:szCs w:val="24"/>
        </w:rPr>
        <w:t xml:space="preserve">§8 </w:t>
      </w:r>
      <w:r w:rsidR="00F139D5" w:rsidRPr="001C6200">
        <w:rPr>
          <w:rFonts w:eastAsiaTheme="minorEastAsia"/>
          <w:color w:val="000000" w:themeColor="text1"/>
          <w:kern w:val="0"/>
          <w:sz w:val="24"/>
          <w:szCs w:val="24"/>
        </w:rPr>
        <w:t xml:space="preserve"> </w:t>
      </w:r>
      <w:r w:rsidRPr="001C6200">
        <w:rPr>
          <w:rFonts w:eastAsiaTheme="minorEastAsia" w:hint="eastAsia"/>
          <w:color w:val="000000" w:themeColor="text1"/>
          <w:kern w:val="0"/>
          <w:sz w:val="24"/>
          <w:szCs w:val="24"/>
        </w:rPr>
        <w:t>影响投资者决策的其他重要信息</w:t>
      </w:r>
    </w:p>
    <w:p w:rsidR="00ED0E09" w:rsidRPr="001C6200" w:rsidRDefault="00ED0E09" w:rsidP="00ED0E09">
      <w:pPr>
        <w:autoSpaceDE w:val="0"/>
        <w:autoSpaceDN w:val="0"/>
        <w:adjustRightInd w:val="0"/>
        <w:spacing w:line="360" w:lineRule="auto"/>
        <w:jc w:val="left"/>
        <w:rPr>
          <w:rFonts w:ascii="宋体" w:hAnsi="宋体"/>
          <w:b/>
          <w:bCs/>
          <w:color w:val="000000"/>
          <w:kern w:val="0"/>
          <w:sz w:val="24"/>
        </w:rPr>
      </w:pPr>
      <w:r w:rsidRPr="001C6200">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1019B5">
        <w:tc>
          <w:tcPr>
            <w:tcW w:w="992" w:type="dxa"/>
            <w:vMerge w:val="restart"/>
          </w:tcPr>
          <w:p w:rsidR="001019B5" w:rsidRDefault="001019B5"/>
          <w:p w:rsidR="001019B5" w:rsidRDefault="002F7902">
            <w:r>
              <w:rPr>
                <w:rFonts w:ascii="宋体" w:hAnsi="宋体" w:hint="eastAsia"/>
                <w:bCs/>
                <w:color w:val="000000"/>
                <w:kern w:val="0"/>
                <w:szCs w:val="21"/>
              </w:rPr>
              <w:t>机构</w:t>
            </w:r>
          </w:p>
        </w:tc>
        <w:tc>
          <w:tcPr>
            <w:tcW w:w="991" w:type="dxa"/>
            <w:vAlign w:val="center"/>
          </w:tcPr>
          <w:p w:rsidR="001019B5" w:rsidRDefault="002F7902">
            <w:pPr>
              <w:jc w:val="center"/>
            </w:pPr>
            <w:r>
              <w:rPr>
                <w:rFonts w:ascii="宋体" w:hAnsi="宋体" w:hint="eastAsia"/>
                <w:color w:val="000000"/>
                <w:kern w:val="0"/>
                <w:szCs w:val="21"/>
              </w:rPr>
              <w:t>1</w:t>
            </w:r>
          </w:p>
        </w:tc>
        <w:tc>
          <w:tcPr>
            <w:tcW w:w="1843" w:type="dxa"/>
            <w:vAlign w:val="center"/>
          </w:tcPr>
          <w:p w:rsidR="001019B5" w:rsidRDefault="002F7902">
            <w:pPr>
              <w:jc w:val="center"/>
            </w:pPr>
            <w:r>
              <w:rPr>
                <w:rFonts w:ascii="宋体" w:hAnsi="宋体" w:hint="eastAsia"/>
                <w:color w:val="000000"/>
                <w:kern w:val="0"/>
                <w:szCs w:val="21"/>
              </w:rPr>
              <w:t>2020/7/1-2020/9/30</w:t>
            </w:r>
          </w:p>
        </w:tc>
        <w:tc>
          <w:tcPr>
            <w:tcW w:w="851" w:type="dxa"/>
            <w:vAlign w:val="center"/>
          </w:tcPr>
          <w:p w:rsidR="001019B5" w:rsidRDefault="002F7902">
            <w:pPr>
              <w:jc w:val="center"/>
            </w:pPr>
            <w:r>
              <w:rPr>
                <w:rFonts w:ascii="宋体" w:hAnsi="宋体" w:hint="eastAsia"/>
                <w:color w:val="000000"/>
                <w:kern w:val="0"/>
                <w:szCs w:val="21"/>
              </w:rPr>
              <w:t>192,306,730.77</w:t>
            </w:r>
          </w:p>
        </w:tc>
        <w:tc>
          <w:tcPr>
            <w:tcW w:w="850" w:type="dxa"/>
            <w:vAlign w:val="center"/>
          </w:tcPr>
          <w:p w:rsidR="001019B5" w:rsidRDefault="002F7902">
            <w:pPr>
              <w:jc w:val="center"/>
            </w:pPr>
            <w:r>
              <w:rPr>
                <w:rFonts w:ascii="宋体" w:hAnsi="宋体" w:hint="eastAsia"/>
                <w:color w:val="000000"/>
                <w:kern w:val="0"/>
                <w:szCs w:val="21"/>
              </w:rPr>
              <w:t>-</w:t>
            </w:r>
          </w:p>
        </w:tc>
        <w:tc>
          <w:tcPr>
            <w:tcW w:w="1134" w:type="dxa"/>
            <w:vAlign w:val="center"/>
          </w:tcPr>
          <w:p w:rsidR="001019B5" w:rsidRDefault="002F7902">
            <w:pPr>
              <w:jc w:val="center"/>
            </w:pPr>
            <w:r>
              <w:rPr>
                <w:rFonts w:ascii="宋体" w:hAnsi="宋体" w:hint="eastAsia"/>
                <w:color w:val="000000"/>
                <w:kern w:val="0"/>
                <w:szCs w:val="21"/>
              </w:rPr>
              <w:t>-</w:t>
            </w:r>
          </w:p>
        </w:tc>
        <w:tc>
          <w:tcPr>
            <w:tcW w:w="1419" w:type="dxa"/>
            <w:vAlign w:val="center"/>
          </w:tcPr>
          <w:p w:rsidR="001019B5" w:rsidRDefault="002F7902">
            <w:pPr>
              <w:jc w:val="center"/>
            </w:pPr>
            <w:r>
              <w:rPr>
                <w:rFonts w:ascii="宋体" w:hAnsi="宋体" w:hint="eastAsia"/>
                <w:color w:val="000000"/>
                <w:kern w:val="0"/>
                <w:szCs w:val="21"/>
              </w:rPr>
              <w:t>192,306,730.77</w:t>
            </w:r>
          </w:p>
        </w:tc>
        <w:tc>
          <w:tcPr>
            <w:tcW w:w="1130" w:type="dxa"/>
            <w:vAlign w:val="center"/>
          </w:tcPr>
          <w:p w:rsidR="001019B5" w:rsidRDefault="002F7902">
            <w:pPr>
              <w:jc w:val="center"/>
            </w:pPr>
            <w:r>
              <w:rPr>
                <w:rFonts w:ascii="宋体" w:hAnsi="宋体" w:hint="eastAsia"/>
                <w:color w:val="000000"/>
                <w:kern w:val="0"/>
                <w:szCs w:val="21"/>
              </w:rPr>
              <w:t>33.13%</w:t>
            </w:r>
          </w:p>
        </w:tc>
      </w:tr>
      <w:tr w:rsidR="001019B5">
        <w:tc>
          <w:tcPr>
            <w:tcW w:w="992" w:type="dxa"/>
            <w:vMerge/>
          </w:tcPr>
          <w:p w:rsidR="001019B5" w:rsidRDefault="001019B5"/>
        </w:tc>
        <w:tc>
          <w:tcPr>
            <w:tcW w:w="991" w:type="dxa"/>
            <w:vAlign w:val="center"/>
          </w:tcPr>
          <w:p w:rsidR="001019B5" w:rsidRDefault="002F7902">
            <w:pPr>
              <w:jc w:val="center"/>
            </w:pPr>
            <w:r>
              <w:rPr>
                <w:rFonts w:ascii="宋体" w:hAnsi="宋体" w:hint="eastAsia"/>
                <w:color w:val="000000"/>
                <w:kern w:val="0"/>
                <w:szCs w:val="21"/>
              </w:rPr>
              <w:t>2</w:t>
            </w:r>
          </w:p>
        </w:tc>
        <w:tc>
          <w:tcPr>
            <w:tcW w:w="1843" w:type="dxa"/>
            <w:vAlign w:val="center"/>
          </w:tcPr>
          <w:p w:rsidR="001019B5" w:rsidRDefault="002F7902">
            <w:pPr>
              <w:jc w:val="center"/>
            </w:pPr>
            <w:r>
              <w:rPr>
                <w:rFonts w:ascii="宋体" w:hAnsi="宋体" w:hint="eastAsia"/>
                <w:color w:val="000000"/>
                <w:kern w:val="0"/>
                <w:szCs w:val="21"/>
              </w:rPr>
              <w:t>2020/7/1-2020/9/30</w:t>
            </w:r>
          </w:p>
        </w:tc>
        <w:tc>
          <w:tcPr>
            <w:tcW w:w="851" w:type="dxa"/>
            <w:vAlign w:val="center"/>
          </w:tcPr>
          <w:p w:rsidR="001019B5" w:rsidRDefault="002F7902">
            <w:pPr>
              <w:jc w:val="center"/>
            </w:pPr>
            <w:r>
              <w:rPr>
                <w:rFonts w:ascii="宋体" w:hAnsi="宋体" w:hint="eastAsia"/>
                <w:color w:val="000000"/>
                <w:kern w:val="0"/>
                <w:szCs w:val="21"/>
              </w:rPr>
              <w:t>294,406,280.67</w:t>
            </w:r>
          </w:p>
        </w:tc>
        <w:tc>
          <w:tcPr>
            <w:tcW w:w="850" w:type="dxa"/>
            <w:vAlign w:val="center"/>
          </w:tcPr>
          <w:p w:rsidR="001019B5" w:rsidRDefault="002F7902">
            <w:pPr>
              <w:jc w:val="center"/>
            </w:pPr>
            <w:r>
              <w:rPr>
                <w:rFonts w:ascii="宋体" w:hAnsi="宋体" w:hint="eastAsia"/>
                <w:color w:val="000000"/>
                <w:kern w:val="0"/>
                <w:szCs w:val="21"/>
              </w:rPr>
              <w:t>-</w:t>
            </w:r>
          </w:p>
        </w:tc>
        <w:tc>
          <w:tcPr>
            <w:tcW w:w="1134" w:type="dxa"/>
            <w:vAlign w:val="center"/>
          </w:tcPr>
          <w:p w:rsidR="001019B5" w:rsidRDefault="002F7902">
            <w:pPr>
              <w:jc w:val="center"/>
            </w:pPr>
            <w:r>
              <w:rPr>
                <w:rFonts w:ascii="宋体" w:hAnsi="宋体" w:hint="eastAsia"/>
                <w:color w:val="000000"/>
                <w:kern w:val="0"/>
                <w:szCs w:val="21"/>
              </w:rPr>
              <w:t>-</w:t>
            </w:r>
          </w:p>
        </w:tc>
        <w:tc>
          <w:tcPr>
            <w:tcW w:w="1419" w:type="dxa"/>
            <w:vAlign w:val="center"/>
          </w:tcPr>
          <w:p w:rsidR="001019B5" w:rsidRDefault="002F7902">
            <w:pPr>
              <w:jc w:val="center"/>
            </w:pPr>
            <w:r>
              <w:rPr>
                <w:rFonts w:ascii="宋体" w:hAnsi="宋体" w:hint="eastAsia"/>
                <w:color w:val="000000"/>
                <w:kern w:val="0"/>
                <w:szCs w:val="21"/>
              </w:rPr>
              <w:t>294,406,280.67</w:t>
            </w:r>
          </w:p>
        </w:tc>
        <w:tc>
          <w:tcPr>
            <w:tcW w:w="1130" w:type="dxa"/>
            <w:vAlign w:val="center"/>
          </w:tcPr>
          <w:p w:rsidR="001019B5" w:rsidRDefault="002F7902">
            <w:pPr>
              <w:jc w:val="center"/>
            </w:pPr>
            <w:r>
              <w:rPr>
                <w:rFonts w:ascii="宋体" w:hAnsi="宋体" w:hint="eastAsia"/>
                <w:color w:val="000000"/>
                <w:kern w:val="0"/>
                <w:szCs w:val="21"/>
              </w:rPr>
              <w:t>50.73%</w:t>
            </w:r>
          </w:p>
        </w:tc>
      </w:tr>
      <w:tr w:rsidR="001019B5">
        <w:tc>
          <w:tcPr>
            <w:tcW w:w="992" w:type="dxa"/>
            <w:vMerge/>
          </w:tcPr>
          <w:p w:rsidR="001019B5" w:rsidRDefault="001019B5"/>
        </w:tc>
        <w:tc>
          <w:tcPr>
            <w:tcW w:w="991" w:type="dxa"/>
            <w:vAlign w:val="center"/>
          </w:tcPr>
          <w:p w:rsidR="001019B5" w:rsidRDefault="002F7902">
            <w:pPr>
              <w:jc w:val="center"/>
            </w:pPr>
            <w:r>
              <w:rPr>
                <w:rFonts w:ascii="宋体" w:hAnsi="宋体" w:hint="eastAsia"/>
                <w:color w:val="000000"/>
                <w:kern w:val="0"/>
                <w:szCs w:val="21"/>
              </w:rPr>
              <w:t>3</w:t>
            </w:r>
          </w:p>
        </w:tc>
        <w:tc>
          <w:tcPr>
            <w:tcW w:w="1843" w:type="dxa"/>
            <w:vAlign w:val="center"/>
          </w:tcPr>
          <w:p w:rsidR="001019B5" w:rsidRDefault="002F7902">
            <w:pPr>
              <w:jc w:val="center"/>
            </w:pPr>
            <w:r>
              <w:rPr>
                <w:rFonts w:ascii="宋体" w:hAnsi="宋体" w:hint="eastAsia"/>
                <w:color w:val="000000"/>
                <w:kern w:val="0"/>
                <w:szCs w:val="21"/>
              </w:rPr>
              <w:t>2020/7/1-2020/9/30</w:t>
            </w:r>
          </w:p>
        </w:tc>
        <w:tc>
          <w:tcPr>
            <w:tcW w:w="851" w:type="dxa"/>
            <w:vAlign w:val="center"/>
          </w:tcPr>
          <w:p w:rsidR="001019B5" w:rsidRDefault="002F7902">
            <w:pPr>
              <w:jc w:val="center"/>
            </w:pPr>
            <w:r>
              <w:rPr>
                <w:rFonts w:ascii="宋体" w:hAnsi="宋体" w:hint="eastAsia"/>
                <w:color w:val="000000"/>
                <w:kern w:val="0"/>
                <w:szCs w:val="21"/>
              </w:rPr>
              <w:t>392,926,326.13</w:t>
            </w:r>
          </w:p>
        </w:tc>
        <w:tc>
          <w:tcPr>
            <w:tcW w:w="850" w:type="dxa"/>
            <w:vAlign w:val="center"/>
          </w:tcPr>
          <w:p w:rsidR="001019B5" w:rsidRDefault="002F7902">
            <w:pPr>
              <w:jc w:val="center"/>
            </w:pPr>
            <w:r>
              <w:rPr>
                <w:rFonts w:ascii="宋体" w:hAnsi="宋体" w:hint="eastAsia"/>
                <w:color w:val="000000"/>
                <w:kern w:val="0"/>
                <w:szCs w:val="21"/>
              </w:rPr>
              <w:t>-</w:t>
            </w:r>
          </w:p>
        </w:tc>
        <w:tc>
          <w:tcPr>
            <w:tcW w:w="1134" w:type="dxa"/>
            <w:vAlign w:val="center"/>
          </w:tcPr>
          <w:p w:rsidR="001019B5" w:rsidRDefault="002F7902">
            <w:pPr>
              <w:jc w:val="center"/>
            </w:pPr>
            <w:r>
              <w:rPr>
                <w:rFonts w:ascii="宋体" w:hAnsi="宋体" w:hint="eastAsia"/>
                <w:color w:val="000000"/>
                <w:kern w:val="0"/>
                <w:szCs w:val="21"/>
              </w:rPr>
              <w:t>300,000,000.00</w:t>
            </w:r>
          </w:p>
        </w:tc>
        <w:tc>
          <w:tcPr>
            <w:tcW w:w="1419" w:type="dxa"/>
            <w:vAlign w:val="center"/>
          </w:tcPr>
          <w:p w:rsidR="001019B5" w:rsidRDefault="002F7902">
            <w:pPr>
              <w:jc w:val="center"/>
            </w:pPr>
            <w:r>
              <w:rPr>
                <w:rFonts w:ascii="宋体" w:hAnsi="宋体" w:hint="eastAsia"/>
                <w:color w:val="000000"/>
                <w:kern w:val="0"/>
                <w:szCs w:val="21"/>
              </w:rPr>
              <w:t>92,926,326.13</w:t>
            </w:r>
          </w:p>
        </w:tc>
        <w:tc>
          <w:tcPr>
            <w:tcW w:w="1130" w:type="dxa"/>
            <w:vAlign w:val="center"/>
          </w:tcPr>
          <w:p w:rsidR="001019B5" w:rsidRDefault="002F7902">
            <w:pPr>
              <w:jc w:val="center"/>
            </w:pPr>
            <w:r>
              <w:rPr>
                <w:rFonts w:ascii="宋体" w:hAnsi="宋体" w:hint="eastAsia"/>
                <w:color w:val="000000"/>
                <w:kern w:val="0"/>
                <w:szCs w:val="21"/>
              </w:rPr>
              <w:t>16.01%</w:t>
            </w:r>
          </w:p>
        </w:tc>
      </w:tr>
      <w:tr w:rsidR="001019B5">
        <w:tc>
          <w:tcPr>
            <w:tcW w:w="992" w:type="dxa"/>
            <w:vMerge/>
          </w:tcPr>
          <w:p w:rsidR="001019B5" w:rsidRDefault="001019B5"/>
        </w:tc>
        <w:tc>
          <w:tcPr>
            <w:tcW w:w="991" w:type="dxa"/>
            <w:vAlign w:val="center"/>
          </w:tcPr>
          <w:p w:rsidR="001019B5" w:rsidRDefault="002F7902">
            <w:pPr>
              <w:jc w:val="center"/>
            </w:pPr>
            <w:r>
              <w:rPr>
                <w:rFonts w:ascii="宋体" w:hAnsi="宋体" w:hint="eastAsia"/>
                <w:color w:val="000000"/>
                <w:kern w:val="0"/>
                <w:szCs w:val="21"/>
              </w:rPr>
              <w:t>4</w:t>
            </w:r>
          </w:p>
        </w:tc>
        <w:tc>
          <w:tcPr>
            <w:tcW w:w="1843" w:type="dxa"/>
            <w:vAlign w:val="center"/>
          </w:tcPr>
          <w:p w:rsidR="001019B5" w:rsidRDefault="002F7902">
            <w:pPr>
              <w:jc w:val="center"/>
            </w:pPr>
            <w:r>
              <w:rPr>
                <w:rFonts w:ascii="宋体" w:hAnsi="宋体" w:hint="eastAsia"/>
                <w:color w:val="000000"/>
                <w:kern w:val="0"/>
                <w:szCs w:val="21"/>
              </w:rPr>
              <w:t>2020/7/1-2020/9/30</w:t>
            </w:r>
          </w:p>
        </w:tc>
        <w:tc>
          <w:tcPr>
            <w:tcW w:w="851" w:type="dxa"/>
            <w:vAlign w:val="center"/>
          </w:tcPr>
          <w:p w:rsidR="001019B5" w:rsidRDefault="002F7902">
            <w:pPr>
              <w:jc w:val="center"/>
            </w:pPr>
            <w:r>
              <w:rPr>
                <w:rFonts w:ascii="宋体" w:hAnsi="宋体" w:hint="eastAsia"/>
                <w:color w:val="000000"/>
                <w:kern w:val="0"/>
                <w:szCs w:val="21"/>
              </w:rPr>
              <w:t>376,189,523.81</w:t>
            </w:r>
          </w:p>
        </w:tc>
        <w:tc>
          <w:tcPr>
            <w:tcW w:w="850" w:type="dxa"/>
            <w:vAlign w:val="center"/>
          </w:tcPr>
          <w:p w:rsidR="001019B5" w:rsidRDefault="002F7902">
            <w:pPr>
              <w:jc w:val="center"/>
            </w:pPr>
            <w:r>
              <w:rPr>
                <w:rFonts w:ascii="宋体" w:hAnsi="宋体" w:hint="eastAsia"/>
                <w:color w:val="000000"/>
                <w:kern w:val="0"/>
                <w:szCs w:val="21"/>
              </w:rPr>
              <w:t>-</w:t>
            </w:r>
          </w:p>
        </w:tc>
        <w:tc>
          <w:tcPr>
            <w:tcW w:w="1134" w:type="dxa"/>
            <w:vAlign w:val="center"/>
          </w:tcPr>
          <w:p w:rsidR="001019B5" w:rsidRDefault="002F7902">
            <w:pPr>
              <w:jc w:val="center"/>
            </w:pPr>
            <w:r>
              <w:rPr>
                <w:rFonts w:ascii="宋体" w:hAnsi="宋体" w:hint="eastAsia"/>
                <w:color w:val="000000"/>
                <w:kern w:val="0"/>
                <w:szCs w:val="21"/>
              </w:rPr>
              <w:t>376,189,523.81</w:t>
            </w:r>
          </w:p>
        </w:tc>
        <w:tc>
          <w:tcPr>
            <w:tcW w:w="1419" w:type="dxa"/>
            <w:vAlign w:val="center"/>
          </w:tcPr>
          <w:p w:rsidR="001019B5" w:rsidRDefault="002F7902">
            <w:pPr>
              <w:jc w:val="center"/>
            </w:pPr>
            <w:r>
              <w:rPr>
                <w:rFonts w:ascii="宋体" w:hAnsi="宋体" w:hint="eastAsia"/>
                <w:color w:val="000000"/>
                <w:kern w:val="0"/>
                <w:szCs w:val="21"/>
              </w:rPr>
              <w:t>-</w:t>
            </w:r>
          </w:p>
        </w:tc>
        <w:tc>
          <w:tcPr>
            <w:tcW w:w="1130" w:type="dxa"/>
            <w:vAlign w:val="center"/>
          </w:tcPr>
          <w:p w:rsidR="001019B5" w:rsidRDefault="002F7902">
            <w:pPr>
              <w:jc w:val="center"/>
            </w:pPr>
            <w:r>
              <w:rPr>
                <w:rFonts w:ascii="宋体" w:hAnsi="宋体" w:hint="eastAsia"/>
                <w:color w:val="000000"/>
                <w:kern w:val="0"/>
                <w:szCs w:val="21"/>
              </w:rPr>
              <w:t>-</w:t>
            </w:r>
          </w:p>
        </w:tc>
      </w:tr>
      <w:tr w:rsidR="001019B5">
        <w:tc>
          <w:tcPr>
            <w:tcW w:w="992" w:type="dxa"/>
            <w:vMerge/>
          </w:tcPr>
          <w:p w:rsidR="001019B5" w:rsidRDefault="001019B5"/>
        </w:tc>
        <w:tc>
          <w:tcPr>
            <w:tcW w:w="991" w:type="dxa"/>
            <w:vAlign w:val="center"/>
          </w:tcPr>
          <w:p w:rsidR="001019B5" w:rsidRDefault="002F7902">
            <w:pPr>
              <w:jc w:val="center"/>
            </w:pPr>
            <w:r>
              <w:rPr>
                <w:rFonts w:ascii="宋体" w:hAnsi="宋体" w:hint="eastAsia"/>
                <w:color w:val="000000"/>
                <w:kern w:val="0"/>
                <w:szCs w:val="21"/>
              </w:rPr>
              <w:t>5</w:t>
            </w:r>
          </w:p>
        </w:tc>
        <w:tc>
          <w:tcPr>
            <w:tcW w:w="1843" w:type="dxa"/>
            <w:vAlign w:val="center"/>
          </w:tcPr>
          <w:p w:rsidR="001019B5" w:rsidRDefault="002F7902">
            <w:pPr>
              <w:jc w:val="center"/>
            </w:pPr>
            <w:r>
              <w:rPr>
                <w:rFonts w:ascii="宋体" w:hAnsi="宋体" w:hint="eastAsia"/>
                <w:color w:val="000000"/>
                <w:kern w:val="0"/>
                <w:szCs w:val="21"/>
              </w:rPr>
              <w:t>2020/7/1-2020/9/30</w:t>
            </w:r>
          </w:p>
        </w:tc>
        <w:tc>
          <w:tcPr>
            <w:tcW w:w="851" w:type="dxa"/>
            <w:vAlign w:val="center"/>
          </w:tcPr>
          <w:p w:rsidR="001019B5" w:rsidRDefault="002F7902">
            <w:pPr>
              <w:jc w:val="center"/>
            </w:pPr>
            <w:r>
              <w:rPr>
                <w:rFonts w:ascii="宋体" w:hAnsi="宋体" w:hint="eastAsia"/>
                <w:color w:val="000000"/>
                <w:kern w:val="0"/>
                <w:szCs w:val="21"/>
              </w:rPr>
              <w:t>388,725,947.52</w:t>
            </w:r>
          </w:p>
        </w:tc>
        <w:tc>
          <w:tcPr>
            <w:tcW w:w="850" w:type="dxa"/>
            <w:vAlign w:val="center"/>
          </w:tcPr>
          <w:p w:rsidR="001019B5" w:rsidRDefault="002F7902">
            <w:pPr>
              <w:jc w:val="center"/>
            </w:pPr>
            <w:r>
              <w:rPr>
                <w:rFonts w:ascii="宋体" w:hAnsi="宋体" w:hint="eastAsia"/>
                <w:color w:val="000000"/>
                <w:kern w:val="0"/>
                <w:szCs w:val="21"/>
              </w:rPr>
              <w:t>-</w:t>
            </w:r>
          </w:p>
        </w:tc>
        <w:tc>
          <w:tcPr>
            <w:tcW w:w="1134" w:type="dxa"/>
            <w:vAlign w:val="center"/>
          </w:tcPr>
          <w:p w:rsidR="001019B5" w:rsidRDefault="002F7902">
            <w:pPr>
              <w:jc w:val="center"/>
            </w:pPr>
            <w:r>
              <w:rPr>
                <w:rFonts w:ascii="宋体" w:hAnsi="宋体" w:hint="eastAsia"/>
                <w:color w:val="000000"/>
                <w:kern w:val="0"/>
                <w:szCs w:val="21"/>
              </w:rPr>
              <w:t>388,725,947.52</w:t>
            </w:r>
          </w:p>
        </w:tc>
        <w:tc>
          <w:tcPr>
            <w:tcW w:w="1419" w:type="dxa"/>
            <w:vAlign w:val="center"/>
          </w:tcPr>
          <w:p w:rsidR="001019B5" w:rsidRDefault="002F7902">
            <w:pPr>
              <w:jc w:val="center"/>
            </w:pPr>
            <w:r>
              <w:rPr>
                <w:rFonts w:ascii="宋体" w:hAnsi="宋体" w:hint="eastAsia"/>
                <w:color w:val="000000"/>
                <w:kern w:val="0"/>
                <w:szCs w:val="21"/>
              </w:rPr>
              <w:t>-</w:t>
            </w:r>
          </w:p>
        </w:tc>
        <w:tc>
          <w:tcPr>
            <w:tcW w:w="1130" w:type="dxa"/>
            <w:vAlign w:val="center"/>
          </w:tcPr>
          <w:p w:rsidR="001019B5" w:rsidRDefault="002F7902">
            <w:pPr>
              <w:jc w:val="center"/>
            </w:pPr>
            <w:r>
              <w:rPr>
                <w:rFonts w:ascii="宋体" w:hAnsi="宋体" w:hint="eastAsia"/>
                <w:color w:val="000000"/>
                <w:kern w:val="0"/>
                <w:szCs w:val="21"/>
              </w:rPr>
              <w:t>-</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、中国证监会准予交银施罗德裕通纯债债券型证券投资基金募集注册的文件；</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、《交银施罗德裕通纯债债券型证券投资基金基金合同》；</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、《交银施罗德裕通纯债债券型证券投资基金招募说明书》；</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、《交银施罗德裕通纯债债券型证券投资基金托管协议》；</w:t>
      </w:r>
      <w:r>
        <w:rPr>
          <w:rFonts w:eastAsiaTheme="minorEastAsia"/>
          <w:color w:val="000000"/>
          <w:sz w:val="24"/>
        </w:rPr>
        <w:t xml:space="preserve"> </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、关于申请募集注册交银施罗德裕通纯债债券型证券投资基金的法律意见书；</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、报告期内交银施罗德裕通纯债债券型证券投资基金在指定报刊上各项公告的原稿。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rsidR="001019B5" w:rsidRDefault="002F7902">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9A" w:rsidRDefault="004D639A">
      <w:r>
        <w:separator/>
      </w:r>
    </w:p>
  </w:endnote>
  <w:endnote w:type="continuationSeparator" w:id="0">
    <w:p w:rsidR="004D639A" w:rsidRDefault="004D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2D418E">
      <w:rPr>
        <w:noProof/>
        <w:kern w:val="0"/>
        <w:szCs w:val="21"/>
      </w:rPr>
      <w:t>6</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2D418E">
      <w:rPr>
        <w:noProof/>
        <w:kern w:val="0"/>
        <w:szCs w:val="21"/>
      </w:rPr>
      <w:t>13</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9A" w:rsidRDefault="004D639A">
      <w:r>
        <w:separator/>
      </w:r>
    </w:p>
  </w:footnote>
  <w:footnote w:type="continuationSeparator" w:id="0">
    <w:p w:rsidR="004D639A" w:rsidRDefault="004D6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交银施罗德裕通纯债债券型证券投资基金</w:t>
    </w:r>
    <w:r w:rsidRPr="00D3445F">
      <w:rPr>
        <w:rFonts w:eastAsiaTheme="minorEastAsia"/>
        <w:sz w:val="24"/>
      </w:rPr>
      <w:t>2020</w:t>
    </w:r>
    <w:r w:rsidRPr="00D3445F">
      <w:rPr>
        <w:rFonts w:eastAsiaTheme="minorEastAsia"/>
        <w:sz w:val="24"/>
      </w:rPr>
      <w:t>年第</w:t>
    </w:r>
    <w:r w:rsidRPr="00D3445F">
      <w:rPr>
        <w:rFonts w:eastAsiaTheme="minorEastAsia"/>
        <w:sz w:val="24"/>
      </w:rPr>
      <w:t>3</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19B5"/>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620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418E"/>
    <w:rsid w:val="002D5199"/>
    <w:rsid w:val="002E2862"/>
    <w:rsid w:val="002E4C01"/>
    <w:rsid w:val="002E50D6"/>
    <w:rsid w:val="002E7683"/>
    <w:rsid w:val="002F0516"/>
    <w:rsid w:val="002F07EF"/>
    <w:rsid w:val="002F1093"/>
    <w:rsid w:val="002F22D2"/>
    <w:rsid w:val="002F778A"/>
    <w:rsid w:val="002F7902"/>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39A"/>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0982"/>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B9F0-FC9F-43F1-B61F-90EAF3D8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259</TotalTime>
  <Pages>13</Pages>
  <Words>1161</Words>
  <Characters>6618</Characters>
  <Application>Microsoft Office Word</Application>
  <DocSecurity>0</DocSecurity>
  <Lines>55</Lines>
  <Paragraphs>15</Paragraphs>
  <ScaleCrop>false</ScaleCrop>
  <Company>TRT. Ltd. Co.</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407</cp:revision>
  <cp:lastPrinted>2007-07-19T00:46:00Z</cp:lastPrinted>
  <dcterms:created xsi:type="dcterms:W3CDTF">2014-01-17T06:19:00Z</dcterms:created>
  <dcterms:modified xsi:type="dcterms:W3CDTF">2020-10-26T02:51:00Z</dcterms:modified>
</cp:coreProperties>
</file>