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交银施罗德优势行业灵活配置混合型证券投资基金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基金托管人：中国工商银行股份有限公司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B00F8F" w:rsidRDefault="004B7A56">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基金托管人中国工商银行股份有限公司根据本基金合同规定，于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交银优势行业混合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519697</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519697</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2012</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1,234,201,745.69</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根据宏观经济周期和市场环境的变化，自上而下灵活配置资产，积极把握行业发展趋势和行业景气轮换中蕴含的投资机会，在控制风险并保持基金资产良好的流动性的前提下，力求实现基金资产的长期稳定增值。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严谨、规范化的选股方法与积极主动的投资风格相结合，在分析和判断宏观经济周期和市场环境变化趋势的基础上，动态调整投资组合比例，自上而下灵活配置资产；通过把握和判断行业发展趋势及行业景气程度变化，挖掘预期具有良好增长前景的优势行业，精选个股，以谋求超额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60%×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+40%×</w:t>
            </w:r>
            <w:r w:rsidRPr="00414345">
              <w:rPr>
                <w:color w:val="000000"/>
                <w:kern w:val="0"/>
                <w:sz w:val="24"/>
                <w:szCs w:val="24"/>
              </w:rPr>
              <w:t>中证综合债券指数收</w:t>
            </w:r>
            <w:r w:rsidRPr="00414345">
              <w:rPr>
                <w:color w:val="000000"/>
                <w:kern w:val="0"/>
                <w:sz w:val="24"/>
                <w:szCs w:val="24"/>
              </w:rPr>
              <w:lastRenderedPageBreak/>
              <w:t>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本基金是一只灵活配置的混合型基金，属于基金中的较高风险品种，风险与预期收益介于股票型基金和债券型基金之间。</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中国工商银行股份有限公司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94BC7" w:rsidRPr="00414345" w:rsidTr="00594BC7">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594BC7" w:rsidRPr="00414345" w:rsidTr="00594BC7">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524,641,163.82</w:t>
            </w:r>
          </w:p>
        </w:tc>
      </w:tr>
      <w:tr w:rsidR="00594BC7" w:rsidRPr="00414345" w:rsidTr="00594BC7">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527,825,989.38</w:t>
            </w:r>
          </w:p>
        </w:tc>
      </w:tr>
      <w:tr w:rsidR="00594BC7" w:rsidRPr="00414345" w:rsidTr="00594BC7">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0.4356</w:t>
            </w:r>
          </w:p>
        </w:tc>
      </w:tr>
      <w:tr w:rsidR="00594BC7" w:rsidRPr="00414345" w:rsidTr="00594BC7">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6,258,028,152.49</w:t>
            </w:r>
          </w:p>
        </w:tc>
      </w:tr>
      <w:tr w:rsidR="00594BC7" w:rsidRPr="00414345" w:rsidTr="00594BC7">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5.071</w:t>
            </w:r>
          </w:p>
        </w:tc>
      </w:tr>
    </w:tbl>
    <w:p w:rsidR="00B00F8F" w:rsidRDefault="004B7A56">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B00F8F">
        <w:trPr>
          <w:jc w:val="center"/>
        </w:trPr>
        <w:tc>
          <w:tcPr>
            <w:tcW w:w="1701" w:type="dxa"/>
            <w:vAlign w:val="center"/>
          </w:tcPr>
          <w:p w:rsidR="00B00F8F" w:rsidRDefault="004B7A56">
            <w:pPr>
              <w:jc w:val="left"/>
            </w:pPr>
            <w:r>
              <w:rPr>
                <w:color w:val="000000"/>
                <w:sz w:val="24"/>
                <w:szCs w:val="24"/>
              </w:rPr>
              <w:t>过去三个月</w:t>
            </w:r>
          </w:p>
        </w:tc>
        <w:tc>
          <w:tcPr>
            <w:tcW w:w="1045" w:type="dxa"/>
            <w:vAlign w:val="center"/>
          </w:tcPr>
          <w:p w:rsidR="00B00F8F" w:rsidRDefault="004B7A56">
            <w:pPr>
              <w:jc w:val="center"/>
            </w:pPr>
            <w:r>
              <w:rPr>
                <w:color w:val="000000"/>
                <w:sz w:val="24"/>
                <w:szCs w:val="24"/>
              </w:rPr>
              <w:t>9.55%</w:t>
            </w:r>
          </w:p>
        </w:tc>
        <w:tc>
          <w:tcPr>
            <w:tcW w:w="1344" w:type="dxa"/>
            <w:vAlign w:val="center"/>
          </w:tcPr>
          <w:p w:rsidR="00B00F8F" w:rsidRDefault="004B7A56">
            <w:pPr>
              <w:jc w:val="center"/>
            </w:pPr>
            <w:r>
              <w:rPr>
                <w:color w:val="000000"/>
                <w:sz w:val="24"/>
                <w:szCs w:val="24"/>
              </w:rPr>
              <w:t>1.24%</w:t>
            </w:r>
          </w:p>
        </w:tc>
        <w:tc>
          <w:tcPr>
            <w:tcW w:w="1194" w:type="dxa"/>
            <w:vAlign w:val="center"/>
          </w:tcPr>
          <w:p w:rsidR="00B00F8F" w:rsidRDefault="004B7A56">
            <w:pPr>
              <w:jc w:val="center"/>
            </w:pPr>
            <w:r>
              <w:rPr>
                <w:color w:val="000000"/>
                <w:sz w:val="24"/>
                <w:szCs w:val="24"/>
              </w:rPr>
              <w:t>5.96%</w:t>
            </w:r>
          </w:p>
        </w:tc>
        <w:tc>
          <w:tcPr>
            <w:tcW w:w="1492" w:type="dxa"/>
            <w:vAlign w:val="center"/>
          </w:tcPr>
          <w:p w:rsidR="00B00F8F" w:rsidRDefault="004B7A56">
            <w:pPr>
              <w:jc w:val="center"/>
            </w:pPr>
            <w:r>
              <w:rPr>
                <w:color w:val="000000"/>
                <w:sz w:val="24"/>
                <w:szCs w:val="24"/>
              </w:rPr>
              <w:t>0.96%</w:t>
            </w:r>
          </w:p>
        </w:tc>
        <w:tc>
          <w:tcPr>
            <w:tcW w:w="1194" w:type="dxa"/>
            <w:vAlign w:val="center"/>
          </w:tcPr>
          <w:p w:rsidR="00B00F8F" w:rsidRDefault="004B7A56">
            <w:pPr>
              <w:jc w:val="center"/>
            </w:pPr>
            <w:r>
              <w:rPr>
                <w:color w:val="000000"/>
                <w:sz w:val="24"/>
                <w:szCs w:val="24"/>
              </w:rPr>
              <w:t>3.59%</w:t>
            </w:r>
          </w:p>
        </w:tc>
        <w:tc>
          <w:tcPr>
            <w:tcW w:w="898" w:type="dxa"/>
            <w:vAlign w:val="center"/>
          </w:tcPr>
          <w:p w:rsidR="00B00F8F" w:rsidRDefault="004B7A56">
            <w:pPr>
              <w:jc w:val="center"/>
            </w:pPr>
            <w:r>
              <w:rPr>
                <w:color w:val="000000"/>
                <w:sz w:val="24"/>
                <w:szCs w:val="24"/>
              </w:rPr>
              <w:t>0.28%</w:t>
            </w:r>
          </w:p>
        </w:tc>
      </w:tr>
      <w:tr w:rsidR="00B00F8F">
        <w:trPr>
          <w:jc w:val="center"/>
        </w:trPr>
        <w:tc>
          <w:tcPr>
            <w:tcW w:w="1701" w:type="dxa"/>
            <w:vAlign w:val="center"/>
          </w:tcPr>
          <w:p w:rsidR="00B00F8F" w:rsidRDefault="004B7A56">
            <w:pPr>
              <w:jc w:val="left"/>
            </w:pPr>
            <w:r>
              <w:rPr>
                <w:color w:val="000000"/>
                <w:sz w:val="24"/>
                <w:szCs w:val="24"/>
              </w:rPr>
              <w:t>过去六个月</w:t>
            </w:r>
          </w:p>
        </w:tc>
        <w:tc>
          <w:tcPr>
            <w:tcW w:w="1045" w:type="dxa"/>
            <w:vAlign w:val="center"/>
          </w:tcPr>
          <w:p w:rsidR="00B00F8F" w:rsidRDefault="004B7A56">
            <w:pPr>
              <w:jc w:val="center"/>
            </w:pPr>
            <w:r>
              <w:rPr>
                <w:color w:val="000000"/>
                <w:sz w:val="24"/>
                <w:szCs w:val="24"/>
              </w:rPr>
              <w:t>23.71%</w:t>
            </w:r>
          </w:p>
        </w:tc>
        <w:tc>
          <w:tcPr>
            <w:tcW w:w="1344" w:type="dxa"/>
            <w:vAlign w:val="center"/>
          </w:tcPr>
          <w:p w:rsidR="00B00F8F" w:rsidRDefault="004B7A56">
            <w:pPr>
              <w:jc w:val="center"/>
            </w:pPr>
            <w:r>
              <w:rPr>
                <w:color w:val="000000"/>
                <w:sz w:val="24"/>
                <w:szCs w:val="24"/>
              </w:rPr>
              <w:t>0.99%</w:t>
            </w:r>
          </w:p>
        </w:tc>
        <w:tc>
          <w:tcPr>
            <w:tcW w:w="1194" w:type="dxa"/>
            <w:vAlign w:val="center"/>
          </w:tcPr>
          <w:p w:rsidR="00B00F8F" w:rsidRDefault="004B7A56">
            <w:pPr>
              <w:jc w:val="center"/>
            </w:pPr>
            <w:r>
              <w:rPr>
                <w:color w:val="000000"/>
                <w:sz w:val="24"/>
                <w:szCs w:val="24"/>
              </w:rPr>
              <w:t>13.95%</w:t>
            </w:r>
          </w:p>
        </w:tc>
        <w:tc>
          <w:tcPr>
            <w:tcW w:w="1492" w:type="dxa"/>
            <w:vAlign w:val="center"/>
          </w:tcPr>
          <w:p w:rsidR="00B00F8F" w:rsidRDefault="004B7A56">
            <w:pPr>
              <w:jc w:val="center"/>
            </w:pPr>
            <w:r>
              <w:rPr>
                <w:color w:val="000000"/>
                <w:sz w:val="24"/>
                <w:szCs w:val="24"/>
              </w:rPr>
              <w:t>0.79%</w:t>
            </w:r>
          </w:p>
        </w:tc>
        <w:tc>
          <w:tcPr>
            <w:tcW w:w="1194" w:type="dxa"/>
            <w:vAlign w:val="center"/>
          </w:tcPr>
          <w:p w:rsidR="00B00F8F" w:rsidRDefault="004B7A56">
            <w:pPr>
              <w:jc w:val="center"/>
            </w:pPr>
            <w:r>
              <w:rPr>
                <w:color w:val="000000"/>
                <w:sz w:val="24"/>
                <w:szCs w:val="24"/>
              </w:rPr>
              <w:t>9.76%</w:t>
            </w:r>
          </w:p>
        </w:tc>
        <w:tc>
          <w:tcPr>
            <w:tcW w:w="898" w:type="dxa"/>
            <w:vAlign w:val="center"/>
          </w:tcPr>
          <w:p w:rsidR="00B00F8F" w:rsidRDefault="004B7A56">
            <w:pPr>
              <w:jc w:val="center"/>
            </w:pPr>
            <w:r>
              <w:rPr>
                <w:color w:val="000000"/>
                <w:sz w:val="24"/>
                <w:szCs w:val="24"/>
              </w:rPr>
              <w:t>0.20%</w:t>
            </w:r>
          </w:p>
        </w:tc>
      </w:tr>
      <w:tr w:rsidR="00B00F8F">
        <w:trPr>
          <w:jc w:val="center"/>
        </w:trPr>
        <w:tc>
          <w:tcPr>
            <w:tcW w:w="1701" w:type="dxa"/>
            <w:vAlign w:val="center"/>
          </w:tcPr>
          <w:p w:rsidR="00B00F8F" w:rsidRDefault="004B7A56">
            <w:pPr>
              <w:jc w:val="left"/>
            </w:pPr>
            <w:r>
              <w:rPr>
                <w:color w:val="000000"/>
                <w:sz w:val="24"/>
                <w:szCs w:val="24"/>
              </w:rPr>
              <w:t>过去一年</w:t>
            </w:r>
          </w:p>
        </w:tc>
        <w:tc>
          <w:tcPr>
            <w:tcW w:w="1045" w:type="dxa"/>
            <w:vAlign w:val="center"/>
          </w:tcPr>
          <w:p w:rsidR="00B00F8F" w:rsidRDefault="004B7A56">
            <w:pPr>
              <w:jc w:val="center"/>
            </w:pPr>
            <w:r>
              <w:rPr>
                <w:color w:val="000000"/>
                <w:sz w:val="24"/>
                <w:szCs w:val="24"/>
              </w:rPr>
              <w:t>35.23%</w:t>
            </w:r>
          </w:p>
        </w:tc>
        <w:tc>
          <w:tcPr>
            <w:tcW w:w="1344" w:type="dxa"/>
            <w:vAlign w:val="center"/>
          </w:tcPr>
          <w:p w:rsidR="00B00F8F" w:rsidRDefault="004B7A56">
            <w:pPr>
              <w:jc w:val="center"/>
            </w:pPr>
            <w:r>
              <w:rPr>
                <w:color w:val="000000"/>
                <w:sz w:val="24"/>
                <w:szCs w:val="24"/>
              </w:rPr>
              <w:t>1.12%</w:t>
            </w:r>
          </w:p>
        </w:tc>
        <w:tc>
          <w:tcPr>
            <w:tcW w:w="1194" w:type="dxa"/>
            <w:vAlign w:val="center"/>
          </w:tcPr>
          <w:p w:rsidR="00B00F8F" w:rsidRDefault="004B7A56">
            <w:pPr>
              <w:jc w:val="center"/>
            </w:pPr>
            <w:r>
              <w:rPr>
                <w:color w:val="000000"/>
                <w:sz w:val="24"/>
                <w:szCs w:val="24"/>
              </w:rPr>
              <w:t>13.70%</w:t>
            </w:r>
          </w:p>
        </w:tc>
        <w:tc>
          <w:tcPr>
            <w:tcW w:w="1492" w:type="dxa"/>
            <w:vAlign w:val="center"/>
          </w:tcPr>
          <w:p w:rsidR="00B00F8F" w:rsidRDefault="004B7A56">
            <w:pPr>
              <w:jc w:val="center"/>
            </w:pPr>
            <w:r>
              <w:rPr>
                <w:color w:val="000000"/>
                <w:sz w:val="24"/>
                <w:szCs w:val="24"/>
              </w:rPr>
              <w:t>0.83%</w:t>
            </w:r>
          </w:p>
        </w:tc>
        <w:tc>
          <w:tcPr>
            <w:tcW w:w="1194" w:type="dxa"/>
            <w:vAlign w:val="center"/>
          </w:tcPr>
          <w:p w:rsidR="00B00F8F" w:rsidRDefault="004B7A56">
            <w:pPr>
              <w:jc w:val="center"/>
            </w:pPr>
            <w:r>
              <w:rPr>
                <w:color w:val="000000"/>
                <w:sz w:val="24"/>
                <w:szCs w:val="24"/>
              </w:rPr>
              <w:t>21.53%</w:t>
            </w:r>
          </w:p>
        </w:tc>
        <w:tc>
          <w:tcPr>
            <w:tcW w:w="898" w:type="dxa"/>
            <w:vAlign w:val="center"/>
          </w:tcPr>
          <w:p w:rsidR="00B00F8F" w:rsidRDefault="004B7A56">
            <w:pPr>
              <w:jc w:val="center"/>
            </w:pPr>
            <w:r>
              <w:rPr>
                <w:color w:val="000000"/>
                <w:sz w:val="24"/>
                <w:szCs w:val="24"/>
              </w:rPr>
              <w:t>0.29%</w:t>
            </w:r>
          </w:p>
        </w:tc>
      </w:tr>
      <w:tr w:rsidR="00B00F8F" w:rsidTr="00DC0478">
        <w:trPr>
          <w:jc w:val="center"/>
        </w:trPr>
        <w:tc>
          <w:tcPr>
            <w:tcW w:w="1701" w:type="dxa"/>
            <w:tcBorders>
              <w:bottom w:val="single" w:sz="4" w:space="0" w:color="auto"/>
            </w:tcBorders>
            <w:vAlign w:val="center"/>
          </w:tcPr>
          <w:p w:rsidR="00B00F8F" w:rsidRDefault="004B7A56">
            <w:pPr>
              <w:jc w:val="left"/>
            </w:pPr>
            <w:r>
              <w:rPr>
                <w:color w:val="000000"/>
                <w:sz w:val="24"/>
                <w:szCs w:val="24"/>
              </w:rPr>
              <w:t>过去三年</w:t>
            </w:r>
          </w:p>
        </w:tc>
        <w:tc>
          <w:tcPr>
            <w:tcW w:w="1045" w:type="dxa"/>
            <w:tcBorders>
              <w:bottom w:val="single" w:sz="4" w:space="0" w:color="auto"/>
            </w:tcBorders>
            <w:vAlign w:val="center"/>
          </w:tcPr>
          <w:p w:rsidR="00B00F8F" w:rsidRDefault="004B7A56">
            <w:pPr>
              <w:jc w:val="center"/>
            </w:pPr>
            <w:r>
              <w:rPr>
                <w:color w:val="000000"/>
                <w:sz w:val="24"/>
                <w:szCs w:val="24"/>
              </w:rPr>
              <w:t>86.98%</w:t>
            </w:r>
          </w:p>
        </w:tc>
        <w:tc>
          <w:tcPr>
            <w:tcW w:w="1344" w:type="dxa"/>
            <w:tcBorders>
              <w:bottom w:val="single" w:sz="4" w:space="0" w:color="auto"/>
            </w:tcBorders>
            <w:vAlign w:val="center"/>
          </w:tcPr>
          <w:p w:rsidR="00B00F8F" w:rsidRDefault="004B7A56">
            <w:pPr>
              <w:jc w:val="center"/>
            </w:pPr>
            <w:r>
              <w:rPr>
                <w:color w:val="000000"/>
                <w:sz w:val="24"/>
                <w:szCs w:val="24"/>
              </w:rPr>
              <w:t>1.22%</w:t>
            </w:r>
          </w:p>
        </w:tc>
        <w:tc>
          <w:tcPr>
            <w:tcW w:w="1194" w:type="dxa"/>
            <w:tcBorders>
              <w:bottom w:val="single" w:sz="4" w:space="0" w:color="auto"/>
            </w:tcBorders>
            <w:vAlign w:val="center"/>
          </w:tcPr>
          <w:p w:rsidR="00B00F8F" w:rsidRDefault="004B7A56">
            <w:pPr>
              <w:jc w:val="center"/>
            </w:pPr>
            <w:r>
              <w:rPr>
                <w:color w:val="000000"/>
                <w:sz w:val="24"/>
                <w:szCs w:val="24"/>
              </w:rPr>
              <w:t>19.48%</w:t>
            </w:r>
          </w:p>
        </w:tc>
        <w:tc>
          <w:tcPr>
            <w:tcW w:w="1492" w:type="dxa"/>
            <w:tcBorders>
              <w:bottom w:val="single" w:sz="4" w:space="0" w:color="auto"/>
            </w:tcBorders>
            <w:vAlign w:val="center"/>
          </w:tcPr>
          <w:p w:rsidR="00B00F8F" w:rsidRDefault="004B7A56">
            <w:pPr>
              <w:jc w:val="center"/>
            </w:pPr>
            <w:r>
              <w:rPr>
                <w:color w:val="000000"/>
                <w:sz w:val="24"/>
                <w:szCs w:val="24"/>
              </w:rPr>
              <w:t>0.79%</w:t>
            </w:r>
          </w:p>
        </w:tc>
        <w:tc>
          <w:tcPr>
            <w:tcW w:w="1194" w:type="dxa"/>
            <w:tcBorders>
              <w:bottom w:val="single" w:sz="4" w:space="0" w:color="auto"/>
            </w:tcBorders>
            <w:vAlign w:val="center"/>
          </w:tcPr>
          <w:p w:rsidR="00B00F8F" w:rsidRDefault="004B7A56">
            <w:pPr>
              <w:jc w:val="center"/>
            </w:pPr>
            <w:r>
              <w:rPr>
                <w:color w:val="000000"/>
                <w:sz w:val="24"/>
                <w:szCs w:val="24"/>
              </w:rPr>
              <w:t>67.50%</w:t>
            </w:r>
          </w:p>
        </w:tc>
        <w:tc>
          <w:tcPr>
            <w:tcW w:w="898" w:type="dxa"/>
            <w:tcBorders>
              <w:bottom w:val="single" w:sz="4" w:space="0" w:color="auto"/>
            </w:tcBorders>
            <w:vAlign w:val="center"/>
          </w:tcPr>
          <w:p w:rsidR="00B00F8F" w:rsidRDefault="004B7A56">
            <w:pPr>
              <w:jc w:val="center"/>
            </w:pPr>
            <w:r>
              <w:rPr>
                <w:color w:val="000000"/>
                <w:sz w:val="24"/>
                <w:szCs w:val="24"/>
              </w:rPr>
              <w:t>0.43%</w:t>
            </w:r>
          </w:p>
        </w:tc>
      </w:tr>
      <w:tr w:rsidR="00B00F8F" w:rsidTr="00DC0478">
        <w:trPr>
          <w:jc w:val="center"/>
        </w:trPr>
        <w:tc>
          <w:tcPr>
            <w:tcW w:w="1701" w:type="dxa"/>
            <w:tcBorders>
              <w:bottom w:val="single" w:sz="4" w:space="0" w:color="auto"/>
            </w:tcBorders>
            <w:vAlign w:val="center"/>
          </w:tcPr>
          <w:p w:rsidR="00B00F8F" w:rsidRDefault="004B7A56">
            <w:pPr>
              <w:jc w:val="left"/>
            </w:pPr>
            <w:r>
              <w:rPr>
                <w:color w:val="000000"/>
                <w:sz w:val="24"/>
                <w:szCs w:val="24"/>
              </w:rPr>
              <w:t>过去五年</w:t>
            </w:r>
          </w:p>
        </w:tc>
        <w:tc>
          <w:tcPr>
            <w:tcW w:w="1045" w:type="dxa"/>
            <w:tcBorders>
              <w:bottom w:val="single" w:sz="4" w:space="0" w:color="auto"/>
            </w:tcBorders>
            <w:vAlign w:val="center"/>
          </w:tcPr>
          <w:p w:rsidR="00B00F8F" w:rsidRDefault="004B7A56">
            <w:pPr>
              <w:jc w:val="center"/>
            </w:pPr>
            <w:bookmarkStart w:id="0" w:name="_GoBack"/>
            <w:bookmarkEnd w:id="0"/>
            <w:r>
              <w:rPr>
                <w:color w:val="000000"/>
                <w:sz w:val="24"/>
                <w:szCs w:val="24"/>
              </w:rPr>
              <w:t>180.68</w:t>
            </w:r>
            <w:r>
              <w:rPr>
                <w:color w:val="000000"/>
                <w:sz w:val="24"/>
                <w:szCs w:val="24"/>
              </w:rPr>
              <w:lastRenderedPageBreak/>
              <w:t>%</w:t>
            </w:r>
          </w:p>
        </w:tc>
        <w:tc>
          <w:tcPr>
            <w:tcW w:w="1344" w:type="dxa"/>
            <w:tcBorders>
              <w:bottom w:val="single" w:sz="4" w:space="0" w:color="auto"/>
            </w:tcBorders>
            <w:vAlign w:val="center"/>
          </w:tcPr>
          <w:p w:rsidR="00B00F8F" w:rsidRDefault="004B7A56">
            <w:pPr>
              <w:jc w:val="center"/>
            </w:pPr>
            <w:r>
              <w:rPr>
                <w:color w:val="000000"/>
                <w:sz w:val="24"/>
                <w:szCs w:val="24"/>
              </w:rPr>
              <w:lastRenderedPageBreak/>
              <w:t>1.24%</w:t>
            </w:r>
          </w:p>
        </w:tc>
        <w:tc>
          <w:tcPr>
            <w:tcW w:w="1194" w:type="dxa"/>
            <w:tcBorders>
              <w:bottom w:val="single" w:sz="4" w:space="0" w:color="auto"/>
            </w:tcBorders>
            <w:vAlign w:val="center"/>
          </w:tcPr>
          <w:p w:rsidR="00B00F8F" w:rsidRDefault="004B7A56">
            <w:pPr>
              <w:jc w:val="center"/>
            </w:pPr>
            <w:r>
              <w:rPr>
                <w:color w:val="000000"/>
                <w:sz w:val="24"/>
                <w:szCs w:val="24"/>
              </w:rPr>
              <w:t>37.13%</w:t>
            </w:r>
          </w:p>
        </w:tc>
        <w:tc>
          <w:tcPr>
            <w:tcW w:w="1492" w:type="dxa"/>
            <w:tcBorders>
              <w:bottom w:val="single" w:sz="4" w:space="0" w:color="auto"/>
            </w:tcBorders>
            <w:vAlign w:val="center"/>
          </w:tcPr>
          <w:p w:rsidR="00B00F8F" w:rsidRDefault="004B7A56">
            <w:pPr>
              <w:jc w:val="center"/>
            </w:pPr>
            <w:r>
              <w:rPr>
                <w:color w:val="000000"/>
                <w:sz w:val="24"/>
                <w:szCs w:val="24"/>
              </w:rPr>
              <w:t>0.77%</w:t>
            </w:r>
          </w:p>
        </w:tc>
        <w:tc>
          <w:tcPr>
            <w:tcW w:w="1194" w:type="dxa"/>
            <w:tcBorders>
              <w:bottom w:val="single" w:sz="4" w:space="0" w:color="auto"/>
            </w:tcBorders>
            <w:vAlign w:val="center"/>
          </w:tcPr>
          <w:p w:rsidR="00B00F8F" w:rsidRDefault="004B7A56">
            <w:pPr>
              <w:jc w:val="center"/>
            </w:pPr>
            <w:r>
              <w:rPr>
                <w:color w:val="000000"/>
                <w:sz w:val="24"/>
                <w:szCs w:val="24"/>
              </w:rPr>
              <w:t>143.55%</w:t>
            </w:r>
          </w:p>
        </w:tc>
        <w:tc>
          <w:tcPr>
            <w:tcW w:w="898" w:type="dxa"/>
            <w:tcBorders>
              <w:bottom w:val="single" w:sz="4" w:space="0" w:color="auto"/>
            </w:tcBorders>
            <w:vAlign w:val="center"/>
          </w:tcPr>
          <w:p w:rsidR="00B00F8F" w:rsidRDefault="004B7A56">
            <w:pPr>
              <w:jc w:val="center"/>
            </w:pPr>
            <w:r>
              <w:rPr>
                <w:color w:val="000000"/>
                <w:sz w:val="24"/>
                <w:szCs w:val="24"/>
              </w:rPr>
              <w:t>0.47%</w:t>
            </w:r>
          </w:p>
        </w:tc>
      </w:tr>
      <w:tr w:rsidR="00B00F8F" w:rsidTr="00DC0478">
        <w:trPr>
          <w:jc w:val="center"/>
        </w:trPr>
        <w:tc>
          <w:tcPr>
            <w:tcW w:w="1701" w:type="dxa"/>
            <w:tcBorders>
              <w:top w:val="single" w:sz="4" w:space="0" w:color="auto"/>
            </w:tcBorders>
            <w:vAlign w:val="center"/>
          </w:tcPr>
          <w:p w:rsidR="00B00F8F" w:rsidRDefault="004B7A56">
            <w:pPr>
              <w:jc w:val="left"/>
            </w:pPr>
            <w:r>
              <w:rPr>
                <w:color w:val="000000"/>
                <w:sz w:val="24"/>
                <w:szCs w:val="24"/>
              </w:rPr>
              <w:t>自基金转型起至今</w:t>
            </w:r>
          </w:p>
        </w:tc>
        <w:tc>
          <w:tcPr>
            <w:tcW w:w="1045" w:type="dxa"/>
            <w:tcBorders>
              <w:top w:val="single" w:sz="4" w:space="0" w:color="auto"/>
            </w:tcBorders>
            <w:vAlign w:val="center"/>
          </w:tcPr>
          <w:p w:rsidR="00B00F8F" w:rsidRDefault="004B7A56">
            <w:pPr>
              <w:jc w:val="center"/>
            </w:pPr>
            <w:r>
              <w:rPr>
                <w:color w:val="000000"/>
                <w:sz w:val="24"/>
                <w:szCs w:val="24"/>
              </w:rPr>
              <w:t>469.01%</w:t>
            </w:r>
          </w:p>
        </w:tc>
        <w:tc>
          <w:tcPr>
            <w:tcW w:w="1344" w:type="dxa"/>
            <w:tcBorders>
              <w:top w:val="single" w:sz="4" w:space="0" w:color="auto"/>
            </w:tcBorders>
            <w:vAlign w:val="center"/>
          </w:tcPr>
          <w:p w:rsidR="00B00F8F" w:rsidRDefault="004B7A56">
            <w:pPr>
              <w:jc w:val="center"/>
            </w:pPr>
            <w:r>
              <w:rPr>
                <w:color w:val="000000"/>
                <w:sz w:val="24"/>
                <w:szCs w:val="24"/>
              </w:rPr>
              <w:t>1.29%</w:t>
            </w:r>
          </w:p>
        </w:tc>
        <w:tc>
          <w:tcPr>
            <w:tcW w:w="1194" w:type="dxa"/>
            <w:tcBorders>
              <w:top w:val="single" w:sz="4" w:space="0" w:color="auto"/>
            </w:tcBorders>
            <w:vAlign w:val="center"/>
          </w:tcPr>
          <w:p w:rsidR="00B00F8F" w:rsidRDefault="004B7A56">
            <w:pPr>
              <w:jc w:val="center"/>
            </w:pPr>
            <w:r>
              <w:rPr>
                <w:color w:val="000000"/>
                <w:sz w:val="24"/>
                <w:szCs w:val="24"/>
              </w:rPr>
              <w:t>76.60%</w:t>
            </w:r>
          </w:p>
        </w:tc>
        <w:tc>
          <w:tcPr>
            <w:tcW w:w="1492" w:type="dxa"/>
            <w:tcBorders>
              <w:top w:val="single" w:sz="4" w:space="0" w:color="auto"/>
            </w:tcBorders>
            <w:vAlign w:val="center"/>
          </w:tcPr>
          <w:p w:rsidR="00B00F8F" w:rsidRDefault="004B7A56">
            <w:pPr>
              <w:jc w:val="center"/>
            </w:pPr>
            <w:r>
              <w:rPr>
                <w:color w:val="000000"/>
                <w:sz w:val="24"/>
                <w:szCs w:val="24"/>
              </w:rPr>
              <w:t>0.88%</w:t>
            </w:r>
          </w:p>
        </w:tc>
        <w:tc>
          <w:tcPr>
            <w:tcW w:w="1194" w:type="dxa"/>
            <w:tcBorders>
              <w:top w:val="single" w:sz="4" w:space="0" w:color="auto"/>
            </w:tcBorders>
            <w:vAlign w:val="center"/>
          </w:tcPr>
          <w:p w:rsidR="00B00F8F" w:rsidRDefault="004B7A56">
            <w:pPr>
              <w:jc w:val="center"/>
            </w:pPr>
            <w:r>
              <w:rPr>
                <w:color w:val="000000"/>
                <w:sz w:val="24"/>
                <w:szCs w:val="24"/>
              </w:rPr>
              <w:t>392.41%</w:t>
            </w:r>
          </w:p>
        </w:tc>
        <w:tc>
          <w:tcPr>
            <w:tcW w:w="898" w:type="dxa"/>
            <w:tcBorders>
              <w:top w:val="single" w:sz="4" w:space="0" w:color="auto"/>
            </w:tcBorders>
            <w:vAlign w:val="center"/>
          </w:tcPr>
          <w:p w:rsidR="00B00F8F" w:rsidRDefault="004B7A56">
            <w:pPr>
              <w:jc w:val="center"/>
            </w:pPr>
            <w:r>
              <w:rPr>
                <w:color w:val="000000"/>
                <w:sz w:val="24"/>
                <w:szCs w:val="24"/>
              </w:rPr>
              <w:t>0.41%</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注：本基金业绩比较基准自</w:t>
      </w:r>
      <w:r w:rsidRPr="00414345">
        <w:rPr>
          <w:color w:val="000000"/>
          <w:sz w:val="24"/>
          <w:szCs w:val="24"/>
        </w:rPr>
        <w:t>2015</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日起，由</w:t>
      </w:r>
      <w:r w:rsidRPr="00414345">
        <w:rPr>
          <w:color w:val="000000"/>
          <w:sz w:val="24"/>
          <w:szCs w:val="24"/>
        </w:rPr>
        <w:t>“60%×</w:t>
      </w:r>
      <w:r w:rsidRPr="00414345">
        <w:rPr>
          <w:color w:val="000000"/>
          <w:sz w:val="24"/>
          <w:szCs w:val="24"/>
        </w:rPr>
        <w:t>沪深</w:t>
      </w:r>
      <w:r w:rsidRPr="00414345">
        <w:rPr>
          <w:color w:val="000000"/>
          <w:sz w:val="24"/>
          <w:szCs w:val="24"/>
        </w:rPr>
        <w:t>300</w:t>
      </w:r>
      <w:r w:rsidRPr="00414345">
        <w:rPr>
          <w:color w:val="000000"/>
          <w:sz w:val="24"/>
          <w:szCs w:val="24"/>
        </w:rPr>
        <w:t>指数收益率</w:t>
      </w:r>
      <w:r w:rsidRPr="00414345">
        <w:rPr>
          <w:color w:val="000000"/>
          <w:sz w:val="24"/>
          <w:szCs w:val="24"/>
        </w:rPr>
        <w:t>+40%×</w:t>
      </w:r>
      <w:r w:rsidRPr="00414345">
        <w:rPr>
          <w:color w:val="000000"/>
          <w:sz w:val="24"/>
          <w:szCs w:val="24"/>
        </w:rPr>
        <w:t>中信标普全债指数收益率</w:t>
      </w:r>
      <w:r w:rsidRPr="00414345">
        <w:rPr>
          <w:color w:val="000000"/>
          <w:sz w:val="24"/>
          <w:szCs w:val="24"/>
        </w:rPr>
        <w:t>”</w:t>
      </w:r>
      <w:r w:rsidRPr="00414345">
        <w:rPr>
          <w:color w:val="000000"/>
          <w:sz w:val="24"/>
          <w:szCs w:val="24"/>
        </w:rPr>
        <w:t>变更为</w:t>
      </w:r>
      <w:r w:rsidRPr="00414345">
        <w:rPr>
          <w:color w:val="000000"/>
          <w:sz w:val="24"/>
          <w:szCs w:val="24"/>
        </w:rPr>
        <w:t>“60%×</w:t>
      </w:r>
      <w:r w:rsidRPr="00414345">
        <w:rPr>
          <w:color w:val="000000"/>
          <w:sz w:val="24"/>
          <w:szCs w:val="24"/>
        </w:rPr>
        <w:t>沪深</w:t>
      </w:r>
      <w:r w:rsidRPr="00414345">
        <w:rPr>
          <w:color w:val="000000"/>
          <w:sz w:val="24"/>
          <w:szCs w:val="24"/>
        </w:rPr>
        <w:t>300</w:t>
      </w:r>
      <w:r w:rsidRPr="00414345">
        <w:rPr>
          <w:color w:val="000000"/>
          <w:sz w:val="24"/>
          <w:szCs w:val="24"/>
        </w:rPr>
        <w:t>指数收益率</w:t>
      </w:r>
      <w:r w:rsidRPr="00414345">
        <w:rPr>
          <w:color w:val="000000"/>
          <w:sz w:val="24"/>
          <w:szCs w:val="24"/>
        </w:rPr>
        <w:t>+40%×</w:t>
      </w:r>
      <w:r w:rsidRPr="00414345">
        <w:rPr>
          <w:color w:val="000000"/>
          <w:sz w:val="24"/>
          <w:szCs w:val="24"/>
        </w:rPr>
        <w:t>中证综合债券指数收益率</w:t>
      </w:r>
      <w:r w:rsidRPr="00414345">
        <w:rPr>
          <w:color w:val="000000"/>
          <w:sz w:val="24"/>
          <w:szCs w:val="24"/>
        </w:rPr>
        <w:t>”</w:t>
      </w:r>
      <w:r w:rsidRPr="00414345">
        <w:rPr>
          <w:color w:val="000000"/>
          <w:sz w:val="24"/>
          <w:szCs w:val="24"/>
        </w:rPr>
        <w:t>，</w:t>
      </w:r>
      <w:r w:rsidRPr="00414345">
        <w:rPr>
          <w:color w:val="000000"/>
          <w:sz w:val="24"/>
          <w:szCs w:val="24"/>
        </w:rPr>
        <w:t>3.2.2</w:t>
      </w:r>
      <w:r w:rsidRPr="00414345">
        <w:rPr>
          <w:color w:val="000000"/>
          <w:sz w:val="24"/>
          <w:szCs w:val="24"/>
        </w:rPr>
        <w:t>同。详情见本基金管理人于</w:t>
      </w:r>
      <w:r w:rsidRPr="00414345">
        <w:rPr>
          <w:color w:val="000000"/>
          <w:sz w:val="24"/>
          <w:szCs w:val="24"/>
        </w:rPr>
        <w:t>2015</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28</w:t>
      </w:r>
      <w:r w:rsidRPr="00414345">
        <w:rPr>
          <w:color w:val="000000"/>
          <w:sz w:val="24"/>
          <w:szCs w:val="24"/>
        </w:rPr>
        <w:t>日发布的《交银施罗德基金管理有限公司关于旗下部分基金业绩比较基准变更并修改基金合同相关内容的公告》。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自基金转型以来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交银施罗德优势行业灵活配置混合型证券投资基金</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2012</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注：本基金由交银施罗德保本混合型证券投资基金转型而来。基金转型日为</w:t>
      </w:r>
      <w:r w:rsidRPr="00414345">
        <w:rPr>
          <w:color w:val="000000"/>
          <w:sz w:val="24"/>
          <w:szCs w:val="24"/>
        </w:rPr>
        <w:t>2012</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3</w:t>
      </w:r>
      <w:r w:rsidRPr="00414345">
        <w:rPr>
          <w:color w:val="000000"/>
          <w:sz w:val="24"/>
          <w:szCs w:val="24"/>
        </w:rPr>
        <w:t>日。本基金的投资转型期为交银施罗德保本混合型证券投资基金保本周期到期选择期截止日次日（即</w:t>
      </w:r>
      <w:r w:rsidRPr="00414345">
        <w:rPr>
          <w:color w:val="000000"/>
          <w:sz w:val="24"/>
          <w:szCs w:val="24"/>
        </w:rPr>
        <w:t>2012</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3</w:t>
      </w:r>
      <w:r w:rsidRPr="00414345">
        <w:rPr>
          <w:color w:val="000000"/>
          <w:sz w:val="24"/>
          <w:szCs w:val="24"/>
        </w:rPr>
        <w:t>日）起的</w:t>
      </w:r>
      <w:r w:rsidRPr="00414345">
        <w:rPr>
          <w:color w:val="000000"/>
          <w:sz w:val="24"/>
          <w:szCs w:val="24"/>
        </w:rPr>
        <w:t>3</w:t>
      </w:r>
      <w:r w:rsidRPr="00414345">
        <w:rPr>
          <w:color w:val="000000"/>
          <w:sz w:val="24"/>
          <w:szCs w:val="24"/>
        </w:rPr>
        <w:t>个月。截至投资转型期结束，本基金各项资产配置比例符合基金合同及招募说明书有关投资比例的约定。</w:t>
      </w:r>
    </w:p>
    <w:p w:rsidR="00693843" w:rsidRPr="00594BC7"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lastRenderedPageBreak/>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B00F8F">
        <w:trPr>
          <w:jc w:val="center"/>
        </w:trPr>
        <w:tc>
          <w:tcPr>
            <w:tcW w:w="846" w:type="dxa"/>
            <w:vAlign w:val="center"/>
          </w:tcPr>
          <w:p w:rsidR="00B00F8F" w:rsidRDefault="004B7A56">
            <w:pPr>
              <w:jc w:val="center"/>
            </w:pPr>
            <w:r>
              <w:rPr>
                <w:color w:val="000000"/>
                <w:sz w:val="24"/>
                <w:szCs w:val="24"/>
              </w:rPr>
              <w:t>何帅</w:t>
            </w:r>
          </w:p>
        </w:tc>
        <w:tc>
          <w:tcPr>
            <w:tcW w:w="845" w:type="dxa"/>
            <w:vAlign w:val="center"/>
          </w:tcPr>
          <w:p w:rsidR="00B00F8F" w:rsidRDefault="004B7A56">
            <w:pPr>
              <w:jc w:val="center"/>
            </w:pPr>
            <w:r>
              <w:rPr>
                <w:color w:val="000000"/>
                <w:sz w:val="24"/>
                <w:szCs w:val="24"/>
              </w:rPr>
              <w:t>交银优势行业混合、交银阿尔法核心混合、交银持续成长主题混合的基金经理</w:t>
            </w:r>
          </w:p>
        </w:tc>
        <w:tc>
          <w:tcPr>
            <w:tcW w:w="1549" w:type="dxa"/>
            <w:vAlign w:val="center"/>
          </w:tcPr>
          <w:p w:rsidR="00B00F8F" w:rsidRDefault="004B7A56">
            <w:pPr>
              <w:jc w:val="center"/>
            </w:pPr>
            <w:r>
              <w:rPr>
                <w:color w:val="000000"/>
                <w:sz w:val="24"/>
                <w:szCs w:val="24"/>
              </w:rPr>
              <w:t>2015-07-09</w:t>
            </w:r>
          </w:p>
        </w:tc>
        <w:tc>
          <w:tcPr>
            <w:tcW w:w="1548" w:type="dxa"/>
            <w:vAlign w:val="center"/>
          </w:tcPr>
          <w:p w:rsidR="00B00F8F" w:rsidRDefault="004B7A56">
            <w:pPr>
              <w:jc w:val="center"/>
            </w:pPr>
            <w:r>
              <w:rPr>
                <w:color w:val="000000"/>
                <w:sz w:val="24"/>
                <w:szCs w:val="24"/>
              </w:rPr>
              <w:t>-</w:t>
            </w:r>
          </w:p>
        </w:tc>
        <w:tc>
          <w:tcPr>
            <w:tcW w:w="1407" w:type="dxa"/>
            <w:vAlign w:val="center"/>
          </w:tcPr>
          <w:p w:rsidR="00B00F8F" w:rsidRDefault="004B7A56">
            <w:pPr>
              <w:jc w:val="center"/>
            </w:pPr>
            <w:r>
              <w:rPr>
                <w:color w:val="000000"/>
                <w:sz w:val="24"/>
                <w:szCs w:val="24"/>
              </w:rPr>
              <w:t>10</w:t>
            </w:r>
            <w:r>
              <w:rPr>
                <w:color w:val="000000"/>
                <w:sz w:val="24"/>
                <w:szCs w:val="24"/>
              </w:rPr>
              <w:t>年</w:t>
            </w:r>
          </w:p>
        </w:tc>
        <w:tc>
          <w:tcPr>
            <w:tcW w:w="2673" w:type="dxa"/>
            <w:vAlign w:val="center"/>
          </w:tcPr>
          <w:p w:rsidR="00B00F8F" w:rsidRDefault="004B7A56">
            <w:r>
              <w:rPr>
                <w:color w:val="000000"/>
                <w:sz w:val="24"/>
                <w:szCs w:val="24"/>
              </w:rPr>
              <w:t>何帅先生，上海财经大学硕士。历任国联安基金管理有限公司研究员。</w:t>
            </w:r>
            <w:r>
              <w:rPr>
                <w:color w:val="000000"/>
                <w:sz w:val="24"/>
                <w:szCs w:val="24"/>
              </w:rPr>
              <w:t>2012</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B00F8F" w:rsidRDefault="004B7A56">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B00F8F" w:rsidRDefault="004B7A56">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B00F8F" w:rsidRDefault="004B7A56">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w:t>
      </w:r>
      <w:r>
        <w:rPr>
          <w:color w:val="000000"/>
          <w:sz w:val="24"/>
          <w:szCs w:val="24"/>
        </w:rPr>
        <w:lastRenderedPageBreak/>
        <w:t>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B00F8F" w:rsidRDefault="004B7A56">
      <w:pPr>
        <w:spacing w:before="29" w:line="288" w:lineRule="auto"/>
        <w:ind w:firstLineChars="200" w:firstLine="480"/>
        <w:rPr>
          <w:color w:val="000000"/>
          <w:sz w:val="24"/>
          <w:szCs w:val="24"/>
        </w:rPr>
      </w:pPr>
      <w:bookmarkStart w:id="1" w:name="_Hlk54290385"/>
      <w:r>
        <w:rPr>
          <w:color w:val="000000"/>
          <w:sz w:val="24"/>
          <w:szCs w:val="24"/>
        </w:rPr>
        <w:t>2020</w:t>
      </w:r>
      <w:r>
        <w:rPr>
          <w:color w:val="000000"/>
          <w:sz w:val="24"/>
          <w:szCs w:val="24"/>
        </w:rPr>
        <w:t>年三季度</w:t>
      </w:r>
      <w:r>
        <w:rPr>
          <w:color w:val="000000"/>
          <w:sz w:val="24"/>
          <w:szCs w:val="24"/>
        </w:rPr>
        <w:t>A</w:t>
      </w:r>
      <w:r>
        <w:rPr>
          <w:color w:val="000000"/>
          <w:sz w:val="24"/>
          <w:szCs w:val="24"/>
        </w:rPr>
        <w:t>股市场呈现振荡格局，市场指数先扬后抑，其中消费、军工等板块涨幅较佳，而医药等板块有一定回调。从宏观层面，国内经济逐渐走出阴霾，短期较大风险基本消除。经济的趋稳使得货币政策放松的预期收窄，部分前期涨幅较多估值上升明显的个股及板块出现回落。</w:t>
      </w:r>
    </w:p>
    <w:p w:rsidR="00B00F8F" w:rsidRDefault="004B7A56">
      <w:pPr>
        <w:spacing w:before="29" w:line="288" w:lineRule="auto"/>
        <w:ind w:firstLineChars="200" w:firstLine="480"/>
        <w:rPr>
          <w:color w:val="000000"/>
          <w:sz w:val="24"/>
          <w:szCs w:val="24"/>
        </w:rPr>
      </w:pPr>
      <w:r>
        <w:rPr>
          <w:color w:val="000000"/>
          <w:sz w:val="24"/>
          <w:szCs w:val="24"/>
        </w:rPr>
        <w:t>三季度本基金新增了部分军工类及快递物流公司的持仓，兑现了部分医药板块持仓。</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我们认为随着</w:t>
      </w:r>
      <w:r w:rsidRPr="00414345">
        <w:rPr>
          <w:color w:val="000000"/>
          <w:sz w:val="24"/>
          <w:szCs w:val="24"/>
        </w:rPr>
        <w:t>“</w:t>
      </w:r>
      <w:r w:rsidRPr="00414345">
        <w:rPr>
          <w:color w:val="000000"/>
          <w:sz w:val="24"/>
          <w:szCs w:val="24"/>
        </w:rPr>
        <w:t>特殊时期</w:t>
      </w:r>
      <w:r w:rsidRPr="00414345">
        <w:rPr>
          <w:color w:val="000000"/>
          <w:sz w:val="24"/>
          <w:szCs w:val="24"/>
        </w:rPr>
        <w:t>”</w:t>
      </w:r>
      <w:r w:rsidRPr="00414345">
        <w:rPr>
          <w:color w:val="000000"/>
          <w:sz w:val="24"/>
          <w:szCs w:val="24"/>
        </w:rPr>
        <w:t>逐渐过去，市场将逐渐回归由公司基本面驱动的逻辑，而非估值的继续抬升。本基金将继续聚焦于选择可持续成长的公司或者性价比较高的股票，在一定安全边际下，力争为持有人持续获得长期稳定的超额回报。</w:t>
      </w:r>
    </w:p>
    <w:bookmarkEnd w:id="1"/>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r w:rsidRPr="002070B4">
        <w:rPr>
          <w:color w:val="000000"/>
          <w:sz w:val="24"/>
        </w:rPr>
        <w:t xml:space="preserve"> </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f2"/>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4,907,290,053.01</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77.84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4,907,290,053.01</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77.84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298,523,000.00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4.74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298,523,000.00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4.74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1,048,385,018.07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16.63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49,765,235.38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0.79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6,303,963,306.46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2,601,429,951.13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41.57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13,029.12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28,264.03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254,425,646.56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w:t>
            </w:r>
            <w:r w:rsidRPr="00414345">
              <w:rPr>
                <w:sz w:val="24"/>
                <w:szCs w:val="24"/>
              </w:rPr>
              <w:lastRenderedPageBreak/>
              <w:t>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lastRenderedPageBreak/>
              <w:t>457,345,133.46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7.31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177,806,160.00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1,231,300,649.38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19.68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33,766,981.16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0.54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233,582.87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150,940,655.30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4,907,290,053.01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78.42</w:t>
            </w:r>
          </w:p>
        </w:tc>
      </w:tr>
    </w:tbl>
    <w:p w:rsidR="00594BC7" w:rsidRDefault="00594BC7"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B00F8F">
        <w:trPr>
          <w:jc w:val="center"/>
        </w:trPr>
        <w:tc>
          <w:tcPr>
            <w:tcW w:w="855" w:type="dxa"/>
            <w:vAlign w:val="center"/>
          </w:tcPr>
          <w:p w:rsidR="00B00F8F" w:rsidRDefault="004B7A56">
            <w:pPr>
              <w:jc w:val="center"/>
            </w:pPr>
            <w:r>
              <w:rPr>
                <w:color w:val="000000"/>
                <w:sz w:val="24"/>
                <w:szCs w:val="24"/>
              </w:rPr>
              <w:t>1</w:t>
            </w:r>
          </w:p>
        </w:tc>
        <w:tc>
          <w:tcPr>
            <w:tcW w:w="1334" w:type="dxa"/>
            <w:vAlign w:val="center"/>
          </w:tcPr>
          <w:p w:rsidR="00B00F8F" w:rsidRDefault="004B7A56">
            <w:pPr>
              <w:jc w:val="center"/>
            </w:pPr>
            <w:r>
              <w:rPr>
                <w:color w:val="000000"/>
                <w:sz w:val="24"/>
                <w:szCs w:val="24"/>
              </w:rPr>
              <w:t>000002</w:t>
            </w:r>
          </w:p>
        </w:tc>
        <w:tc>
          <w:tcPr>
            <w:tcW w:w="1777" w:type="dxa"/>
            <w:vAlign w:val="center"/>
          </w:tcPr>
          <w:p w:rsidR="00B00F8F" w:rsidRDefault="004B7A56">
            <w:pPr>
              <w:jc w:val="center"/>
            </w:pPr>
            <w:r>
              <w:rPr>
                <w:color w:val="000000"/>
                <w:sz w:val="24"/>
                <w:szCs w:val="24"/>
              </w:rPr>
              <w:t>万科</w:t>
            </w:r>
            <w:r>
              <w:rPr>
                <w:color w:val="000000"/>
                <w:sz w:val="24"/>
                <w:szCs w:val="24"/>
              </w:rPr>
              <w:t>A</w:t>
            </w:r>
          </w:p>
        </w:tc>
        <w:tc>
          <w:tcPr>
            <w:tcW w:w="1334" w:type="dxa"/>
            <w:vAlign w:val="center"/>
          </w:tcPr>
          <w:p w:rsidR="00B00F8F" w:rsidRDefault="004B7A56">
            <w:pPr>
              <w:jc w:val="right"/>
            </w:pPr>
            <w:r>
              <w:rPr>
                <w:color w:val="000000"/>
                <w:sz w:val="24"/>
                <w:szCs w:val="24"/>
              </w:rPr>
              <w:t>17,962,900</w:t>
            </w:r>
          </w:p>
        </w:tc>
        <w:tc>
          <w:tcPr>
            <w:tcW w:w="1924" w:type="dxa"/>
            <w:vAlign w:val="center"/>
          </w:tcPr>
          <w:p w:rsidR="00B00F8F" w:rsidRDefault="004B7A56">
            <w:pPr>
              <w:jc w:val="right"/>
            </w:pPr>
            <w:r>
              <w:rPr>
                <w:color w:val="000000"/>
                <w:sz w:val="24"/>
                <w:szCs w:val="24"/>
              </w:rPr>
              <w:t>503,320,458.00</w:t>
            </w:r>
          </w:p>
        </w:tc>
        <w:tc>
          <w:tcPr>
            <w:tcW w:w="1644" w:type="dxa"/>
            <w:vAlign w:val="center"/>
          </w:tcPr>
          <w:p w:rsidR="00B00F8F" w:rsidRDefault="004B7A56">
            <w:pPr>
              <w:jc w:val="right"/>
            </w:pPr>
            <w:r>
              <w:rPr>
                <w:color w:val="000000"/>
                <w:sz w:val="24"/>
                <w:szCs w:val="24"/>
              </w:rPr>
              <w:t>8.04</w:t>
            </w:r>
          </w:p>
        </w:tc>
      </w:tr>
      <w:tr w:rsidR="00B00F8F">
        <w:trPr>
          <w:jc w:val="center"/>
        </w:trPr>
        <w:tc>
          <w:tcPr>
            <w:tcW w:w="855" w:type="dxa"/>
            <w:vAlign w:val="center"/>
          </w:tcPr>
          <w:p w:rsidR="00B00F8F" w:rsidRDefault="004B7A56">
            <w:pPr>
              <w:jc w:val="center"/>
            </w:pPr>
            <w:r>
              <w:rPr>
                <w:color w:val="000000"/>
                <w:sz w:val="24"/>
                <w:szCs w:val="24"/>
              </w:rPr>
              <w:t>2</w:t>
            </w:r>
          </w:p>
        </w:tc>
        <w:tc>
          <w:tcPr>
            <w:tcW w:w="1334" w:type="dxa"/>
            <w:vAlign w:val="center"/>
          </w:tcPr>
          <w:p w:rsidR="00B00F8F" w:rsidRDefault="004B7A56">
            <w:pPr>
              <w:jc w:val="center"/>
            </w:pPr>
            <w:r>
              <w:rPr>
                <w:color w:val="000000"/>
                <w:sz w:val="24"/>
                <w:szCs w:val="24"/>
              </w:rPr>
              <w:t>002050</w:t>
            </w:r>
          </w:p>
        </w:tc>
        <w:tc>
          <w:tcPr>
            <w:tcW w:w="1777" w:type="dxa"/>
            <w:vAlign w:val="center"/>
          </w:tcPr>
          <w:p w:rsidR="00B00F8F" w:rsidRDefault="004B7A56">
            <w:pPr>
              <w:jc w:val="center"/>
            </w:pPr>
            <w:r>
              <w:rPr>
                <w:color w:val="000000"/>
                <w:sz w:val="24"/>
                <w:szCs w:val="24"/>
              </w:rPr>
              <w:t>三花智控</w:t>
            </w:r>
          </w:p>
        </w:tc>
        <w:tc>
          <w:tcPr>
            <w:tcW w:w="1334" w:type="dxa"/>
            <w:vAlign w:val="center"/>
          </w:tcPr>
          <w:p w:rsidR="00B00F8F" w:rsidRDefault="004B7A56">
            <w:pPr>
              <w:jc w:val="right"/>
            </w:pPr>
            <w:r>
              <w:rPr>
                <w:color w:val="000000"/>
                <w:sz w:val="24"/>
                <w:szCs w:val="24"/>
              </w:rPr>
              <w:t>19,532,912</w:t>
            </w:r>
          </w:p>
        </w:tc>
        <w:tc>
          <w:tcPr>
            <w:tcW w:w="1924" w:type="dxa"/>
            <w:vAlign w:val="center"/>
          </w:tcPr>
          <w:p w:rsidR="00B00F8F" w:rsidRDefault="004B7A56">
            <w:pPr>
              <w:jc w:val="right"/>
            </w:pPr>
            <w:r>
              <w:rPr>
                <w:color w:val="000000"/>
                <w:sz w:val="24"/>
                <w:szCs w:val="24"/>
              </w:rPr>
              <w:t>433,630,646.40</w:t>
            </w:r>
          </w:p>
        </w:tc>
        <w:tc>
          <w:tcPr>
            <w:tcW w:w="1644" w:type="dxa"/>
            <w:vAlign w:val="center"/>
          </w:tcPr>
          <w:p w:rsidR="00B00F8F" w:rsidRDefault="004B7A56">
            <w:pPr>
              <w:jc w:val="right"/>
            </w:pPr>
            <w:r>
              <w:rPr>
                <w:color w:val="000000"/>
                <w:sz w:val="24"/>
                <w:szCs w:val="24"/>
              </w:rPr>
              <w:t>6.93</w:t>
            </w:r>
          </w:p>
        </w:tc>
      </w:tr>
      <w:tr w:rsidR="00B00F8F">
        <w:trPr>
          <w:jc w:val="center"/>
        </w:trPr>
        <w:tc>
          <w:tcPr>
            <w:tcW w:w="855" w:type="dxa"/>
            <w:vAlign w:val="center"/>
          </w:tcPr>
          <w:p w:rsidR="00B00F8F" w:rsidRDefault="004B7A56">
            <w:pPr>
              <w:jc w:val="center"/>
            </w:pPr>
            <w:r>
              <w:rPr>
                <w:color w:val="000000"/>
                <w:sz w:val="24"/>
                <w:szCs w:val="24"/>
              </w:rPr>
              <w:t>3</w:t>
            </w:r>
          </w:p>
        </w:tc>
        <w:tc>
          <w:tcPr>
            <w:tcW w:w="1334" w:type="dxa"/>
            <w:vAlign w:val="center"/>
          </w:tcPr>
          <w:p w:rsidR="00B00F8F" w:rsidRDefault="004B7A56">
            <w:pPr>
              <w:jc w:val="center"/>
            </w:pPr>
            <w:r>
              <w:rPr>
                <w:color w:val="000000"/>
                <w:sz w:val="24"/>
                <w:szCs w:val="24"/>
              </w:rPr>
              <w:t>002049</w:t>
            </w:r>
          </w:p>
        </w:tc>
        <w:tc>
          <w:tcPr>
            <w:tcW w:w="1777" w:type="dxa"/>
            <w:vAlign w:val="center"/>
          </w:tcPr>
          <w:p w:rsidR="00B00F8F" w:rsidRDefault="004B7A56">
            <w:pPr>
              <w:jc w:val="center"/>
            </w:pPr>
            <w:r>
              <w:rPr>
                <w:color w:val="000000"/>
                <w:sz w:val="24"/>
                <w:szCs w:val="24"/>
              </w:rPr>
              <w:t>紫光国微</w:t>
            </w:r>
          </w:p>
        </w:tc>
        <w:tc>
          <w:tcPr>
            <w:tcW w:w="1334" w:type="dxa"/>
            <w:vAlign w:val="center"/>
          </w:tcPr>
          <w:p w:rsidR="00B00F8F" w:rsidRDefault="004B7A56">
            <w:pPr>
              <w:jc w:val="right"/>
            </w:pPr>
            <w:r>
              <w:rPr>
                <w:color w:val="000000"/>
                <w:sz w:val="24"/>
                <w:szCs w:val="24"/>
              </w:rPr>
              <w:t>2,666,844</w:t>
            </w:r>
          </w:p>
        </w:tc>
        <w:tc>
          <w:tcPr>
            <w:tcW w:w="1924" w:type="dxa"/>
            <w:vAlign w:val="center"/>
          </w:tcPr>
          <w:p w:rsidR="00B00F8F" w:rsidRDefault="004B7A56">
            <w:pPr>
              <w:jc w:val="right"/>
            </w:pPr>
            <w:r>
              <w:rPr>
                <w:color w:val="000000"/>
                <w:sz w:val="24"/>
                <w:szCs w:val="24"/>
              </w:rPr>
              <w:t>316,767,730.32</w:t>
            </w:r>
          </w:p>
        </w:tc>
        <w:tc>
          <w:tcPr>
            <w:tcW w:w="1644" w:type="dxa"/>
            <w:vAlign w:val="center"/>
          </w:tcPr>
          <w:p w:rsidR="00B00F8F" w:rsidRDefault="004B7A56">
            <w:pPr>
              <w:jc w:val="right"/>
            </w:pPr>
            <w:r>
              <w:rPr>
                <w:color w:val="000000"/>
                <w:sz w:val="24"/>
                <w:szCs w:val="24"/>
              </w:rPr>
              <w:t>5.06</w:t>
            </w:r>
          </w:p>
        </w:tc>
      </w:tr>
      <w:tr w:rsidR="00B00F8F">
        <w:trPr>
          <w:jc w:val="center"/>
        </w:trPr>
        <w:tc>
          <w:tcPr>
            <w:tcW w:w="855" w:type="dxa"/>
            <w:vAlign w:val="center"/>
          </w:tcPr>
          <w:p w:rsidR="00B00F8F" w:rsidRDefault="004B7A56">
            <w:pPr>
              <w:jc w:val="center"/>
            </w:pPr>
            <w:r>
              <w:rPr>
                <w:color w:val="000000"/>
                <w:sz w:val="24"/>
                <w:szCs w:val="24"/>
              </w:rPr>
              <w:t>4</w:t>
            </w:r>
          </w:p>
        </w:tc>
        <w:tc>
          <w:tcPr>
            <w:tcW w:w="1334" w:type="dxa"/>
            <w:vAlign w:val="center"/>
          </w:tcPr>
          <w:p w:rsidR="00B00F8F" w:rsidRDefault="004B7A56">
            <w:pPr>
              <w:jc w:val="center"/>
            </w:pPr>
            <w:r>
              <w:rPr>
                <w:color w:val="000000"/>
                <w:sz w:val="24"/>
                <w:szCs w:val="24"/>
              </w:rPr>
              <w:t>600048</w:t>
            </w:r>
          </w:p>
        </w:tc>
        <w:tc>
          <w:tcPr>
            <w:tcW w:w="1777" w:type="dxa"/>
            <w:vAlign w:val="center"/>
          </w:tcPr>
          <w:p w:rsidR="00B00F8F" w:rsidRDefault="004B7A56">
            <w:pPr>
              <w:jc w:val="center"/>
            </w:pPr>
            <w:r>
              <w:rPr>
                <w:color w:val="000000"/>
                <w:sz w:val="24"/>
                <w:szCs w:val="24"/>
              </w:rPr>
              <w:t>保利地产</w:t>
            </w:r>
          </w:p>
        </w:tc>
        <w:tc>
          <w:tcPr>
            <w:tcW w:w="1334" w:type="dxa"/>
            <w:vAlign w:val="center"/>
          </w:tcPr>
          <w:p w:rsidR="00B00F8F" w:rsidRDefault="004B7A56">
            <w:pPr>
              <w:jc w:val="right"/>
            </w:pPr>
            <w:r>
              <w:rPr>
                <w:color w:val="000000"/>
                <w:sz w:val="24"/>
                <w:szCs w:val="24"/>
              </w:rPr>
              <w:t>18,310,237</w:t>
            </w:r>
          </w:p>
        </w:tc>
        <w:tc>
          <w:tcPr>
            <w:tcW w:w="1924" w:type="dxa"/>
            <w:vAlign w:val="center"/>
          </w:tcPr>
          <w:p w:rsidR="00B00F8F" w:rsidRDefault="004B7A56">
            <w:pPr>
              <w:jc w:val="right"/>
            </w:pPr>
            <w:r>
              <w:rPr>
                <w:color w:val="000000"/>
                <w:sz w:val="24"/>
                <w:szCs w:val="24"/>
              </w:rPr>
              <w:t>290,949,665.93</w:t>
            </w:r>
          </w:p>
        </w:tc>
        <w:tc>
          <w:tcPr>
            <w:tcW w:w="1644" w:type="dxa"/>
            <w:vAlign w:val="center"/>
          </w:tcPr>
          <w:p w:rsidR="00B00F8F" w:rsidRDefault="004B7A56">
            <w:pPr>
              <w:jc w:val="right"/>
            </w:pPr>
            <w:r>
              <w:rPr>
                <w:color w:val="000000"/>
                <w:sz w:val="24"/>
                <w:szCs w:val="24"/>
              </w:rPr>
              <w:t>4.65</w:t>
            </w:r>
          </w:p>
        </w:tc>
      </w:tr>
      <w:tr w:rsidR="00B00F8F">
        <w:trPr>
          <w:jc w:val="center"/>
        </w:trPr>
        <w:tc>
          <w:tcPr>
            <w:tcW w:w="855" w:type="dxa"/>
            <w:vAlign w:val="center"/>
          </w:tcPr>
          <w:p w:rsidR="00B00F8F" w:rsidRDefault="004B7A56">
            <w:pPr>
              <w:jc w:val="center"/>
            </w:pPr>
            <w:r>
              <w:rPr>
                <w:color w:val="000000"/>
                <w:sz w:val="24"/>
                <w:szCs w:val="24"/>
              </w:rPr>
              <w:t>5</w:t>
            </w:r>
          </w:p>
        </w:tc>
        <w:tc>
          <w:tcPr>
            <w:tcW w:w="1334" w:type="dxa"/>
            <w:vAlign w:val="center"/>
          </w:tcPr>
          <w:p w:rsidR="00B00F8F" w:rsidRDefault="004B7A56">
            <w:pPr>
              <w:jc w:val="center"/>
            </w:pPr>
            <w:r>
              <w:rPr>
                <w:color w:val="000000"/>
                <w:sz w:val="24"/>
                <w:szCs w:val="24"/>
              </w:rPr>
              <w:t>002831</w:t>
            </w:r>
          </w:p>
        </w:tc>
        <w:tc>
          <w:tcPr>
            <w:tcW w:w="1777" w:type="dxa"/>
            <w:vAlign w:val="center"/>
          </w:tcPr>
          <w:p w:rsidR="00B00F8F" w:rsidRDefault="004B7A56">
            <w:pPr>
              <w:jc w:val="center"/>
            </w:pPr>
            <w:r>
              <w:rPr>
                <w:color w:val="000000"/>
                <w:sz w:val="24"/>
                <w:szCs w:val="24"/>
              </w:rPr>
              <w:t>裕同科技</w:t>
            </w:r>
          </w:p>
        </w:tc>
        <w:tc>
          <w:tcPr>
            <w:tcW w:w="1334" w:type="dxa"/>
            <w:vAlign w:val="center"/>
          </w:tcPr>
          <w:p w:rsidR="00B00F8F" w:rsidRDefault="004B7A56">
            <w:pPr>
              <w:jc w:val="right"/>
            </w:pPr>
            <w:r>
              <w:rPr>
                <w:color w:val="000000"/>
                <w:sz w:val="24"/>
                <w:szCs w:val="24"/>
              </w:rPr>
              <w:t>8,778,410</w:t>
            </w:r>
          </w:p>
        </w:tc>
        <w:tc>
          <w:tcPr>
            <w:tcW w:w="1924" w:type="dxa"/>
            <w:vAlign w:val="center"/>
          </w:tcPr>
          <w:p w:rsidR="00B00F8F" w:rsidRDefault="004B7A56">
            <w:pPr>
              <w:jc w:val="right"/>
            </w:pPr>
            <w:r>
              <w:rPr>
                <w:color w:val="000000"/>
                <w:sz w:val="24"/>
                <w:szCs w:val="24"/>
              </w:rPr>
              <w:t>278,714,517.50</w:t>
            </w:r>
          </w:p>
        </w:tc>
        <w:tc>
          <w:tcPr>
            <w:tcW w:w="1644" w:type="dxa"/>
            <w:vAlign w:val="center"/>
          </w:tcPr>
          <w:p w:rsidR="00B00F8F" w:rsidRDefault="004B7A56">
            <w:pPr>
              <w:jc w:val="right"/>
            </w:pPr>
            <w:r>
              <w:rPr>
                <w:color w:val="000000"/>
                <w:sz w:val="24"/>
                <w:szCs w:val="24"/>
              </w:rPr>
              <w:t>4.45</w:t>
            </w:r>
          </w:p>
        </w:tc>
      </w:tr>
      <w:tr w:rsidR="00B00F8F">
        <w:trPr>
          <w:jc w:val="center"/>
        </w:trPr>
        <w:tc>
          <w:tcPr>
            <w:tcW w:w="855" w:type="dxa"/>
            <w:vAlign w:val="center"/>
          </w:tcPr>
          <w:p w:rsidR="00B00F8F" w:rsidRDefault="004B7A56">
            <w:pPr>
              <w:jc w:val="center"/>
            </w:pPr>
            <w:r>
              <w:rPr>
                <w:color w:val="000000"/>
                <w:sz w:val="24"/>
                <w:szCs w:val="24"/>
              </w:rPr>
              <w:t>6</w:t>
            </w:r>
          </w:p>
        </w:tc>
        <w:tc>
          <w:tcPr>
            <w:tcW w:w="1334" w:type="dxa"/>
            <w:vAlign w:val="center"/>
          </w:tcPr>
          <w:p w:rsidR="00B00F8F" w:rsidRDefault="004B7A56">
            <w:pPr>
              <w:jc w:val="center"/>
            </w:pPr>
            <w:r>
              <w:rPr>
                <w:color w:val="000000"/>
                <w:sz w:val="24"/>
                <w:szCs w:val="24"/>
              </w:rPr>
              <w:t>002352</w:t>
            </w:r>
          </w:p>
        </w:tc>
        <w:tc>
          <w:tcPr>
            <w:tcW w:w="1777" w:type="dxa"/>
            <w:vAlign w:val="center"/>
          </w:tcPr>
          <w:p w:rsidR="00B00F8F" w:rsidRDefault="004B7A56">
            <w:pPr>
              <w:jc w:val="center"/>
            </w:pPr>
            <w:r>
              <w:rPr>
                <w:color w:val="000000"/>
                <w:sz w:val="24"/>
                <w:szCs w:val="24"/>
              </w:rPr>
              <w:t>顺丰控股</w:t>
            </w:r>
          </w:p>
        </w:tc>
        <w:tc>
          <w:tcPr>
            <w:tcW w:w="1334" w:type="dxa"/>
            <w:vAlign w:val="center"/>
          </w:tcPr>
          <w:p w:rsidR="00B00F8F" w:rsidRDefault="004B7A56">
            <w:pPr>
              <w:jc w:val="right"/>
            </w:pPr>
            <w:r>
              <w:rPr>
                <w:color w:val="000000"/>
                <w:sz w:val="24"/>
                <w:szCs w:val="24"/>
              </w:rPr>
              <w:t>3,159,261</w:t>
            </w:r>
          </w:p>
        </w:tc>
        <w:tc>
          <w:tcPr>
            <w:tcW w:w="1924" w:type="dxa"/>
            <w:vAlign w:val="center"/>
          </w:tcPr>
          <w:p w:rsidR="00B00F8F" w:rsidRDefault="004B7A56">
            <w:pPr>
              <w:jc w:val="right"/>
            </w:pPr>
            <w:r>
              <w:rPr>
                <w:color w:val="000000"/>
                <w:sz w:val="24"/>
                <w:szCs w:val="24"/>
              </w:rPr>
              <w:t>254,406,993.20</w:t>
            </w:r>
          </w:p>
        </w:tc>
        <w:tc>
          <w:tcPr>
            <w:tcW w:w="1644" w:type="dxa"/>
            <w:vAlign w:val="center"/>
          </w:tcPr>
          <w:p w:rsidR="00B00F8F" w:rsidRDefault="004B7A56">
            <w:pPr>
              <w:jc w:val="right"/>
            </w:pPr>
            <w:r>
              <w:rPr>
                <w:color w:val="000000"/>
                <w:sz w:val="24"/>
                <w:szCs w:val="24"/>
              </w:rPr>
              <w:t>4.07</w:t>
            </w:r>
          </w:p>
        </w:tc>
      </w:tr>
      <w:tr w:rsidR="00B00F8F">
        <w:trPr>
          <w:jc w:val="center"/>
        </w:trPr>
        <w:tc>
          <w:tcPr>
            <w:tcW w:w="855" w:type="dxa"/>
            <w:vAlign w:val="center"/>
          </w:tcPr>
          <w:p w:rsidR="00B00F8F" w:rsidRDefault="004B7A56">
            <w:pPr>
              <w:jc w:val="center"/>
            </w:pPr>
            <w:r>
              <w:rPr>
                <w:color w:val="000000"/>
                <w:sz w:val="24"/>
                <w:szCs w:val="24"/>
              </w:rPr>
              <w:t>7</w:t>
            </w:r>
          </w:p>
        </w:tc>
        <w:tc>
          <w:tcPr>
            <w:tcW w:w="1334" w:type="dxa"/>
            <w:vAlign w:val="center"/>
          </w:tcPr>
          <w:p w:rsidR="00B00F8F" w:rsidRDefault="004B7A56">
            <w:pPr>
              <w:jc w:val="center"/>
            </w:pPr>
            <w:r>
              <w:rPr>
                <w:color w:val="000000"/>
                <w:sz w:val="24"/>
                <w:szCs w:val="24"/>
              </w:rPr>
              <w:t>300271</w:t>
            </w:r>
          </w:p>
        </w:tc>
        <w:tc>
          <w:tcPr>
            <w:tcW w:w="1777" w:type="dxa"/>
            <w:vAlign w:val="center"/>
          </w:tcPr>
          <w:p w:rsidR="00B00F8F" w:rsidRDefault="004B7A56">
            <w:pPr>
              <w:jc w:val="center"/>
            </w:pPr>
            <w:r>
              <w:rPr>
                <w:color w:val="000000"/>
                <w:sz w:val="24"/>
                <w:szCs w:val="24"/>
              </w:rPr>
              <w:t>华宇软件</w:t>
            </w:r>
          </w:p>
        </w:tc>
        <w:tc>
          <w:tcPr>
            <w:tcW w:w="1334" w:type="dxa"/>
            <w:vAlign w:val="center"/>
          </w:tcPr>
          <w:p w:rsidR="00B00F8F" w:rsidRDefault="004B7A56">
            <w:pPr>
              <w:jc w:val="right"/>
            </w:pPr>
            <w:r>
              <w:rPr>
                <w:color w:val="000000"/>
                <w:sz w:val="24"/>
                <w:szCs w:val="24"/>
              </w:rPr>
              <w:t>10,447,859</w:t>
            </w:r>
          </w:p>
        </w:tc>
        <w:tc>
          <w:tcPr>
            <w:tcW w:w="1924" w:type="dxa"/>
            <w:vAlign w:val="center"/>
          </w:tcPr>
          <w:p w:rsidR="00B00F8F" w:rsidRDefault="004B7A56">
            <w:pPr>
              <w:jc w:val="right"/>
            </w:pPr>
            <w:r>
              <w:rPr>
                <w:color w:val="000000"/>
                <w:sz w:val="24"/>
                <w:szCs w:val="24"/>
              </w:rPr>
              <w:t>249,599,351.51</w:t>
            </w:r>
          </w:p>
        </w:tc>
        <w:tc>
          <w:tcPr>
            <w:tcW w:w="1644" w:type="dxa"/>
            <w:vAlign w:val="center"/>
          </w:tcPr>
          <w:p w:rsidR="00B00F8F" w:rsidRDefault="004B7A56">
            <w:pPr>
              <w:jc w:val="right"/>
            </w:pPr>
            <w:r>
              <w:rPr>
                <w:color w:val="000000"/>
                <w:sz w:val="24"/>
                <w:szCs w:val="24"/>
              </w:rPr>
              <w:t>3.99</w:t>
            </w:r>
          </w:p>
        </w:tc>
      </w:tr>
      <w:tr w:rsidR="00B00F8F">
        <w:trPr>
          <w:jc w:val="center"/>
        </w:trPr>
        <w:tc>
          <w:tcPr>
            <w:tcW w:w="855" w:type="dxa"/>
            <w:vAlign w:val="center"/>
          </w:tcPr>
          <w:p w:rsidR="00B00F8F" w:rsidRDefault="004B7A56">
            <w:pPr>
              <w:jc w:val="center"/>
            </w:pPr>
            <w:r>
              <w:rPr>
                <w:color w:val="000000"/>
                <w:sz w:val="24"/>
                <w:szCs w:val="24"/>
              </w:rPr>
              <w:t>8</w:t>
            </w:r>
          </w:p>
        </w:tc>
        <w:tc>
          <w:tcPr>
            <w:tcW w:w="1334" w:type="dxa"/>
            <w:vAlign w:val="center"/>
          </w:tcPr>
          <w:p w:rsidR="00B00F8F" w:rsidRDefault="004B7A56">
            <w:pPr>
              <w:jc w:val="center"/>
            </w:pPr>
            <w:r>
              <w:rPr>
                <w:color w:val="000000"/>
                <w:sz w:val="24"/>
                <w:szCs w:val="24"/>
              </w:rPr>
              <w:t>000961</w:t>
            </w:r>
          </w:p>
        </w:tc>
        <w:tc>
          <w:tcPr>
            <w:tcW w:w="1777" w:type="dxa"/>
            <w:vAlign w:val="center"/>
          </w:tcPr>
          <w:p w:rsidR="00B00F8F" w:rsidRDefault="004B7A56">
            <w:pPr>
              <w:jc w:val="center"/>
            </w:pPr>
            <w:r>
              <w:rPr>
                <w:color w:val="000000"/>
                <w:sz w:val="24"/>
                <w:szCs w:val="24"/>
              </w:rPr>
              <w:t>中南建设</w:t>
            </w:r>
          </w:p>
        </w:tc>
        <w:tc>
          <w:tcPr>
            <w:tcW w:w="1334" w:type="dxa"/>
            <w:vAlign w:val="center"/>
          </w:tcPr>
          <w:p w:rsidR="00B00F8F" w:rsidRDefault="004B7A56">
            <w:pPr>
              <w:jc w:val="right"/>
            </w:pPr>
            <w:r>
              <w:rPr>
                <w:color w:val="000000"/>
                <w:sz w:val="24"/>
                <w:szCs w:val="24"/>
              </w:rPr>
              <w:t>24,648,865</w:t>
            </w:r>
          </w:p>
        </w:tc>
        <w:tc>
          <w:tcPr>
            <w:tcW w:w="1924" w:type="dxa"/>
            <w:vAlign w:val="center"/>
          </w:tcPr>
          <w:p w:rsidR="00B00F8F" w:rsidRDefault="004B7A56">
            <w:pPr>
              <w:jc w:val="right"/>
            </w:pPr>
            <w:r>
              <w:rPr>
                <w:color w:val="000000"/>
                <w:sz w:val="24"/>
                <w:szCs w:val="24"/>
              </w:rPr>
              <w:t>226,030,092.05</w:t>
            </w:r>
          </w:p>
        </w:tc>
        <w:tc>
          <w:tcPr>
            <w:tcW w:w="1644" w:type="dxa"/>
            <w:vAlign w:val="center"/>
          </w:tcPr>
          <w:p w:rsidR="00B00F8F" w:rsidRDefault="004B7A56">
            <w:pPr>
              <w:jc w:val="right"/>
            </w:pPr>
            <w:r>
              <w:rPr>
                <w:color w:val="000000"/>
                <w:sz w:val="24"/>
                <w:szCs w:val="24"/>
              </w:rPr>
              <w:t>3.61</w:t>
            </w:r>
          </w:p>
        </w:tc>
      </w:tr>
      <w:tr w:rsidR="00B00F8F">
        <w:trPr>
          <w:jc w:val="center"/>
        </w:trPr>
        <w:tc>
          <w:tcPr>
            <w:tcW w:w="855" w:type="dxa"/>
            <w:vAlign w:val="center"/>
          </w:tcPr>
          <w:p w:rsidR="00B00F8F" w:rsidRDefault="004B7A56">
            <w:pPr>
              <w:jc w:val="center"/>
            </w:pPr>
            <w:r>
              <w:rPr>
                <w:color w:val="000000"/>
                <w:sz w:val="24"/>
                <w:szCs w:val="24"/>
              </w:rPr>
              <w:t>9</w:t>
            </w:r>
          </w:p>
        </w:tc>
        <w:tc>
          <w:tcPr>
            <w:tcW w:w="1334" w:type="dxa"/>
            <w:vAlign w:val="center"/>
          </w:tcPr>
          <w:p w:rsidR="00B00F8F" w:rsidRDefault="004B7A56">
            <w:pPr>
              <w:jc w:val="center"/>
            </w:pPr>
            <w:r>
              <w:rPr>
                <w:color w:val="000000"/>
                <w:sz w:val="24"/>
                <w:szCs w:val="24"/>
              </w:rPr>
              <w:t>600383</w:t>
            </w:r>
          </w:p>
        </w:tc>
        <w:tc>
          <w:tcPr>
            <w:tcW w:w="1777" w:type="dxa"/>
            <w:vAlign w:val="center"/>
          </w:tcPr>
          <w:p w:rsidR="00B00F8F" w:rsidRDefault="004B7A56">
            <w:pPr>
              <w:jc w:val="center"/>
            </w:pPr>
            <w:r>
              <w:rPr>
                <w:color w:val="000000"/>
                <w:sz w:val="24"/>
                <w:szCs w:val="24"/>
              </w:rPr>
              <w:t>金地集团</w:t>
            </w:r>
          </w:p>
        </w:tc>
        <w:tc>
          <w:tcPr>
            <w:tcW w:w="1334" w:type="dxa"/>
            <w:vAlign w:val="center"/>
          </w:tcPr>
          <w:p w:rsidR="00B00F8F" w:rsidRDefault="004B7A56">
            <w:pPr>
              <w:jc w:val="right"/>
            </w:pPr>
            <w:r>
              <w:rPr>
                <w:color w:val="000000"/>
                <w:sz w:val="24"/>
                <w:szCs w:val="24"/>
              </w:rPr>
              <w:t>14,501,748</w:t>
            </w:r>
          </w:p>
        </w:tc>
        <w:tc>
          <w:tcPr>
            <w:tcW w:w="1924" w:type="dxa"/>
            <w:vAlign w:val="center"/>
          </w:tcPr>
          <w:p w:rsidR="00B00F8F" w:rsidRDefault="004B7A56">
            <w:pPr>
              <w:jc w:val="right"/>
            </w:pPr>
            <w:r>
              <w:rPr>
                <w:color w:val="000000"/>
                <w:sz w:val="24"/>
                <w:szCs w:val="24"/>
              </w:rPr>
              <w:t>211,000,433.40</w:t>
            </w:r>
          </w:p>
        </w:tc>
        <w:tc>
          <w:tcPr>
            <w:tcW w:w="1644" w:type="dxa"/>
            <w:vAlign w:val="center"/>
          </w:tcPr>
          <w:p w:rsidR="00B00F8F" w:rsidRDefault="004B7A56">
            <w:pPr>
              <w:jc w:val="right"/>
            </w:pPr>
            <w:r>
              <w:rPr>
                <w:color w:val="000000"/>
                <w:sz w:val="24"/>
                <w:szCs w:val="24"/>
              </w:rPr>
              <w:t>3.37</w:t>
            </w:r>
          </w:p>
        </w:tc>
      </w:tr>
      <w:tr w:rsidR="00B00F8F">
        <w:trPr>
          <w:jc w:val="center"/>
        </w:trPr>
        <w:tc>
          <w:tcPr>
            <w:tcW w:w="855" w:type="dxa"/>
            <w:vAlign w:val="center"/>
          </w:tcPr>
          <w:p w:rsidR="00B00F8F" w:rsidRDefault="004B7A56">
            <w:pPr>
              <w:jc w:val="center"/>
            </w:pPr>
            <w:r>
              <w:rPr>
                <w:color w:val="000000"/>
                <w:sz w:val="24"/>
                <w:szCs w:val="24"/>
              </w:rPr>
              <w:t>10</w:t>
            </w:r>
          </w:p>
        </w:tc>
        <w:tc>
          <w:tcPr>
            <w:tcW w:w="1334" w:type="dxa"/>
            <w:vAlign w:val="center"/>
          </w:tcPr>
          <w:p w:rsidR="00B00F8F" w:rsidRDefault="004B7A56">
            <w:pPr>
              <w:jc w:val="center"/>
            </w:pPr>
            <w:r>
              <w:rPr>
                <w:color w:val="000000"/>
                <w:sz w:val="24"/>
                <w:szCs w:val="24"/>
              </w:rPr>
              <w:t>300188</w:t>
            </w:r>
          </w:p>
        </w:tc>
        <w:tc>
          <w:tcPr>
            <w:tcW w:w="1777" w:type="dxa"/>
            <w:vAlign w:val="center"/>
          </w:tcPr>
          <w:p w:rsidR="00B00F8F" w:rsidRDefault="004B7A56">
            <w:pPr>
              <w:jc w:val="center"/>
            </w:pPr>
            <w:r>
              <w:rPr>
                <w:color w:val="000000"/>
                <w:sz w:val="24"/>
                <w:szCs w:val="24"/>
              </w:rPr>
              <w:t>美亚柏科</w:t>
            </w:r>
          </w:p>
        </w:tc>
        <w:tc>
          <w:tcPr>
            <w:tcW w:w="1334" w:type="dxa"/>
            <w:vAlign w:val="center"/>
          </w:tcPr>
          <w:p w:rsidR="00B00F8F" w:rsidRDefault="004B7A56">
            <w:pPr>
              <w:jc w:val="right"/>
            </w:pPr>
            <w:r>
              <w:rPr>
                <w:color w:val="000000"/>
                <w:sz w:val="24"/>
                <w:szCs w:val="24"/>
              </w:rPr>
              <w:t>9,972,293</w:t>
            </w:r>
          </w:p>
        </w:tc>
        <w:tc>
          <w:tcPr>
            <w:tcW w:w="1924" w:type="dxa"/>
            <w:vAlign w:val="center"/>
          </w:tcPr>
          <w:p w:rsidR="00B00F8F" w:rsidRDefault="004B7A56">
            <w:pPr>
              <w:jc w:val="right"/>
            </w:pPr>
            <w:r>
              <w:rPr>
                <w:color w:val="000000"/>
                <w:sz w:val="24"/>
                <w:szCs w:val="24"/>
              </w:rPr>
              <w:t>198,348,907.77</w:t>
            </w:r>
          </w:p>
        </w:tc>
        <w:tc>
          <w:tcPr>
            <w:tcW w:w="1644" w:type="dxa"/>
            <w:vAlign w:val="center"/>
          </w:tcPr>
          <w:p w:rsidR="00B00F8F" w:rsidRDefault="004B7A56">
            <w:pPr>
              <w:jc w:val="right"/>
            </w:pPr>
            <w:r>
              <w:rPr>
                <w:color w:val="000000"/>
                <w:sz w:val="24"/>
                <w:szCs w:val="24"/>
              </w:rPr>
              <w:t>3.17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298,523,000.00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4.77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298,523,000.00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4.77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298,523,000.00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4.77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B00F8F">
        <w:trPr>
          <w:jc w:val="center"/>
        </w:trPr>
        <w:tc>
          <w:tcPr>
            <w:tcW w:w="850" w:type="dxa"/>
            <w:vAlign w:val="center"/>
          </w:tcPr>
          <w:p w:rsidR="00B00F8F" w:rsidRDefault="004B7A56">
            <w:pPr>
              <w:jc w:val="center"/>
            </w:pPr>
            <w:r>
              <w:rPr>
                <w:color w:val="000000"/>
                <w:sz w:val="24"/>
                <w:szCs w:val="24"/>
              </w:rPr>
              <w:t>1</w:t>
            </w:r>
          </w:p>
        </w:tc>
        <w:tc>
          <w:tcPr>
            <w:tcW w:w="1475" w:type="dxa"/>
            <w:vAlign w:val="center"/>
          </w:tcPr>
          <w:p w:rsidR="00B00F8F" w:rsidRDefault="004B7A56">
            <w:pPr>
              <w:jc w:val="center"/>
            </w:pPr>
            <w:r>
              <w:rPr>
                <w:color w:val="000000"/>
                <w:sz w:val="24"/>
                <w:szCs w:val="24"/>
              </w:rPr>
              <w:t>207703</w:t>
            </w:r>
          </w:p>
        </w:tc>
        <w:tc>
          <w:tcPr>
            <w:tcW w:w="1769" w:type="dxa"/>
            <w:vAlign w:val="center"/>
          </w:tcPr>
          <w:p w:rsidR="00B00F8F" w:rsidRDefault="004B7A56">
            <w:pPr>
              <w:jc w:val="center"/>
            </w:pPr>
            <w:r>
              <w:rPr>
                <w:color w:val="000000"/>
                <w:sz w:val="24"/>
                <w:szCs w:val="24"/>
              </w:rPr>
              <w:t>20</w:t>
            </w:r>
            <w:r>
              <w:rPr>
                <w:color w:val="000000"/>
                <w:sz w:val="24"/>
                <w:szCs w:val="24"/>
              </w:rPr>
              <w:t>贴现国开</w:t>
            </w:r>
            <w:r>
              <w:rPr>
                <w:color w:val="000000"/>
                <w:sz w:val="24"/>
                <w:szCs w:val="24"/>
              </w:rPr>
              <w:t>03</w:t>
            </w:r>
          </w:p>
        </w:tc>
        <w:tc>
          <w:tcPr>
            <w:tcW w:w="1387" w:type="dxa"/>
            <w:vAlign w:val="center"/>
          </w:tcPr>
          <w:p w:rsidR="00B00F8F" w:rsidRDefault="004B7A56">
            <w:pPr>
              <w:jc w:val="right"/>
            </w:pPr>
            <w:r>
              <w:rPr>
                <w:color w:val="000000"/>
                <w:sz w:val="24"/>
                <w:szCs w:val="24"/>
              </w:rPr>
              <w:t>700,000</w:t>
            </w:r>
          </w:p>
        </w:tc>
        <w:tc>
          <w:tcPr>
            <w:tcW w:w="2150" w:type="dxa"/>
            <w:vAlign w:val="center"/>
          </w:tcPr>
          <w:p w:rsidR="00B00F8F" w:rsidRDefault="004B7A56">
            <w:pPr>
              <w:jc w:val="right"/>
            </w:pPr>
            <w:r>
              <w:rPr>
                <w:color w:val="000000"/>
                <w:sz w:val="24"/>
                <w:szCs w:val="24"/>
              </w:rPr>
              <w:t>69,615,000.00</w:t>
            </w:r>
          </w:p>
        </w:tc>
        <w:tc>
          <w:tcPr>
            <w:tcW w:w="1237" w:type="dxa"/>
            <w:vAlign w:val="center"/>
          </w:tcPr>
          <w:p w:rsidR="00B00F8F" w:rsidRDefault="004B7A56">
            <w:pPr>
              <w:jc w:val="right"/>
            </w:pPr>
            <w:r>
              <w:rPr>
                <w:color w:val="000000"/>
                <w:sz w:val="24"/>
                <w:szCs w:val="24"/>
              </w:rPr>
              <w:t>1.11</w:t>
            </w:r>
          </w:p>
        </w:tc>
      </w:tr>
      <w:tr w:rsidR="00B00F8F">
        <w:trPr>
          <w:jc w:val="center"/>
        </w:trPr>
        <w:tc>
          <w:tcPr>
            <w:tcW w:w="850" w:type="dxa"/>
            <w:vAlign w:val="center"/>
          </w:tcPr>
          <w:p w:rsidR="00B00F8F" w:rsidRDefault="004B7A56">
            <w:pPr>
              <w:jc w:val="center"/>
            </w:pPr>
            <w:r>
              <w:rPr>
                <w:color w:val="000000"/>
                <w:sz w:val="24"/>
                <w:szCs w:val="24"/>
              </w:rPr>
              <w:t>2</w:t>
            </w:r>
          </w:p>
        </w:tc>
        <w:tc>
          <w:tcPr>
            <w:tcW w:w="1475" w:type="dxa"/>
            <w:vAlign w:val="center"/>
          </w:tcPr>
          <w:p w:rsidR="00B00F8F" w:rsidRDefault="004B7A56">
            <w:pPr>
              <w:jc w:val="center"/>
            </w:pPr>
            <w:r>
              <w:rPr>
                <w:color w:val="000000"/>
                <w:sz w:val="24"/>
                <w:szCs w:val="24"/>
              </w:rPr>
              <w:t>200211</w:t>
            </w:r>
          </w:p>
        </w:tc>
        <w:tc>
          <w:tcPr>
            <w:tcW w:w="1769" w:type="dxa"/>
            <w:vAlign w:val="center"/>
          </w:tcPr>
          <w:p w:rsidR="00B00F8F" w:rsidRDefault="004B7A56">
            <w:pPr>
              <w:jc w:val="center"/>
            </w:pPr>
            <w:r>
              <w:rPr>
                <w:color w:val="000000"/>
                <w:sz w:val="24"/>
                <w:szCs w:val="24"/>
              </w:rPr>
              <w:t>20</w:t>
            </w:r>
            <w:r>
              <w:rPr>
                <w:color w:val="000000"/>
                <w:sz w:val="24"/>
                <w:szCs w:val="24"/>
              </w:rPr>
              <w:t>国开</w:t>
            </w:r>
            <w:r>
              <w:rPr>
                <w:color w:val="000000"/>
                <w:sz w:val="24"/>
                <w:szCs w:val="24"/>
              </w:rPr>
              <w:t>11</w:t>
            </w:r>
          </w:p>
        </w:tc>
        <w:tc>
          <w:tcPr>
            <w:tcW w:w="1387" w:type="dxa"/>
            <w:vAlign w:val="center"/>
          </w:tcPr>
          <w:p w:rsidR="00B00F8F" w:rsidRDefault="004B7A56">
            <w:pPr>
              <w:jc w:val="right"/>
            </w:pPr>
            <w:r>
              <w:rPr>
                <w:color w:val="000000"/>
                <w:sz w:val="24"/>
                <w:szCs w:val="24"/>
              </w:rPr>
              <w:t>700,000</w:t>
            </w:r>
          </w:p>
        </w:tc>
        <w:tc>
          <w:tcPr>
            <w:tcW w:w="2150" w:type="dxa"/>
            <w:vAlign w:val="center"/>
          </w:tcPr>
          <w:p w:rsidR="00B00F8F" w:rsidRDefault="004B7A56">
            <w:pPr>
              <w:jc w:val="right"/>
            </w:pPr>
            <w:r>
              <w:rPr>
                <w:color w:val="000000"/>
                <w:sz w:val="24"/>
                <w:szCs w:val="24"/>
              </w:rPr>
              <w:t>69,349,000.00</w:t>
            </w:r>
          </w:p>
        </w:tc>
        <w:tc>
          <w:tcPr>
            <w:tcW w:w="1237" w:type="dxa"/>
            <w:vAlign w:val="center"/>
          </w:tcPr>
          <w:p w:rsidR="00B00F8F" w:rsidRDefault="004B7A56">
            <w:pPr>
              <w:jc w:val="right"/>
            </w:pPr>
            <w:r>
              <w:rPr>
                <w:color w:val="000000"/>
                <w:sz w:val="24"/>
                <w:szCs w:val="24"/>
              </w:rPr>
              <w:t>1.11</w:t>
            </w:r>
          </w:p>
        </w:tc>
      </w:tr>
      <w:tr w:rsidR="00B00F8F">
        <w:trPr>
          <w:jc w:val="center"/>
        </w:trPr>
        <w:tc>
          <w:tcPr>
            <w:tcW w:w="850" w:type="dxa"/>
            <w:vAlign w:val="center"/>
          </w:tcPr>
          <w:p w:rsidR="00B00F8F" w:rsidRDefault="004B7A56">
            <w:pPr>
              <w:jc w:val="center"/>
            </w:pPr>
            <w:r>
              <w:rPr>
                <w:color w:val="000000"/>
                <w:sz w:val="24"/>
                <w:szCs w:val="24"/>
              </w:rPr>
              <w:t>3</w:t>
            </w:r>
          </w:p>
        </w:tc>
        <w:tc>
          <w:tcPr>
            <w:tcW w:w="1475" w:type="dxa"/>
            <w:vAlign w:val="center"/>
          </w:tcPr>
          <w:p w:rsidR="00B00F8F" w:rsidRDefault="004B7A56">
            <w:pPr>
              <w:jc w:val="center"/>
            </w:pPr>
            <w:r>
              <w:rPr>
                <w:color w:val="000000"/>
                <w:sz w:val="24"/>
                <w:szCs w:val="24"/>
              </w:rPr>
              <w:t>200406</w:t>
            </w:r>
          </w:p>
        </w:tc>
        <w:tc>
          <w:tcPr>
            <w:tcW w:w="1769" w:type="dxa"/>
            <w:vAlign w:val="center"/>
          </w:tcPr>
          <w:p w:rsidR="00B00F8F" w:rsidRDefault="004B7A56">
            <w:pPr>
              <w:jc w:val="center"/>
            </w:pPr>
            <w:r>
              <w:rPr>
                <w:color w:val="000000"/>
                <w:sz w:val="24"/>
                <w:szCs w:val="24"/>
              </w:rPr>
              <w:t>20</w:t>
            </w:r>
            <w:r>
              <w:rPr>
                <w:color w:val="000000"/>
                <w:sz w:val="24"/>
                <w:szCs w:val="24"/>
              </w:rPr>
              <w:t>农发</w:t>
            </w:r>
            <w:r>
              <w:rPr>
                <w:color w:val="000000"/>
                <w:sz w:val="24"/>
                <w:szCs w:val="24"/>
              </w:rPr>
              <w:t>06</w:t>
            </w:r>
          </w:p>
        </w:tc>
        <w:tc>
          <w:tcPr>
            <w:tcW w:w="1387" w:type="dxa"/>
            <w:vAlign w:val="center"/>
          </w:tcPr>
          <w:p w:rsidR="00B00F8F" w:rsidRDefault="004B7A56">
            <w:pPr>
              <w:jc w:val="right"/>
            </w:pPr>
            <w:r>
              <w:rPr>
                <w:color w:val="000000"/>
                <w:sz w:val="24"/>
                <w:szCs w:val="24"/>
              </w:rPr>
              <w:t>600,000</w:t>
            </w:r>
          </w:p>
        </w:tc>
        <w:tc>
          <w:tcPr>
            <w:tcW w:w="2150" w:type="dxa"/>
            <w:vAlign w:val="center"/>
          </w:tcPr>
          <w:p w:rsidR="00B00F8F" w:rsidRDefault="004B7A56">
            <w:pPr>
              <w:jc w:val="right"/>
            </w:pPr>
            <w:r>
              <w:rPr>
                <w:color w:val="000000"/>
                <w:sz w:val="24"/>
                <w:szCs w:val="24"/>
              </w:rPr>
              <w:t>59,682,000.00</w:t>
            </w:r>
          </w:p>
        </w:tc>
        <w:tc>
          <w:tcPr>
            <w:tcW w:w="1237" w:type="dxa"/>
            <w:vAlign w:val="center"/>
          </w:tcPr>
          <w:p w:rsidR="00B00F8F" w:rsidRDefault="004B7A56">
            <w:pPr>
              <w:jc w:val="right"/>
            </w:pPr>
            <w:r>
              <w:rPr>
                <w:color w:val="000000"/>
                <w:sz w:val="24"/>
                <w:szCs w:val="24"/>
              </w:rPr>
              <w:t>0.95</w:t>
            </w:r>
          </w:p>
        </w:tc>
      </w:tr>
      <w:tr w:rsidR="00B00F8F">
        <w:trPr>
          <w:jc w:val="center"/>
        </w:trPr>
        <w:tc>
          <w:tcPr>
            <w:tcW w:w="850" w:type="dxa"/>
            <w:vAlign w:val="center"/>
          </w:tcPr>
          <w:p w:rsidR="00B00F8F" w:rsidRDefault="004B7A56">
            <w:pPr>
              <w:jc w:val="center"/>
            </w:pPr>
            <w:r>
              <w:rPr>
                <w:color w:val="000000"/>
                <w:sz w:val="24"/>
                <w:szCs w:val="24"/>
              </w:rPr>
              <w:t>4</w:t>
            </w:r>
          </w:p>
        </w:tc>
        <w:tc>
          <w:tcPr>
            <w:tcW w:w="1475" w:type="dxa"/>
            <w:vAlign w:val="center"/>
          </w:tcPr>
          <w:p w:rsidR="00B00F8F" w:rsidRDefault="004B7A56">
            <w:pPr>
              <w:jc w:val="center"/>
            </w:pPr>
            <w:r>
              <w:rPr>
                <w:color w:val="000000"/>
                <w:sz w:val="24"/>
                <w:szCs w:val="24"/>
              </w:rPr>
              <w:t>190307</w:t>
            </w:r>
          </w:p>
        </w:tc>
        <w:tc>
          <w:tcPr>
            <w:tcW w:w="1769" w:type="dxa"/>
            <w:vAlign w:val="center"/>
          </w:tcPr>
          <w:p w:rsidR="00B00F8F" w:rsidRDefault="004B7A56">
            <w:pPr>
              <w:jc w:val="center"/>
            </w:pPr>
            <w:r>
              <w:rPr>
                <w:color w:val="000000"/>
                <w:sz w:val="24"/>
                <w:szCs w:val="24"/>
              </w:rPr>
              <w:t>19</w:t>
            </w:r>
            <w:r>
              <w:rPr>
                <w:color w:val="000000"/>
                <w:sz w:val="24"/>
                <w:szCs w:val="24"/>
              </w:rPr>
              <w:t>进出</w:t>
            </w:r>
            <w:r>
              <w:rPr>
                <w:color w:val="000000"/>
                <w:sz w:val="24"/>
                <w:szCs w:val="24"/>
              </w:rPr>
              <w:t>07</w:t>
            </w:r>
          </w:p>
        </w:tc>
        <w:tc>
          <w:tcPr>
            <w:tcW w:w="1387" w:type="dxa"/>
            <w:vAlign w:val="center"/>
          </w:tcPr>
          <w:p w:rsidR="00B00F8F" w:rsidRDefault="004B7A56">
            <w:pPr>
              <w:jc w:val="right"/>
            </w:pPr>
            <w:r>
              <w:rPr>
                <w:color w:val="000000"/>
                <w:sz w:val="24"/>
                <w:szCs w:val="24"/>
              </w:rPr>
              <w:t>500,000</w:t>
            </w:r>
          </w:p>
        </w:tc>
        <w:tc>
          <w:tcPr>
            <w:tcW w:w="2150" w:type="dxa"/>
            <w:vAlign w:val="center"/>
          </w:tcPr>
          <w:p w:rsidR="00B00F8F" w:rsidRDefault="004B7A56">
            <w:pPr>
              <w:jc w:val="right"/>
            </w:pPr>
            <w:r>
              <w:rPr>
                <w:color w:val="000000"/>
                <w:sz w:val="24"/>
                <w:szCs w:val="24"/>
              </w:rPr>
              <w:t>50,015,000.00</w:t>
            </w:r>
          </w:p>
        </w:tc>
        <w:tc>
          <w:tcPr>
            <w:tcW w:w="1237" w:type="dxa"/>
            <w:vAlign w:val="center"/>
          </w:tcPr>
          <w:p w:rsidR="00B00F8F" w:rsidRDefault="004B7A56">
            <w:pPr>
              <w:jc w:val="right"/>
            </w:pPr>
            <w:r>
              <w:rPr>
                <w:color w:val="000000"/>
                <w:sz w:val="24"/>
                <w:szCs w:val="24"/>
              </w:rPr>
              <w:t>0.80</w:t>
            </w:r>
          </w:p>
        </w:tc>
      </w:tr>
      <w:tr w:rsidR="00B00F8F">
        <w:trPr>
          <w:jc w:val="center"/>
        </w:trPr>
        <w:tc>
          <w:tcPr>
            <w:tcW w:w="850" w:type="dxa"/>
            <w:vAlign w:val="center"/>
          </w:tcPr>
          <w:p w:rsidR="00B00F8F" w:rsidRDefault="004B7A56">
            <w:pPr>
              <w:jc w:val="center"/>
            </w:pPr>
            <w:r>
              <w:rPr>
                <w:color w:val="000000"/>
                <w:sz w:val="24"/>
                <w:szCs w:val="24"/>
              </w:rPr>
              <w:t>5</w:t>
            </w:r>
          </w:p>
        </w:tc>
        <w:tc>
          <w:tcPr>
            <w:tcW w:w="1475" w:type="dxa"/>
            <w:vAlign w:val="center"/>
          </w:tcPr>
          <w:p w:rsidR="00B00F8F" w:rsidRDefault="004B7A56">
            <w:pPr>
              <w:jc w:val="center"/>
            </w:pPr>
            <w:r>
              <w:rPr>
                <w:color w:val="000000"/>
                <w:sz w:val="24"/>
                <w:szCs w:val="24"/>
              </w:rPr>
              <w:t>200201</w:t>
            </w:r>
          </w:p>
        </w:tc>
        <w:tc>
          <w:tcPr>
            <w:tcW w:w="1769" w:type="dxa"/>
            <w:vAlign w:val="center"/>
          </w:tcPr>
          <w:p w:rsidR="00B00F8F" w:rsidRDefault="004B7A56">
            <w:pPr>
              <w:jc w:val="center"/>
            </w:pPr>
            <w:r>
              <w:rPr>
                <w:color w:val="000000"/>
                <w:sz w:val="24"/>
                <w:szCs w:val="24"/>
              </w:rPr>
              <w:t>20</w:t>
            </w:r>
            <w:r>
              <w:rPr>
                <w:color w:val="000000"/>
                <w:sz w:val="24"/>
                <w:szCs w:val="24"/>
              </w:rPr>
              <w:t>国开</w:t>
            </w:r>
            <w:r>
              <w:rPr>
                <w:color w:val="000000"/>
                <w:sz w:val="24"/>
                <w:szCs w:val="24"/>
              </w:rPr>
              <w:t>01</w:t>
            </w:r>
          </w:p>
        </w:tc>
        <w:tc>
          <w:tcPr>
            <w:tcW w:w="1387" w:type="dxa"/>
            <w:vAlign w:val="center"/>
          </w:tcPr>
          <w:p w:rsidR="00B00F8F" w:rsidRDefault="004B7A56">
            <w:pPr>
              <w:jc w:val="right"/>
            </w:pPr>
            <w:r>
              <w:rPr>
                <w:color w:val="000000"/>
                <w:sz w:val="24"/>
                <w:szCs w:val="24"/>
              </w:rPr>
              <w:t>300,000</w:t>
            </w:r>
          </w:p>
        </w:tc>
        <w:tc>
          <w:tcPr>
            <w:tcW w:w="2150" w:type="dxa"/>
            <w:vAlign w:val="center"/>
          </w:tcPr>
          <w:p w:rsidR="00B00F8F" w:rsidRDefault="004B7A56">
            <w:pPr>
              <w:jc w:val="right"/>
            </w:pPr>
            <w:r>
              <w:rPr>
                <w:color w:val="000000"/>
                <w:sz w:val="24"/>
                <w:szCs w:val="24"/>
              </w:rPr>
              <w:t>29,982,000.00</w:t>
            </w:r>
          </w:p>
        </w:tc>
        <w:tc>
          <w:tcPr>
            <w:tcW w:w="1237" w:type="dxa"/>
            <w:vAlign w:val="center"/>
          </w:tcPr>
          <w:p w:rsidR="00B00F8F" w:rsidRDefault="004B7A56">
            <w:pPr>
              <w:jc w:val="right"/>
            </w:pPr>
            <w:r>
              <w:rPr>
                <w:color w:val="000000"/>
                <w:sz w:val="24"/>
                <w:szCs w:val="24"/>
              </w:rPr>
              <w:t>0.48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594BC7" w:rsidRDefault="00594BC7" w:rsidP="00C15CAC">
      <w:pPr>
        <w:autoSpaceDE w:val="0"/>
        <w:autoSpaceDN w:val="0"/>
        <w:adjustRightInd w:val="0"/>
        <w:spacing w:before="29" w:line="288" w:lineRule="auto"/>
        <w:jc w:val="left"/>
        <w:rPr>
          <w:b/>
          <w:bCs/>
          <w:color w:val="000000"/>
          <w:kern w:val="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1,011,525.79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32,156,683.01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2,832,384.18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13,764,362.40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280.00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49,765,235.38</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594BC7" w:rsidRPr="00414345" w:rsidRDefault="00594BC7"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B00F8F">
        <w:trPr>
          <w:jc w:val="center"/>
        </w:trPr>
        <w:tc>
          <w:tcPr>
            <w:tcW w:w="1129" w:type="dxa"/>
            <w:vAlign w:val="center"/>
          </w:tcPr>
          <w:p w:rsidR="00B00F8F" w:rsidRDefault="004B7A56">
            <w:pPr>
              <w:jc w:val="center"/>
            </w:pPr>
            <w:r>
              <w:rPr>
                <w:color w:val="000000"/>
                <w:sz w:val="24"/>
                <w:szCs w:val="24"/>
              </w:rPr>
              <w:t>1</w:t>
            </w:r>
          </w:p>
        </w:tc>
        <w:tc>
          <w:tcPr>
            <w:tcW w:w="1356" w:type="dxa"/>
            <w:vAlign w:val="center"/>
          </w:tcPr>
          <w:p w:rsidR="00B00F8F" w:rsidRDefault="004B7A56">
            <w:pPr>
              <w:jc w:val="center"/>
            </w:pPr>
            <w:r>
              <w:rPr>
                <w:color w:val="000000"/>
                <w:sz w:val="24"/>
                <w:szCs w:val="24"/>
              </w:rPr>
              <w:t>002352</w:t>
            </w:r>
          </w:p>
        </w:tc>
        <w:tc>
          <w:tcPr>
            <w:tcW w:w="1355" w:type="dxa"/>
            <w:vAlign w:val="center"/>
          </w:tcPr>
          <w:p w:rsidR="00B00F8F" w:rsidRDefault="004B7A56">
            <w:pPr>
              <w:jc w:val="center"/>
            </w:pPr>
            <w:r>
              <w:rPr>
                <w:color w:val="000000"/>
                <w:sz w:val="24"/>
                <w:szCs w:val="24"/>
              </w:rPr>
              <w:t>顺丰控股</w:t>
            </w:r>
          </w:p>
        </w:tc>
        <w:tc>
          <w:tcPr>
            <w:tcW w:w="1880" w:type="dxa"/>
            <w:vAlign w:val="center"/>
          </w:tcPr>
          <w:p w:rsidR="00B00F8F" w:rsidRDefault="004B7A56">
            <w:pPr>
              <w:jc w:val="right"/>
            </w:pPr>
            <w:r>
              <w:rPr>
                <w:color w:val="000000"/>
                <w:sz w:val="24"/>
                <w:szCs w:val="24"/>
              </w:rPr>
              <w:t>38,475,000.00</w:t>
            </w:r>
          </w:p>
        </w:tc>
        <w:tc>
          <w:tcPr>
            <w:tcW w:w="1724" w:type="dxa"/>
            <w:vAlign w:val="center"/>
          </w:tcPr>
          <w:p w:rsidR="00B00F8F" w:rsidRDefault="004B7A56">
            <w:pPr>
              <w:jc w:val="right"/>
            </w:pPr>
            <w:r>
              <w:rPr>
                <w:color w:val="000000"/>
                <w:sz w:val="24"/>
                <w:szCs w:val="24"/>
              </w:rPr>
              <w:t>0.61</w:t>
            </w:r>
          </w:p>
        </w:tc>
        <w:tc>
          <w:tcPr>
            <w:tcW w:w="1424" w:type="dxa"/>
            <w:vAlign w:val="center"/>
          </w:tcPr>
          <w:p w:rsidR="00B00F8F" w:rsidRDefault="004B7A56">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1,183,704,944.65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504,624,557.73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454,127,756.69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1,234,201,745.69</w:t>
            </w:r>
          </w:p>
        </w:tc>
      </w:tr>
    </w:tbl>
    <w:p w:rsidR="00B00F8F" w:rsidRDefault="004B7A56">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594BC7">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B00F8F" w:rsidRDefault="004B7A56">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、中国证监会批准交银施罗德保本混合型证券投资基金募集的文件；</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2</w:t>
      </w:r>
      <w:r>
        <w:rPr>
          <w:color w:val="000000"/>
          <w:sz w:val="24"/>
          <w:szCs w:val="24"/>
        </w:rPr>
        <w:t>、《交银施罗德优势行业灵活配置混合型证券投资基金基金合同》；</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3</w:t>
      </w:r>
      <w:r>
        <w:rPr>
          <w:color w:val="000000"/>
          <w:sz w:val="24"/>
          <w:szCs w:val="24"/>
        </w:rPr>
        <w:t>、《交银施罗德优势行业灵活配置混合型证券投资基金招募说明书》；</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4</w:t>
      </w:r>
      <w:r>
        <w:rPr>
          <w:color w:val="000000"/>
          <w:sz w:val="24"/>
          <w:szCs w:val="24"/>
        </w:rPr>
        <w:t>、《交银施罗德优势行业灵活配置混合型证券投资基金托管协议》；</w:t>
      </w:r>
    </w:p>
    <w:p w:rsidR="00B00F8F" w:rsidRDefault="004B7A56">
      <w:pPr>
        <w:spacing w:before="29" w:line="288" w:lineRule="auto"/>
        <w:ind w:firstLineChars="200" w:firstLine="480"/>
        <w:rPr>
          <w:color w:val="000000"/>
          <w:sz w:val="24"/>
          <w:szCs w:val="24"/>
        </w:rPr>
      </w:pPr>
      <w:r>
        <w:rPr>
          <w:color w:val="000000"/>
          <w:sz w:val="24"/>
          <w:szCs w:val="24"/>
        </w:rPr>
        <w:t>5</w:t>
      </w:r>
      <w:r>
        <w:rPr>
          <w:color w:val="000000"/>
          <w:sz w:val="24"/>
          <w:szCs w:val="24"/>
        </w:rPr>
        <w:t>、《交银施罗德保本混合型证券投资基金基金合同》；</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t>6</w:t>
      </w:r>
      <w:r>
        <w:rPr>
          <w:color w:val="000000"/>
          <w:sz w:val="24"/>
          <w:szCs w:val="24"/>
        </w:rPr>
        <w:t>、《交银施罗德保本混合型证券投资基金招募说明书》；</w:t>
      </w:r>
      <w:r>
        <w:rPr>
          <w:color w:val="000000"/>
          <w:sz w:val="24"/>
          <w:szCs w:val="24"/>
        </w:rPr>
        <w:t xml:space="preserve"> </w:t>
      </w:r>
    </w:p>
    <w:p w:rsidR="00B00F8F" w:rsidRDefault="004B7A56">
      <w:pPr>
        <w:spacing w:before="29" w:line="288" w:lineRule="auto"/>
        <w:ind w:firstLineChars="200" w:firstLine="480"/>
        <w:rPr>
          <w:color w:val="000000"/>
          <w:sz w:val="24"/>
          <w:szCs w:val="24"/>
        </w:rPr>
      </w:pPr>
      <w:r>
        <w:rPr>
          <w:color w:val="000000"/>
          <w:sz w:val="24"/>
          <w:szCs w:val="24"/>
        </w:rPr>
        <w:lastRenderedPageBreak/>
        <w:t>7</w:t>
      </w:r>
      <w:r>
        <w:rPr>
          <w:color w:val="000000"/>
          <w:sz w:val="24"/>
          <w:szCs w:val="24"/>
        </w:rPr>
        <w:t>、《交银施罗德保本混合型证券投资基金托管协议》；</w:t>
      </w:r>
    </w:p>
    <w:p w:rsidR="00B00F8F" w:rsidRDefault="004B7A56">
      <w:pPr>
        <w:spacing w:before="29" w:line="288" w:lineRule="auto"/>
        <w:ind w:firstLineChars="200" w:firstLine="480"/>
        <w:rPr>
          <w:color w:val="000000"/>
          <w:sz w:val="24"/>
          <w:szCs w:val="24"/>
        </w:rPr>
      </w:pPr>
      <w:r>
        <w:rPr>
          <w:color w:val="000000"/>
          <w:sz w:val="24"/>
          <w:szCs w:val="24"/>
        </w:rPr>
        <w:t>8</w:t>
      </w:r>
      <w:r>
        <w:rPr>
          <w:color w:val="000000"/>
          <w:sz w:val="24"/>
          <w:szCs w:val="24"/>
        </w:rPr>
        <w:t>、《交银施罗德保本混合型证券投资基金保函》；</w:t>
      </w:r>
    </w:p>
    <w:p w:rsidR="00B00F8F" w:rsidRDefault="004B7A56">
      <w:pPr>
        <w:spacing w:before="29" w:line="288" w:lineRule="auto"/>
        <w:ind w:firstLineChars="200" w:firstLine="480"/>
        <w:rPr>
          <w:color w:val="000000"/>
          <w:sz w:val="24"/>
          <w:szCs w:val="24"/>
        </w:rPr>
      </w:pPr>
      <w:r>
        <w:rPr>
          <w:color w:val="000000"/>
          <w:sz w:val="24"/>
          <w:szCs w:val="24"/>
        </w:rPr>
        <w:t>9</w:t>
      </w:r>
      <w:r>
        <w:rPr>
          <w:color w:val="000000"/>
          <w:sz w:val="24"/>
          <w:szCs w:val="24"/>
        </w:rPr>
        <w:t>、上海源泰律师事务所出具的《关于申请募集交银施罗德保本混合型证券投资基金之法律意见书》；</w:t>
      </w:r>
    </w:p>
    <w:p w:rsidR="00B00F8F" w:rsidRDefault="004B7A56">
      <w:pPr>
        <w:spacing w:before="29" w:line="288" w:lineRule="auto"/>
        <w:ind w:firstLineChars="200" w:firstLine="480"/>
        <w:rPr>
          <w:color w:val="000000"/>
          <w:sz w:val="24"/>
          <w:szCs w:val="24"/>
        </w:rPr>
      </w:pPr>
      <w:r>
        <w:rPr>
          <w:color w:val="000000"/>
          <w:sz w:val="24"/>
          <w:szCs w:val="24"/>
        </w:rPr>
        <w:t>10</w:t>
      </w:r>
      <w:r>
        <w:rPr>
          <w:color w:val="000000"/>
          <w:sz w:val="24"/>
          <w:szCs w:val="24"/>
        </w:rPr>
        <w:t>、上海市通力律师事务所出具的《关于交银施罗德保本混合型证券投资基金保本周期到期转型方案及基金合同修改的法律意见》；</w:t>
      </w:r>
    </w:p>
    <w:p w:rsidR="00B00F8F" w:rsidRDefault="004B7A56">
      <w:pPr>
        <w:spacing w:before="29" w:line="288" w:lineRule="auto"/>
        <w:ind w:firstLineChars="200" w:firstLine="480"/>
        <w:rPr>
          <w:color w:val="000000"/>
          <w:sz w:val="24"/>
          <w:szCs w:val="24"/>
        </w:rPr>
      </w:pPr>
      <w:r>
        <w:rPr>
          <w:color w:val="000000"/>
          <w:sz w:val="24"/>
          <w:szCs w:val="24"/>
        </w:rPr>
        <w:t>11</w:t>
      </w:r>
      <w:r>
        <w:rPr>
          <w:color w:val="000000"/>
          <w:sz w:val="24"/>
          <w:szCs w:val="24"/>
        </w:rPr>
        <w:t>、基金管理人业务资格批件、营业执照；</w:t>
      </w:r>
    </w:p>
    <w:p w:rsidR="00B00F8F" w:rsidRDefault="004B7A56">
      <w:pPr>
        <w:spacing w:before="29" w:line="288" w:lineRule="auto"/>
        <w:ind w:firstLineChars="200" w:firstLine="480"/>
        <w:rPr>
          <w:color w:val="000000"/>
          <w:sz w:val="24"/>
          <w:szCs w:val="24"/>
        </w:rPr>
      </w:pPr>
      <w:r>
        <w:rPr>
          <w:color w:val="000000"/>
          <w:sz w:val="24"/>
          <w:szCs w:val="24"/>
        </w:rPr>
        <w:t>12</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13</w:t>
      </w:r>
      <w:r w:rsidRPr="00414345">
        <w:rPr>
          <w:color w:val="000000"/>
          <w:sz w:val="24"/>
          <w:szCs w:val="24"/>
        </w:rPr>
        <w:t>、报告期内交银施罗德优势行业灵活配置混合型证券投资基金在指定报刊上各项公告的原稿。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B00F8F" w:rsidRDefault="004B7A56">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3F" w:rsidRDefault="003A7A3F" w:rsidP="00876D65">
      <w:r>
        <w:separator/>
      </w:r>
    </w:p>
  </w:endnote>
  <w:endnote w:type="continuationSeparator" w:id="0">
    <w:p w:rsidR="003A7A3F" w:rsidRDefault="003A7A3F"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3F" w:rsidRDefault="003A7A3F" w:rsidP="00876D65">
      <w:r>
        <w:separator/>
      </w:r>
    </w:p>
  </w:footnote>
  <w:footnote w:type="continuationSeparator" w:id="0">
    <w:p w:rsidR="003A7A3F" w:rsidRDefault="003A7A3F"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F0" w:rsidRPr="00DC456F" w:rsidRDefault="00DC456F" w:rsidP="00090A26">
    <w:pPr>
      <w:pStyle w:val="ac"/>
      <w:pBdr>
        <w:bottom w:val="single" w:sz="6" w:space="0" w:color="auto"/>
      </w:pBdr>
      <w:jc w:val="right"/>
      <w:rPr>
        <w:sz w:val="24"/>
        <w:szCs w:val="24"/>
      </w:rPr>
    </w:pPr>
    <w:r w:rsidRPr="003E676C">
      <w:rPr>
        <w:sz w:val="24"/>
        <w:szCs w:val="24"/>
      </w:rPr>
      <w:t>交银施罗德优势行业灵活配置混合型证券投资基金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A7A3F"/>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B7A56"/>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94BC7"/>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B7D9A"/>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00F8F"/>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0049"/>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478"/>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3375-1AAB-48F6-985D-C7381420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12</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603</cp:revision>
  <dcterms:created xsi:type="dcterms:W3CDTF">2012-10-16T06:07:00Z</dcterms:created>
  <dcterms:modified xsi:type="dcterms:W3CDTF">2020-10-23T10:27:00Z</dcterms:modified>
</cp:coreProperties>
</file>