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交银施罗德创新领航混合型证券投资基金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24994" w:rsidRDefault="005C7DC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24994" w:rsidRDefault="005C7DC0">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24994" w:rsidRDefault="005C7DC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24994" w:rsidRDefault="005C7DC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24994" w:rsidRDefault="005C7DC0">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交银创新领航混合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008955</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008955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2020</w:t>
            </w:r>
            <w:r w:rsidRPr="00414345">
              <w:rPr>
                <w:color w:val="000000"/>
                <w:kern w:val="0"/>
                <w:sz w:val="24"/>
                <w:szCs w:val="24"/>
              </w:rPr>
              <w:t>年</w:t>
            </w:r>
            <w:r w:rsidRPr="00414345">
              <w:rPr>
                <w:color w:val="000000"/>
                <w:kern w:val="0"/>
                <w:sz w:val="24"/>
                <w:szCs w:val="24"/>
              </w:rPr>
              <w:t>2</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4,794,717,356.20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在合理控制风险并保持基金资产良好流动性的前提下，追求超越业绩比较基准的投资回报，力争实现基金资产的长期稳健增值。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×65%+</w:t>
            </w:r>
            <w:r w:rsidRPr="00414345">
              <w:rPr>
                <w:color w:val="000000"/>
                <w:kern w:val="0"/>
                <w:sz w:val="24"/>
                <w:szCs w:val="24"/>
              </w:rPr>
              <w:t>恒生指数收益率</w:t>
            </w:r>
            <w:r w:rsidRPr="00414345">
              <w:rPr>
                <w:color w:val="000000"/>
                <w:kern w:val="0"/>
                <w:sz w:val="24"/>
                <w:szCs w:val="24"/>
              </w:rPr>
              <w:t>×5%+</w:t>
            </w:r>
            <w:r w:rsidRPr="00414345">
              <w:rPr>
                <w:color w:val="000000"/>
                <w:kern w:val="0"/>
                <w:sz w:val="24"/>
                <w:szCs w:val="24"/>
              </w:rPr>
              <w:t>中证综合债券指数收益率</w:t>
            </w:r>
            <w:r w:rsidRPr="00414345">
              <w:rPr>
                <w:color w:val="000000"/>
                <w:kern w:val="0"/>
                <w:sz w:val="24"/>
                <w:szCs w:val="24"/>
              </w:rPr>
              <w:t>×30%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24994" w:rsidRDefault="005C7DC0">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C7DC0" w:rsidRPr="00414345" w:rsidTr="005C7DC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5C7DC0" w:rsidRPr="00414345" w:rsidTr="005C7D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370,399,276.93</w:t>
            </w:r>
          </w:p>
        </w:tc>
      </w:tr>
      <w:tr w:rsidR="005C7DC0" w:rsidRPr="00414345" w:rsidTr="005C7D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837,441,083.06</w:t>
            </w:r>
          </w:p>
        </w:tc>
      </w:tr>
      <w:tr w:rsidR="005C7DC0" w:rsidRPr="00414345" w:rsidTr="005C7D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0.1723</w:t>
            </w:r>
          </w:p>
        </w:tc>
      </w:tr>
      <w:tr w:rsidR="005C7DC0" w:rsidRPr="00414345" w:rsidTr="005C7D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6,009,132,971.04</w:t>
            </w:r>
          </w:p>
        </w:tc>
      </w:tr>
      <w:tr w:rsidR="005C7DC0" w:rsidRPr="00414345" w:rsidTr="005C7DC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1.2533</w:t>
            </w:r>
          </w:p>
        </w:tc>
      </w:tr>
    </w:tbl>
    <w:p w:rsidR="00124994" w:rsidRDefault="005C7DC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24994">
        <w:trPr>
          <w:jc w:val="center"/>
        </w:trPr>
        <w:tc>
          <w:tcPr>
            <w:tcW w:w="1701" w:type="dxa"/>
            <w:vAlign w:val="center"/>
          </w:tcPr>
          <w:p w:rsidR="00124994" w:rsidRDefault="005C7DC0">
            <w:pPr>
              <w:jc w:val="left"/>
            </w:pPr>
            <w:r>
              <w:rPr>
                <w:color w:val="000000"/>
                <w:sz w:val="24"/>
                <w:szCs w:val="24"/>
              </w:rPr>
              <w:t>过去三个月</w:t>
            </w:r>
          </w:p>
        </w:tc>
        <w:tc>
          <w:tcPr>
            <w:tcW w:w="1045" w:type="dxa"/>
            <w:vAlign w:val="center"/>
          </w:tcPr>
          <w:p w:rsidR="00124994" w:rsidRDefault="005C7DC0">
            <w:pPr>
              <w:jc w:val="center"/>
            </w:pPr>
            <w:r>
              <w:rPr>
                <w:color w:val="000000"/>
                <w:sz w:val="24"/>
                <w:szCs w:val="24"/>
              </w:rPr>
              <w:t>16.46%</w:t>
            </w:r>
          </w:p>
        </w:tc>
        <w:tc>
          <w:tcPr>
            <w:tcW w:w="1344" w:type="dxa"/>
            <w:vAlign w:val="center"/>
          </w:tcPr>
          <w:p w:rsidR="00124994" w:rsidRDefault="005C7DC0">
            <w:pPr>
              <w:jc w:val="center"/>
            </w:pPr>
            <w:r>
              <w:rPr>
                <w:color w:val="000000"/>
                <w:sz w:val="24"/>
                <w:szCs w:val="24"/>
              </w:rPr>
              <w:t>1.97%</w:t>
            </w:r>
          </w:p>
        </w:tc>
        <w:tc>
          <w:tcPr>
            <w:tcW w:w="1194" w:type="dxa"/>
            <w:vAlign w:val="center"/>
          </w:tcPr>
          <w:p w:rsidR="00124994" w:rsidRDefault="005C7DC0">
            <w:pPr>
              <w:jc w:val="center"/>
            </w:pPr>
            <w:r>
              <w:rPr>
                <w:color w:val="000000"/>
                <w:sz w:val="24"/>
                <w:szCs w:val="24"/>
              </w:rPr>
              <w:t>6.31%</w:t>
            </w:r>
          </w:p>
        </w:tc>
        <w:tc>
          <w:tcPr>
            <w:tcW w:w="1492" w:type="dxa"/>
            <w:vAlign w:val="center"/>
          </w:tcPr>
          <w:p w:rsidR="00124994" w:rsidRDefault="005C7DC0">
            <w:pPr>
              <w:jc w:val="center"/>
            </w:pPr>
            <w:r>
              <w:rPr>
                <w:color w:val="000000"/>
                <w:sz w:val="24"/>
                <w:szCs w:val="24"/>
              </w:rPr>
              <w:t>1.08%</w:t>
            </w:r>
          </w:p>
        </w:tc>
        <w:tc>
          <w:tcPr>
            <w:tcW w:w="1194" w:type="dxa"/>
            <w:vAlign w:val="center"/>
          </w:tcPr>
          <w:p w:rsidR="00124994" w:rsidRDefault="005C7DC0">
            <w:pPr>
              <w:jc w:val="center"/>
            </w:pPr>
            <w:r>
              <w:rPr>
                <w:color w:val="000000"/>
                <w:sz w:val="24"/>
                <w:szCs w:val="24"/>
              </w:rPr>
              <w:t>10.15%</w:t>
            </w:r>
          </w:p>
        </w:tc>
        <w:tc>
          <w:tcPr>
            <w:tcW w:w="898" w:type="dxa"/>
            <w:vAlign w:val="center"/>
          </w:tcPr>
          <w:p w:rsidR="00124994" w:rsidRDefault="005C7DC0">
            <w:pPr>
              <w:jc w:val="center"/>
            </w:pPr>
            <w:r>
              <w:rPr>
                <w:color w:val="000000"/>
                <w:sz w:val="24"/>
                <w:szCs w:val="24"/>
              </w:rPr>
              <w:t>0.89%</w:t>
            </w:r>
          </w:p>
        </w:tc>
      </w:tr>
      <w:tr w:rsidR="00124994">
        <w:trPr>
          <w:jc w:val="center"/>
        </w:trPr>
        <w:tc>
          <w:tcPr>
            <w:tcW w:w="1701" w:type="dxa"/>
            <w:vAlign w:val="center"/>
          </w:tcPr>
          <w:p w:rsidR="00124994" w:rsidRDefault="005C7DC0">
            <w:pPr>
              <w:jc w:val="left"/>
            </w:pPr>
            <w:r>
              <w:rPr>
                <w:color w:val="000000"/>
                <w:sz w:val="24"/>
                <w:szCs w:val="24"/>
              </w:rPr>
              <w:t>过去六个月</w:t>
            </w:r>
          </w:p>
        </w:tc>
        <w:tc>
          <w:tcPr>
            <w:tcW w:w="1045" w:type="dxa"/>
            <w:vAlign w:val="center"/>
          </w:tcPr>
          <w:p w:rsidR="00124994" w:rsidRDefault="005C7DC0">
            <w:pPr>
              <w:jc w:val="center"/>
            </w:pPr>
            <w:r>
              <w:rPr>
                <w:color w:val="000000"/>
                <w:sz w:val="24"/>
                <w:szCs w:val="24"/>
              </w:rPr>
              <w:t>28.73%</w:t>
            </w:r>
          </w:p>
        </w:tc>
        <w:tc>
          <w:tcPr>
            <w:tcW w:w="1344" w:type="dxa"/>
            <w:vAlign w:val="center"/>
          </w:tcPr>
          <w:p w:rsidR="00124994" w:rsidRDefault="005C7DC0">
            <w:pPr>
              <w:jc w:val="center"/>
            </w:pPr>
            <w:r>
              <w:rPr>
                <w:color w:val="000000"/>
                <w:sz w:val="24"/>
                <w:szCs w:val="24"/>
              </w:rPr>
              <w:t>1.45%</w:t>
            </w:r>
          </w:p>
        </w:tc>
        <w:tc>
          <w:tcPr>
            <w:tcW w:w="1194" w:type="dxa"/>
            <w:vAlign w:val="center"/>
          </w:tcPr>
          <w:p w:rsidR="00124994" w:rsidRDefault="005C7DC0">
            <w:pPr>
              <w:jc w:val="center"/>
            </w:pPr>
            <w:r>
              <w:rPr>
                <w:color w:val="000000"/>
                <w:sz w:val="24"/>
                <w:szCs w:val="24"/>
              </w:rPr>
              <w:t>15.26%</w:t>
            </w:r>
          </w:p>
        </w:tc>
        <w:tc>
          <w:tcPr>
            <w:tcW w:w="1492" w:type="dxa"/>
            <w:vAlign w:val="center"/>
          </w:tcPr>
          <w:p w:rsidR="00124994" w:rsidRDefault="005C7DC0">
            <w:pPr>
              <w:jc w:val="center"/>
            </w:pPr>
            <w:r>
              <w:rPr>
                <w:color w:val="000000"/>
                <w:sz w:val="24"/>
                <w:szCs w:val="24"/>
              </w:rPr>
              <w:t>0.90%</w:t>
            </w:r>
          </w:p>
        </w:tc>
        <w:tc>
          <w:tcPr>
            <w:tcW w:w="1194" w:type="dxa"/>
            <w:vAlign w:val="center"/>
          </w:tcPr>
          <w:p w:rsidR="00124994" w:rsidRDefault="005C7DC0">
            <w:pPr>
              <w:jc w:val="center"/>
            </w:pPr>
            <w:r>
              <w:rPr>
                <w:color w:val="000000"/>
                <w:sz w:val="24"/>
                <w:szCs w:val="24"/>
              </w:rPr>
              <w:t>13.47%</w:t>
            </w:r>
          </w:p>
        </w:tc>
        <w:tc>
          <w:tcPr>
            <w:tcW w:w="898" w:type="dxa"/>
            <w:vAlign w:val="center"/>
          </w:tcPr>
          <w:p w:rsidR="00124994" w:rsidRDefault="005C7DC0">
            <w:pPr>
              <w:jc w:val="center"/>
            </w:pPr>
            <w:r>
              <w:rPr>
                <w:color w:val="000000"/>
                <w:sz w:val="24"/>
                <w:szCs w:val="24"/>
              </w:rPr>
              <w:t>0.55%</w:t>
            </w:r>
          </w:p>
        </w:tc>
      </w:tr>
      <w:tr w:rsidR="00124994">
        <w:trPr>
          <w:jc w:val="center"/>
        </w:trPr>
        <w:tc>
          <w:tcPr>
            <w:tcW w:w="1701" w:type="dxa"/>
            <w:vAlign w:val="center"/>
          </w:tcPr>
          <w:p w:rsidR="00124994" w:rsidRDefault="005C7DC0">
            <w:pPr>
              <w:jc w:val="left"/>
            </w:pPr>
            <w:r>
              <w:rPr>
                <w:color w:val="000000"/>
                <w:sz w:val="24"/>
                <w:szCs w:val="24"/>
              </w:rPr>
              <w:t>自基金合同生效至今</w:t>
            </w:r>
          </w:p>
        </w:tc>
        <w:tc>
          <w:tcPr>
            <w:tcW w:w="1045" w:type="dxa"/>
            <w:vAlign w:val="center"/>
          </w:tcPr>
          <w:p w:rsidR="00124994" w:rsidRDefault="005C7DC0">
            <w:pPr>
              <w:jc w:val="center"/>
            </w:pPr>
            <w:r>
              <w:rPr>
                <w:color w:val="000000"/>
                <w:sz w:val="24"/>
                <w:szCs w:val="24"/>
              </w:rPr>
              <w:t>25.33%</w:t>
            </w:r>
          </w:p>
        </w:tc>
        <w:tc>
          <w:tcPr>
            <w:tcW w:w="1344" w:type="dxa"/>
            <w:vAlign w:val="center"/>
          </w:tcPr>
          <w:p w:rsidR="00124994" w:rsidRDefault="005C7DC0">
            <w:pPr>
              <w:jc w:val="center"/>
            </w:pPr>
            <w:r>
              <w:rPr>
                <w:color w:val="000000"/>
                <w:sz w:val="24"/>
                <w:szCs w:val="24"/>
              </w:rPr>
              <w:t>1.34%</w:t>
            </w:r>
          </w:p>
        </w:tc>
        <w:tc>
          <w:tcPr>
            <w:tcW w:w="1194" w:type="dxa"/>
            <w:vAlign w:val="center"/>
          </w:tcPr>
          <w:p w:rsidR="00124994" w:rsidRDefault="005C7DC0">
            <w:pPr>
              <w:jc w:val="center"/>
            </w:pPr>
            <w:r>
              <w:rPr>
                <w:color w:val="000000"/>
                <w:sz w:val="24"/>
                <w:szCs w:val="24"/>
              </w:rPr>
              <w:t>7.79%</w:t>
            </w:r>
          </w:p>
        </w:tc>
        <w:tc>
          <w:tcPr>
            <w:tcW w:w="1492" w:type="dxa"/>
            <w:vAlign w:val="center"/>
          </w:tcPr>
          <w:p w:rsidR="00124994" w:rsidRDefault="005C7DC0">
            <w:pPr>
              <w:jc w:val="center"/>
            </w:pPr>
            <w:r>
              <w:rPr>
                <w:color w:val="000000"/>
                <w:sz w:val="24"/>
                <w:szCs w:val="24"/>
              </w:rPr>
              <w:t>1.03%</w:t>
            </w:r>
          </w:p>
        </w:tc>
        <w:tc>
          <w:tcPr>
            <w:tcW w:w="1194" w:type="dxa"/>
            <w:vAlign w:val="center"/>
          </w:tcPr>
          <w:p w:rsidR="00124994" w:rsidRDefault="005C7DC0">
            <w:pPr>
              <w:jc w:val="center"/>
            </w:pPr>
            <w:r>
              <w:rPr>
                <w:color w:val="000000"/>
                <w:sz w:val="24"/>
                <w:szCs w:val="24"/>
              </w:rPr>
              <w:t>17.54%</w:t>
            </w:r>
          </w:p>
        </w:tc>
        <w:tc>
          <w:tcPr>
            <w:tcW w:w="898" w:type="dxa"/>
            <w:vAlign w:val="center"/>
          </w:tcPr>
          <w:p w:rsidR="00124994" w:rsidRDefault="005C7DC0">
            <w:pPr>
              <w:jc w:val="center"/>
            </w:pPr>
            <w:r>
              <w:rPr>
                <w:color w:val="000000"/>
                <w:sz w:val="24"/>
                <w:szCs w:val="24"/>
              </w:rPr>
              <w:t>0.31%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交银施罗德创新领航混合型证券投资基金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2020</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27</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24994">
        <w:trPr>
          <w:jc w:val="center"/>
        </w:trPr>
        <w:tc>
          <w:tcPr>
            <w:tcW w:w="846" w:type="dxa"/>
            <w:vAlign w:val="center"/>
          </w:tcPr>
          <w:p w:rsidR="00124994" w:rsidRDefault="005C7DC0">
            <w:pPr>
              <w:jc w:val="center"/>
            </w:pPr>
            <w:r>
              <w:rPr>
                <w:color w:val="000000"/>
                <w:sz w:val="24"/>
                <w:szCs w:val="24"/>
              </w:rPr>
              <w:t>郭斐</w:t>
            </w:r>
          </w:p>
        </w:tc>
        <w:tc>
          <w:tcPr>
            <w:tcW w:w="845" w:type="dxa"/>
            <w:vAlign w:val="center"/>
          </w:tcPr>
          <w:p w:rsidR="00124994" w:rsidRDefault="005C7DC0">
            <w:pPr>
              <w:jc w:val="center"/>
            </w:pPr>
            <w:r>
              <w:rPr>
                <w:color w:val="000000"/>
                <w:sz w:val="24"/>
                <w:szCs w:val="24"/>
              </w:rPr>
              <w:t>交银成长</w:t>
            </w:r>
            <w:r>
              <w:rPr>
                <w:color w:val="000000"/>
                <w:sz w:val="24"/>
                <w:szCs w:val="24"/>
              </w:rPr>
              <w:t>30</w:t>
            </w:r>
            <w:r>
              <w:rPr>
                <w:color w:val="000000"/>
                <w:sz w:val="24"/>
                <w:szCs w:val="24"/>
              </w:rPr>
              <w:t>混合、交银经济新动力混合、交银创新领航混合的基金经理</w:t>
            </w:r>
          </w:p>
        </w:tc>
        <w:tc>
          <w:tcPr>
            <w:tcW w:w="1549" w:type="dxa"/>
            <w:vAlign w:val="center"/>
          </w:tcPr>
          <w:p w:rsidR="00124994" w:rsidRDefault="005C7DC0">
            <w:pPr>
              <w:jc w:val="center"/>
            </w:pPr>
            <w:r>
              <w:rPr>
                <w:color w:val="000000"/>
                <w:sz w:val="24"/>
                <w:szCs w:val="24"/>
              </w:rPr>
              <w:t>2020-02-27</w:t>
            </w:r>
          </w:p>
        </w:tc>
        <w:tc>
          <w:tcPr>
            <w:tcW w:w="1548" w:type="dxa"/>
            <w:vAlign w:val="center"/>
          </w:tcPr>
          <w:p w:rsidR="00124994" w:rsidRDefault="005C7DC0">
            <w:pPr>
              <w:jc w:val="center"/>
            </w:pPr>
            <w:r>
              <w:rPr>
                <w:color w:val="000000"/>
                <w:sz w:val="24"/>
                <w:szCs w:val="24"/>
              </w:rPr>
              <w:t>-</w:t>
            </w:r>
          </w:p>
        </w:tc>
        <w:tc>
          <w:tcPr>
            <w:tcW w:w="1407" w:type="dxa"/>
            <w:vAlign w:val="center"/>
          </w:tcPr>
          <w:p w:rsidR="00124994" w:rsidRDefault="005C7DC0">
            <w:pPr>
              <w:jc w:val="center"/>
            </w:pPr>
            <w:r>
              <w:rPr>
                <w:color w:val="000000"/>
                <w:sz w:val="24"/>
                <w:szCs w:val="24"/>
              </w:rPr>
              <w:t>11</w:t>
            </w:r>
            <w:r>
              <w:rPr>
                <w:color w:val="000000"/>
                <w:sz w:val="24"/>
                <w:szCs w:val="24"/>
              </w:rPr>
              <w:t>年</w:t>
            </w:r>
          </w:p>
        </w:tc>
        <w:tc>
          <w:tcPr>
            <w:tcW w:w="2673" w:type="dxa"/>
            <w:vAlign w:val="center"/>
          </w:tcPr>
          <w:p w:rsidR="00124994" w:rsidRDefault="005C7DC0">
            <w:r>
              <w:rPr>
                <w:color w:val="000000"/>
                <w:sz w:val="24"/>
                <w:szCs w:val="24"/>
              </w:rPr>
              <w:t>郭斐先生，复旦大学经济学本科。</w:t>
            </w:r>
            <w:r>
              <w:rPr>
                <w:color w:val="000000"/>
                <w:sz w:val="24"/>
                <w:szCs w:val="24"/>
              </w:rPr>
              <w:t>2009</w:t>
            </w:r>
            <w:r>
              <w:rPr>
                <w:color w:val="000000"/>
                <w:sz w:val="24"/>
                <w:szCs w:val="24"/>
              </w:rPr>
              <w:t>年</w:t>
            </w:r>
            <w:r>
              <w:rPr>
                <w:color w:val="000000"/>
                <w:sz w:val="24"/>
                <w:szCs w:val="24"/>
              </w:rPr>
              <w:t>8</w:t>
            </w:r>
            <w:r>
              <w:rPr>
                <w:color w:val="000000"/>
                <w:sz w:val="24"/>
                <w:szCs w:val="24"/>
              </w:rPr>
              <w:t>月至</w:t>
            </w:r>
            <w:r>
              <w:rPr>
                <w:color w:val="000000"/>
                <w:sz w:val="24"/>
                <w:szCs w:val="24"/>
              </w:rPr>
              <w:t>2014</w:t>
            </w:r>
            <w:r>
              <w:rPr>
                <w:color w:val="000000"/>
                <w:sz w:val="24"/>
                <w:szCs w:val="24"/>
              </w:rPr>
              <w:t>年</w:t>
            </w:r>
            <w:r>
              <w:rPr>
                <w:color w:val="000000"/>
                <w:sz w:val="24"/>
                <w:szCs w:val="24"/>
              </w:rPr>
              <w:t>3</w:t>
            </w:r>
            <w:r>
              <w:rPr>
                <w:color w:val="000000"/>
                <w:sz w:val="24"/>
                <w:szCs w:val="24"/>
              </w:rPr>
              <w:t>月于高盛（亚洲）有限责任公司、高华证券公司任职。</w:t>
            </w:r>
            <w:r>
              <w:rPr>
                <w:color w:val="000000"/>
                <w:sz w:val="24"/>
                <w:szCs w:val="24"/>
              </w:rPr>
              <w:t>2014</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24994" w:rsidRDefault="005C7DC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24994" w:rsidRDefault="005C7DC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24994" w:rsidRDefault="005C7DC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24994" w:rsidRDefault="005C7DC0">
      <w:pPr>
        <w:spacing w:before="29" w:line="288" w:lineRule="auto"/>
        <w:ind w:firstLineChars="200" w:firstLine="480"/>
        <w:rPr>
          <w:color w:val="000000"/>
          <w:sz w:val="24"/>
          <w:szCs w:val="24"/>
        </w:rPr>
      </w:pPr>
      <w:r>
        <w:rPr>
          <w:color w:val="000000"/>
          <w:sz w:val="24"/>
          <w:szCs w:val="24"/>
        </w:rPr>
        <w:t>2020</w:t>
      </w:r>
      <w:r>
        <w:rPr>
          <w:color w:val="000000"/>
          <w:sz w:val="24"/>
          <w:szCs w:val="24"/>
        </w:rPr>
        <w:t>年三季度，随着经济复苏的深化，国内外市场同时进入调整期，市场风格也出现了从高估值核心资产向顺周期的回摆。</w:t>
      </w:r>
    </w:p>
    <w:p w:rsidR="00124994" w:rsidRDefault="005C7DC0">
      <w:pPr>
        <w:spacing w:before="29" w:line="288" w:lineRule="auto"/>
        <w:ind w:firstLineChars="200" w:firstLine="480"/>
        <w:rPr>
          <w:color w:val="000000"/>
          <w:sz w:val="24"/>
          <w:szCs w:val="24"/>
        </w:rPr>
      </w:pPr>
      <w:r>
        <w:rPr>
          <w:color w:val="000000"/>
          <w:sz w:val="24"/>
          <w:szCs w:val="24"/>
        </w:rPr>
        <w:t>报告期内，本基金重点配置了新能源汽车、军工元器件、创新硬件、消费建材、外需复苏以及地产等领域的个股。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年四季度，随着货币政策进一步常态化回归以及新股供给不断增加，我们对流动性推升的估值扩张型个股更加谨慎。我们更为审慎地考量组合持仓背后估值与当期业绩以及远期空间之间的匹配度。在</w:t>
      </w:r>
      <w:r w:rsidRPr="00414345">
        <w:rPr>
          <w:color w:val="000000"/>
          <w:sz w:val="24"/>
          <w:szCs w:val="24"/>
        </w:rPr>
        <w:t>4G/5G</w:t>
      </w:r>
      <w:r w:rsidRPr="00414345">
        <w:rPr>
          <w:color w:val="000000"/>
          <w:sz w:val="24"/>
          <w:szCs w:val="24"/>
        </w:rPr>
        <w:t>代际之交、新能源革命已然启动、数据经济</w:t>
      </w:r>
      <w:r w:rsidRPr="00414345">
        <w:rPr>
          <w:color w:val="000000"/>
          <w:sz w:val="24"/>
          <w:szCs w:val="24"/>
        </w:rPr>
        <w:t>/</w:t>
      </w:r>
      <w:r w:rsidRPr="00414345">
        <w:rPr>
          <w:color w:val="000000"/>
          <w:sz w:val="24"/>
          <w:szCs w:val="24"/>
        </w:rPr>
        <w:t>企业数字化转型加速到来的当下，我们认为科技成长仍将是未来相当长一段时间内市场的主线。同时，跳出科技成长的狭隘边界，以更包容的视野，我们可以看到，在国民经济的各个产业，强者恒强的产业集中度提升趋势以及追求效率的工业化规模化转型催生了更多传统领域低关注度成长股的投资机遇。我们有幸已经挖掘出并持有一批估值具备吸引力的优质成长股，它们或顺应产业爆发的趋势</w:t>
      </w:r>
      <w:bookmarkStart w:id="0" w:name="_GoBack"/>
      <w:bookmarkEnd w:id="0"/>
      <w:r w:rsidRPr="00414345">
        <w:rPr>
          <w:color w:val="000000"/>
          <w:sz w:val="24"/>
          <w:szCs w:val="24"/>
        </w:rPr>
        <w:t>。本基金将持续挖掘行业成长空间广阔、具备核心竞争力的公司，力求把握合适的配置窗口，力争为投资人获得持续稳定的超额回报。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5C7DC0">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5C7DC0">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5C7DC0">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5C7DC0">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5C7DC0">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5C7DC0">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5C7DC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5,559,575,166.01</w:t>
            </w:r>
          </w:p>
        </w:tc>
        <w:tc>
          <w:tcPr>
            <w:tcW w:w="2943" w:type="dxa"/>
            <w:vAlign w:val="center"/>
          </w:tcPr>
          <w:p w:rsidR="00BF0019" w:rsidRPr="007B5F21" w:rsidRDefault="00BF0019" w:rsidP="005C7DC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91.99</w:t>
            </w:r>
          </w:p>
        </w:tc>
      </w:tr>
      <w:tr w:rsidR="00BF0019" w:rsidRPr="007B5F21" w:rsidTr="00487A40">
        <w:tc>
          <w:tcPr>
            <w:tcW w:w="720" w:type="dxa"/>
            <w:vAlign w:val="center"/>
          </w:tcPr>
          <w:p w:rsidR="00BF0019" w:rsidRPr="007B5F21" w:rsidRDefault="00BF0019" w:rsidP="005C7DC0">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5C7DC0">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5C7DC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5,559,575,166.01</w:t>
            </w:r>
          </w:p>
        </w:tc>
        <w:tc>
          <w:tcPr>
            <w:tcW w:w="2943" w:type="dxa"/>
            <w:vAlign w:val="center"/>
          </w:tcPr>
          <w:p w:rsidR="00BF0019" w:rsidRPr="007B5F21" w:rsidRDefault="00BF0019" w:rsidP="005C7DC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91.99</w:t>
            </w:r>
          </w:p>
        </w:tc>
      </w:tr>
      <w:tr w:rsidR="00BF0019" w:rsidRPr="007B5F21" w:rsidTr="00487A40">
        <w:tc>
          <w:tcPr>
            <w:tcW w:w="720" w:type="dxa"/>
            <w:vAlign w:val="center"/>
          </w:tcPr>
          <w:p w:rsidR="00BF0019" w:rsidRPr="007B5F21" w:rsidRDefault="00BF0019" w:rsidP="005C7DC0">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5C7DC0">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5C7DC0">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5C7DC0">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5C7DC0">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5C7DC0">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5C7DC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7,254,238.50</w:t>
            </w:r>
          </w:p>
        </w:tc>
        <w:tc>
          <w:tcPr>
            <w:tcW w:w="2943" w:type="dxa"/>
            <w:vAlign w:val="center"/>
          </w:tcPr>
          <w:p w:rsidR="00BF0019" w:rsidRPr="007B5F21" w:rsidRDefault="00BF0019" w:rsidP="005C7DC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0.12</w:t>
            </w:r>
          </w:p>
        </w:tc>
      </w:tr>
      <w:tr w:rsidR="00BF0019" w:rsidRPr="007B5F21" w:rsidTr="00487A40">
        <w:tc>
          <w:tcPr>
            <w:tcW w:w="720" w:type="dxa"/>
            <w:vAlign w:val="center"/>
          </w:tcPr>
          <w:p w:rsidR="00BF0019" w:rsidRPr="007B5F21" w:rsidRDefault="00BF0019" w:rsidP="005C7DC0">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5C7DC0">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5C7DC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7,254,238.50</w:t>
            </w:r>
          </w:p>
        </w:tc>
        <w:tc>
          <w:tcPr>
            <w:tcW w:w="2943" w:type="dxa"/>
            <w:vAlign w:val="center"/>
          </w:tcPr>
          <w:p w:rsidR="00BF0019" w:rsidRPr="007B5F21" w:rsidRDefault="00BF0019" w:rsidP="005C7DC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0.12</w:t>
            </w:r>
          </w:p>
        </w:tc>
      </w:tr>
      <w:tr w:rsidR="00BF0019" w:rsidRPr="007B5F21" w:rsidTr="00487A40">
        <w:tc>
          <w:tcPr>
            <w:tcW w:w="720" w:type="dxa"/>
            <w:vAlign w:val="center"/>
          </w:tcPr>
          <w:p w:rsidR="00BF0019" w:rsidRPr="007B5F21" w:rsidRDefault="00BF0019" w:rsidP="005C7DC0">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5C7DC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5C7DC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5C7DC0">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5C7DC0">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5C7DC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5C7DC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5C7DC0">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5C7DC0">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5C7DC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5C7DC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5C7DC0">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5C7DC0">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5C7DC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5C7DC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5C7DC0">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5C7DC0">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5C7DC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5C7DC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5C7DC0">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5C7DC0">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5C7DC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334,195,972.60</w:t>
            </w:r>
          </w:p>
        </w:tc>
        <w:tc>
          <w:tcPr>
            <w:tcW w:w="2943" w:type="dxa"/>
            <w:vAlign w:val="center"/>
          </w:tcPr>
          <w:p w:rsidR="00BF0019" w:rsidRPr="007B5F21" w:rsidRDefault="00BF0019" w:rsidP="005C7DC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5.53</w:t>
            </w:r>
          </w:p>
        </w:tc>
      </w:tr>
      <w:tr w:rsidR="00BF0019" w:rsidRPr="007B5F21" w:rsidTr="00487A40">
        <w:tc>
          <w:tcPr>
            <w:tcW w:w="720" w:type="dxa"/>
            <w:vAlign w:val="center"/>
          </w:tcPr>
          <w:p w:rsidR="00BF0019" w:rsidRPr="007B5F21" w:rsidRDefault="00BF0019" w:rsidP="005C7DC0">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5C7DC0">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5C7DC0">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142,587,905.06</w:t>
            </w:r>
          </w:p>
        </w:tc>
        <w:tc>
          <w:tcPr>
            <w:tcW w:w="2943" w:type="dxa"/>
            <w:vAlign w:val="center"/>
          </w:tcPr>
          <w:p w:rsidR="00BF0019" w:rsidRPr="007B5F21" w:rsidRDefault="00BF0019" w:rsidP="005C7DC0">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2.36</w:t>
            </w:r>
          </w:p>
        </w:tc>
      </w:tr>
      <w:tr w:rsidR="00BF0019" w:rsidRPr="007B5F21" w:rsidTr="00487A40">
        <w:tc>
          <w:tcPr>
            <w:tcW w:w="720" w:type="dxa"/>
            <w:vAlign w:val="center"/>
          </w:tcPr>
          <w:p w:rsidR="00BF0019" w:rsidRPr="007B5F21" w:rsidRDefault="00BF0019" w:rsidP="005C7DC0">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5C7DC0">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5C7DC0">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6,043,613,282.17</w:t>
            </w:r>
          </w:p>
        </w:tc>
        <w:tc>
          <w:tcPr>
            <w:tcW w:w="2943" w:type="dxa"/>
            <w:vAlign w:val="center"/>
          </w:tcPr>
          <w:p w:rsidR="00BF0019" w:rsidRPr="007B5F21" w:rsidRDefault="00BF0019" w:rsidP="005C7DC0">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4,447,025,230.05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24,366,062.52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28,264.03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245,017,495.60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158,585,974.23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64,509,253.94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377,383,741.79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217,815,739.44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15,348.36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8,249,702.79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16,578,353.26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5,559,575,166.01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92.52</w:t>
            </w:r>
          </w:p>
        </w:tc>
      </w:tr>
    </w:tbl>
    <w:p w:rsidR="00A70CC5" w:rsidRDefault="00A70CC5"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24994">
        <w:trPr>
          <w:jc w:val="center"/>
        </w:trPr>
        <w:tc>
          <w:tcPr>
            <w:tcW w:w="855" w:type="dxa"/>
            <w:vAlign w:val="center"/>
          </w:tcPr>
          <w:p w:rsidR="00124994" w:rsidRDefault="005C7DC0">
            <w:pPr>
              <w:jc w:val="center"/>
            </w:pPr>
            <w:r>
              <w:rPr>
                <w:color w:val="000000"/>
                <w:sz w:val="24"/>
                <w:szCs w:val="24"/>
              </w:rPr>
              <w:t>1</w:t>
            </w:r>
          </w:p>
        </w:tc>
        <w:tc>
          <w:tcPr>
            <w:tcW w:w="1334" w:type="dxa"/>
            <w:vAlign w:val="center"/>
          </w:tcPr>
          <w:p w:rsidR="00124994" w:rsidRDefault="005C7DC0">
            <w:pPr>
              <w:jc w:val="center"/>
            </w:pPr>
            <w:r>
              <w:rPr>
                <w:color w:val="000000"/>
                <w:sz w:val="24"/>
                <w:szCs w:val="24"/>
              </w:rPr>
              <w:t>002049</w:t>
            </w:r>
          </w:p>
        </w:tc>
        <w:tc>
          <w:tcPr>
            <w:tcW w:w="1777" w:type="dxa"/>
            <w:vAlign w:val="center"/>
          </w:tcPr>
          <w:p w:rsidR="00124994" w:rsidRDefault="005C7DC0">
            <w:pPr>
              <w:jc w:val="center"/>
            </w:pPr>
            <w:r>
              <w:rPr>
                <w:color w:val="000000"/>
                <w:sz w:val="24"/>
                <w:szCs w:val="24"/>
              </w:rPr>
              <w:t>紫光国微</w:t>
            </w:r>
          </w:p>
        </w:tc>
        <w:tc>
          <w:tcPr>
            <w:tcW w:w="1334" w:type="dxa"/>
            <w:vAlign w:val="center"/>
          </w:tcPr>
          <w:p w:rsidR="00124994" w:rsidRDefault="005C7DC0">
            <w:pPr>
              <w:jc w:val="right"/>
            </w:pPr>
            <w:r>
              <w:rPr>
                <w:color w:val="000000"/>
                <w:sz w:val="24"/>
                <w:szCs w:val="24"/>
              </w:rPr>
              <w:t>4,714,478</w:t>
            </w:r>
          </w:p>
        </w:tc>
        <w:tc>
          <w:tcPr>
            <w:tcW w:w="1924" w:type="dxa"/>
            <w:vAlign w:val="center"/>
          </w:tcPr>
          <w:p w:rsidR="00124994" w:rsidRDefault="005C7DC0">
            <w:pPr>
              <w:jc w:val="right"/>
            </w:pPr>
            <w:r>
              <w:rPr>
                <w:color w:val="000000"/>
                <w:sz w:val="24"/>
                <w:szCs w:val="24"/>
              </w:rPr>
              <w:t>559,985,696.84</w:t>
            </w:r>
          </w:p>
        </w:tc>
        <w:tc>
          <w:tcPr>
            <w:tcW w:w="1644" w:type="dxa"/>
            <w:vAlign w:val="center"/>
          </w:tcPr>
          <w:p w:rsidR="00124994" w:rsidRDefault="005C7DC0">
            <w:pPr>
              <w:jc w:val="right"/>
            </w:pPr>
            <w:r>
              <w:rPr>
                <w:color w:val="000000"/>
                <w:sz w:val="24"/>
                <w:szCs w:val="24"/>
              </w:rPr>
              <w:t>9.32</w:t>
            </w:r>
          </w:p>
        </w:tc>
      </w:tr>
      <w:tr w:rsidR="00124994">
        <w:trPr>
          <w:jc w:val="center"/>
        </w:trPr>
        <w:tc>
          <w:tcPr>
            <w:tcW w:w="855" w:type="dxa"/>
            <w:vAlign w:val="center"/>
          </w:tcPr>
          <w:p w:rsidR="00124994" w:rsidRDefault="005C7DC0">
            <w:pPr>
              <w:jc w:val="center"/>
            </w:pPr>
            <w:r>
              <w:rPr>
                <w:color w:val="000000"/>
                <w:sz w:val="24"/>
                <w:szCs w:val="24"/>
              </w:rPr>
              <w:t>2</w:t>
            </w:r>
          </w:p>
        </w:tc>
        <w:tc>
          <w:tcPr>
            <w:tcW w:w="1334" w:type="dxa"/>
            <w:vAlign w:val="center"/>
          </w:tcPr>
          <w:p w:rsidR="00124994" w:rsidRDefault="005C7DC0">
            <w:pPr>
              <w:jc w:val="center"/>
            </w:pPr>
            <w:r>
              <w:rPr>
                <w:color w:val="000000"/>
                <w:sz w:val="24"/>
                <w:szCs w:val="24"/>
              </w:rPr>
              <w:t>300014</w:t>
            </w:r>
          </w:p>
        </w:tc>
        <w:tc>
          <w:tcPr>
            <w:tcW w:w="1777" w:type="dxa"/>
            <w:vAlign w:val="center"/>
          </w:tcPr>
          <w:p w:rsidR="00124994" w:rsidRDefault="005C7DC0">
            <w:pPr>
              <w:jc w:val="center"/>
            </w:pPr>
            <w:r>
              <w:rPr>
                <w:color w:val="000000"/>
                <w:sz w:val="24"/>
                <w:szCs w:val="24"/>
              </w:rPr>
              <w:t>亿纬锂能</w:t>
            </w:r>
          </w:p>
        </w:tc>
        <w:tc>
          <w:tcPr>
            <w:tcW w:w="1334" w:type="dxa"/>
            <w:vAlign w:val="center"/>
          </w:tcPr>
          <w:p w:rsidR="00124994" w:rsidRDefault="005C7DC0">
            <w:pPr>
              <w:jc w:val="right"/>
            </w:pPr>
            <w:r>
              <w:rPr>
                <w:color w:val="000000"/>
                <w:sz w:val="24"/>
                <w:szCs w:val="24"/>
              </w:rPr>
              <w:t>11,055,626</w:t>
            </w:r>
          </w:p>
        </w:tc>
        <w:tc>
          <w:tcPr>
            <w:tcW w:w="1924" w:type="dxa"/>
            <w:vAlign w:val="center"/>
          </w:tcPr>
          <w:p w:rsidR="00124994" w:rsidRDefault="005C7DC0">
            <w:pPr>
              <w:jc w:val="right"/>
            </w:pPr>
            <w:r>
              <w:rPr>
                <w:color w:val="000000"/>
                <w:sz w:val="24"/>
                <w:szCs w:val="24"/>
              </w:rPr>
              <w:t>547,253,487.00</w:t>
            </w:r>
          </w:p>
        </w:tc>
        <w:tc>
          <w:tcPr>
            <w:tcW w:w="1644" w:type="dxa"/>
            <w:vAlign w:val="center"/>
          </w:tcPr>
          <w:p w:rsidR="00124994" w:rsidRDefault="005C7DC0">
            <w:pPr>
              <w:jc w:val="right"/>
            </w:pPr>
            <w:r>
              <w:rPr>
                <w:color w:val="000000"/>
                <w:sz w:val="24"/>
                <w:szCs w:val="24"/>
              </w:rPr>
              <w:t>9.11</w:t>
            </w:r>
          </w:p>
        </w:tc>
      </w:tr>
      <w:tr w:rsidR="00124994">
        <w:trPr>
          <w:jc w:val="center"/>
        </w:trPr>
        <w:tc>
          <w:tcPr>
            <w:tcW w:w="855" w:type="dxa"/>
            <w:vAlign w:val="center"/>
          </w:tcPr>
          <w:p w:rsidR="00124994" w:rsidRDefault="005C7DC0">
            <w:pPr>
              <w:jc w:val="center"/>
            </w:pPr>
            <w:r>
              <w:rPr>
                <w:color w:val="000000"/>
                <w:sz w:val="24"/>
                <w:szCs w:val="24"/>
              </w:rPr>
              <w:t>3</w:t>
            </w:r>
          </w:p>
        </w:tc>
        <w:tc>
          <w:tcPr>
            <w:tcW w:w="1334" w:type="dxa"/>
            <w:vAlign w:val="center"/>
          </w:tcPr>
          <w:p w:rsidR="00124994" w:rsidRDefault="005C7DC0">
            <w:pPr>
              <w:jc w:val="center"/>
            </w:pPr>
            <w:r>
              <w:rPr>
                <w:color w:val="000000"/>
                <w:sz w:val="24"/>
                <w:szCs w:val="24"/>
              </w:rPr>
              <w:t>002271</w:t>
            </w:r>
          </w:p>
        </w:tc>
        <w:tc>
          <w:tcPr>
            <w:tcW w:w="1777" w:type="dxa"/>
            <w:vAlign w:val="center"/>
          </w:tcPr>
          <w:p w:rsidR="00124994" w:rsidRDefault="005C7DC0">
            <w:pPr>
              <w:jc w:val="center"/>
            </w:pPr>
            <w:r>
              <w:rPr>
                <w:color w:val="000000"/>
                <w:sz w:val="24"/>
                <w:szCs w:val="24"/>
              </w:rPr>
              <w:t>东方雨虹</w:t>
            </w:r>
          </w:p>
        </w:tc>
        <w:tc>
          <w:tcPr>
            <w:tcW w:w="1334" w:type="dxa"/>
            <w:vAlign w:val="center"/>
          </w:tcPr>
          <w:p w:rsidR="00124994" w:rsidRDefault="005C7DC0">
            <w:pPr>
              <w:jc w:val="right"/>
            </w:pPr>
            <w:r>
              <w:rPr>
                <w:color w:val="000000"/>
                <w:sz w:val="24"/>
                <w:szCs w:val="24"/>
              </w:rPr>
              <w:t>5,815,213</w:t>
            </w:r>
          </w:p>
        </w:tc>
        <w:tc>
          <w:tcPr>
            <w:tcW w:w="1924" w:type="dxa"/>
            <w:vAlign w:val="center"/>
          </w:tcPr>
          <w:p w:rsidR="00124994" w:rsidRDefault="005C7DC0">
            <w:pPr>
              <w:jc w:val="right"/>
            </w:pPr>
            <w:r>
              <w:rPr>
                <w:color w:val="000000"/>
                <w:sz w:val="24"/>
                <w:szCs w:val="24"/>
              </w:rPr>
              <w:t>313,439,980.70</w:t>
            </w:r>
          </w:p>
        </w:tc>
        <w:tc>
          <w:tcPr>
            <w:tcW w:w="1644" w:type="dxa"/>
            <w:vAlign w:val="center"/>
          </w:tcPr>
          <w:p w:rsidR="00124994" w:rsidRDefault="005C7DC0">
            <w:pPr>
              <w:jc w:val="right"/>
            </w:pPr>
            <w:r>
              <w:rPr>
                <w:color w:val="000000"/>
                <w:sz w:val="24"/>
                <w:szCs w:val="24"/>
              </w:rPr>
              <w:t>5.22</w:t>
            </w:r>
          </w:p>
        </w:tc>
      </w:tr>
      <w:tr w:rsidR="00124994">
        <w:trPr>
          <w:jc w:val="center"/>
        </w:trPr>
        <w:tc>
          <w:tcPr>
            <w:tcW w:w="855" w:type="dxa"/>
            <w:vAlign w:val="center"/>
          </w:tcPr>
          <w:p w:rsidR="00124994" w:rsidRDefault="005C7DC0">
            <w:pPr>
              <w:jc w:val="center"/>
            </w:pPr>
            <w:r>
              <w:rPr>
                <w:color w:val="000000"/>
                <w:sz w:val="24"/>
                <w:szCs w:val="24"/>
              </w:rPr>
              <w:t>4</w:t>
            </w:r>
          </w:p>
        </w:tc>
        <w:tc>
          <w:tcPr>
            <w:tcW w:w="1334" w:type="dxa"/>
            <w:vAlign w:val="center"/>
          </w:tcPr>
          <w:p w:rsidR="00124994" w:rsidRDefault="005C7DC0">
            <w:pPr>
              <w:jc w:val="center"/>
            </w:pPr>
            <w:r>
              <w:rPr>
                <w:color w:val="000000"/>
                <w:sz w:val="24"/>
                <w:szCs w:val="24"/>
              </w:rPr>
              <w:t>002352</w:t>
            </w:r>
          </w:p>
        </w:tc>
        <w:tc>
          <w:tcPr>
            <w:tcW w:w="1777" w:type="dxa"/>
            <w:vAlign w:val="center"/>
          </w:tcPr>
          <w:p w:rsidR="00124994" w:rsidRDefault="005C7DC0">
            <w:pPr>
              <w:jc w:val="center"/>
            </w:pPr>
            <w:r>
              <w:rPr>
                <w:color w:val="000000"/>
                <w:sz w:val="24"/>
                <w:szCs w:val="24"/>
              </w:rPr>
              <w:t>顺丰控股</w:t>
            </w:r>
          </w:p>
        </w:tc>
        <w:tc>
          <w:tcPr>
            <w:tcW w:w="1334" w:type="dxa"/>
            <w:vAlign w:val="center"/>
          </w:tcPr>
          <w:p w:rsidR="00124994" w:rsidRDefault="005C7DC0">
            <w:pPr>
              <w:jc w:val="right"/>
            </w:pPr>
            <w:r>
              <w:rPr>
                <w:color w:val="000000"/>
                <w:sz w:val="24"/>
                <w:szCs w:val="24"/>
              </w:rPr>
              <w:t>2,469,359</w:t>
            </w:r>
          </w:p>
        </w:tc>
        <w:tc>
          <w:tcPr>
            <w:tcW w:w="1924" w:type="dxa"/>
            <w:vAlign w:val="center"/>
          </w:tcPr>
          <w:p w:rsidR="00124994" w:rsidRDefault="005C7DC0">
            <w:pPr>
              <w:jc w:val="right"/>
            </w:pPr>
            <w:r>
              <w:rPr>
                <w:color w:val="000000"/>
                <w:sz w:val="24"/>
                <w:szCs w:val="24"/>
              </w:rPr>
              <w:t>200,511,950.80</w:t>
            </w:r>
          </w:p>
        </w:tc>
        <w:tc>
          <w:tcPr>
            <w:tcW w:w="1644" w:type="dxa"/>
            <w:vAlign w:val="center"/>
          </w:tcPr>
          <w:p w:rsidR="00124994" w:rsidRDefault="005C7DC0">
            <w:pPr>
              <w:jc w:val="right"/>
            </w:pPr>
            <w:r>
              <w:rPr>
                <w:color w:val="000000"/>
                <w:sz w:val="24"/>
                <w:szCs w:val="24"/>
              </w:rPr>
              <w:t>3.34</w:t>
            </w:r>
          </w:p>
        </w:tc>
      </w:tr>
      <w:tr w:rsidR="00124994">
        <w:trPr>
          <w:jc w:val="center"/>
        </w:trPr>
        <w:tc>
          <w:tcPr>
            <w:tcW w:w="855" w:type="dxa"/>
            <w:vAlign w:val="center"/>
          </w:tcPr>
          <w:p w:rsidR="00124994" w:rsidRDefault="005C7DC0">
            <w:pPr>
              <w:jc w:val="center"/>
            </w:pPr>
            <w:r>
              <w:rPr>
                <w:color w:val="000000"/>
                <w:sz w:val="24"/>
                <w:szCs w:val="24"/>
              </w:rPr>
              <w:t>5</w:t>
            </w:r>
          </w:p>
        </w:tc>
        <w:tc>
          <w:tcPr>
            <w:tcW w:w="1334" w:type="dxa"/>
            <w:vAlign w:val="center"/>
          </w:tcPr>
          <w:p w:rsidR="00124994" w:rsidRDefault="005C7DC0">
            <w:pPr>
              <w:jc w:val="center"/>
            </w:pPr>
            <w:r>
              <w:rPr>
                <w:color w:val="000000"/>
                <w:sz w:val="24"/>
                <w:szCs w:val="24"/>
              </w:rPr>
              <w:t>002475</w:t>
            </w:r>
          </w:p>
        </w:tc>
        <w:tc>
          <w:tcPr>
            <w:tcW w:w="1777" w:type="dxa"/>
            <w:vAlign w:val="center"/>
          </w:tcPr>
          <w:p w:rsidR="00124994" w:rsidRDefault="005C7DC0">
            <w:pPr>
              <w:jc w:val="center"/>
            </w:pPr>
            <w:r>
              <w:rPr>
                <w:color w:val="000000"/>
                <w:sz w:val="24"/>
                <w:szCs w:val="24"/>
              </w:rPr>
              <w:t>立讯精密</w:t>
            </w:r>
          </w:p>
        </w:tc>
        <w:tc>
          <w:tcPr>
            <w:tcW w:w="1334" w:type="dxa"/>
            <w:vAlign w:val="center"/>
          </w:tcPr>
          <w:p w:rsidR="00124994" w:rsidRDefault="005C7DC0">
            <w:pPr>
              <w:jc w:val="right"/>
            </w:pPr>
            <w:r>
              <w:rPr>
                <w:color w:val="000000"/>
                <w:sz w:val="24"/>
                <w:szCs w:val="24"/>
              </w:rPr>
              <w:t>3,502,152</w:t>
            </w:r>
          </w:p>
        </w:tc>
        <w:tc>
          <w:tcPr>
            <w:tcW w:w="1924" w:type="dxa"/>
            <w:vAlign w:val="center"/>
          </w:tcPr>
          <w:p w:rsidR="00124994" w:rsidRDefault="005C7DC0">
            <w:pPr>
              <w:jc w:val="right"/>
            </w:pPr>
            <w:r>
              <w:rPr>
                <w:color w:val="000000"/>
                <w:sz w:val="24"/>
                <w:szCs w:val="24"/>
              </w:rPr>
              <w:t>200,077,943.76</w:t>
            </w:r>
          </w:p>
        </w:tc>
        <w:tc>
          <w:tcPr>
            <w:tcW w:w="1644" w:type="dxa"/>
            <w:vAlign w:val="center"/>
          </w:tcPr>
          <w:p w:rsidR="00124994" w:rsidRDefault="005C7DC0">
            <w:pPr>
              <w:jc w:val="right"/>
            </w:pPr>
            <w:r>
              <w:rPr>
                <w:color w:val="000000"/>
                <w:sz w:val="24"/>
                <w:szCs w:val="24"/>
              </w:rPr>
              <w:t>3.33</w:t>
            </w:r>
          </w:p>
        </w:tc>
      </w:tr>
      <w:tr w:rsidR="00124994">
        <w:trPr>
          <w:jc w:val="center"/>
        </w:trPr>
        <w:tc>
          <w:tcPr>
            <w:tcW w:w="855" w:type="dxa"/>
            <w:vAlign w:val="center"/>
          </w:tcPr>
          <w:p w:rsidR="00124994" w:rsidRDefault="005C7DC0">
            <w:pPr>
              <w:jc w:val="center"/>
            </w:pPr>
            <w:r>
              <w:rPr>
                <w:color w:val="000000"/>
                <w:sz w:val="24"/>
                <w:szCs w:val="24"/>
              </w:rPr>
              <w:t>6</w:t>
            </w:r>
          </w:p>
        </w:tc>
        <w:tc>
          <w:tcPr>
            <w:tcW w:w="1334" w:type="dxa"/>
            <w:vAlign w:val="center"/>
          </w:tcPr>
          <w:p w:rsidR="00124994" w:rsidRDefault="005C7DC0">
            <w:pPr>
              <w:jc w:val="center"/>
            </w:pPr>
            <w:r>
              <w:rPr>
                <w:color w:val="000000"/>
                <w:sz w:val="24"/>
                <w:szCs w:val="24"/>
              </w:rPr>
              <w:t>601155</w:t>
            </w:r>
          </w:p>
        </w:tc>
        <w:tc>
          <w:tcPr>
            <w:tcW w:w="1777" w:type="dxa"/>
            <w:vAlign w:val="center"/>
          </w:tcPr>
          <w:p w:rsidR="00124994" w:rsidRDefault="005C7DC0">
            <w:pPr>
              <w:jc w:val="center"/>
            </w:pPr>
            <w:r>
              <w:rPr>
                <w:color w:val="000000"/>
                <w:sz w:val="24"/>
                <w:szCs w:val="24"/>
              </w:rPr>
              <w:t>新城控股</w:t>
            </w:r>
          </w:p>
        </w:tc>
        <w:tc>
          <w:tcPr>
            <w:tcW w:w="1334" w:type="dxa"/>
            <w:vAlign w:val="center"/>
          </w:tcPr>
          <w:p w:rsidR="00124994" w:rsidRDefault="005C7DC0">
            <w:pPr>
              <w:jc w:val="right"/>
            </w:pPr>
            <w:r>
              <w:rPr>
                <w:color w:val="000000"/>
                <w:sz w:val="24"/>
                <w:szCs w:val="24"/>
              </w:rPr>
              <w:t>5,512,085</w:t>
            </w:r>
          </w:p>
        </w:tc>
        <w:tc>
          <w:tcPr>
            <w:tcW w:w="1924" w:type="dxa"/>
            <w:vAlign w:val="center"/>
          </w:tcPr>
          <w:p w:rsidR="00124994" w:rsidRDefault="005C7DC0">
            <w:pPr>
              <w:jc w:val="right"/>
            </w:pPr>
            <w:r>
              <w:rPr>
                <w:color w:val="000000"/>
                <w:sz w:val="24"/>
                <w:szCs w:val="24"/>
              </w:rPr>
              <w:t>192,702,491.60</w:t>
            </w:r>
          </w:p>
        </w:tc>
        <w:tc>
          <w:tcPr>
            <w:tcW w:w="1644" w:type="dxa"/>
            <w:vAlign w:val="center"/>
          </w:tcPr>
          <w:p w:rsidR="00124994" w:rsidRDefault="005C7DC0">
            <w:pPr>
              <w:jc w:val="right"/>
            </w:pPr>
            <w:r>
              <w:rPr>
                <w:color w:val="000000"/>
                <w:sz w:val="24"/>
                <w:szCs w:val="24"/>
              </w:rPr>
              <w:t>3.21</w:t>
            </w:r>
          </w:p>
        </w:tc>
      </w:tr>
      <w:tr w:rsidR="00124994">
        <w:trPr>
          <w:jc w:val="center"/>
        </w:trPr>
        <w:tc>
          <w:tcPr>
            <w:tcW w:w="855" w:type="dxa"/>
            <w:vAlign w:val="center"/>
          </w:tcPr>
          <w:p w:rsidR="00124994" w:rsidRDefault="005C7DC0">
            <w:pPr>
              <w:jc w:val="center"/>
            </w:pPr>
            <w:r>
              <w:rPr>
                <w:color w:val="000000"/>
                <w:sz w:val="24"/>
                <w:szCs w:val="24"/>
              </w:rPr>
              <w:t>7</w:t>
            </w:r>
          </w:p>
        </w:tc>
        <w:tc>
          <w:tcPr>
            <w:tcW w:w="1334" w:type="dxa"/>
            <w:vAlign w:val="center"/>
          </w:tcPr>
          <w:p w:rsidR="00124994" w:rsidRDefault="005C7DC0">
            <w:pPr>
              <w:jc w:val="center"/>
            </w:pPr>
            <w:r>
              <w:rPr>
                <w:color w:val="000000"/>
                <w:sz w:val="24"/>
                <w:szCs w:val="24"/>
              </w:rPr>
              <w:t>300207</w:t>
            </w:r>
          </w:p>
        </w:tc>
        <w:tc>
          <w:tcPr>
            <w:tcW w:w="1777" w:type="dxa"/>
            <w:vAlign w:val="center"/>
          </w:tcPr>
          <w:p w:rsidR="00124994" w:rsidRDefault="005C7DC0">
            <w:pPr>
              <w:jc w:val="center"/>
            </w:pPr>
            <w:r>
              <w:rPr>
                <w:color w:val="000000"/>
                <w:sz w:val="24"/>
                <w:szCs w:val="24"/>
              </w:rPr>
              <w:t>欣旺达</w:t>
            </w:r>
          </w:p>
        </w:tc>
        <w:tc>
          <w:tcPr>
            <w:tcW w:w="1334" w:type="dxa"/>
            <w:vAlign w:val="center"/>
          </w:tcPr>
          <w:p w:rsidR="00124994" w:rsidRDefault="005C7DC0">
            <w:pPr>
              <w:jc w:val="right"/>
            </w:pPr>
            <w:r>
              <w:rPr>
                <w:color w:val="000000"/>
                <w:sz w:val="24"/>
                <w:szCs w:val="24"/>
              </w:rPr>
              <w:t>6,998,700</w:t>
            </w:r>
          </w:p>
        </w:tc>
        <w:tc>
          <w:tcPr>
            <w:tcW w:w="1924" w:type="dxa"/>
            <w:vAlign w:val="center"/>
          </w:tcPr>
          <w:p w:rsidR="00124994" w:rsidRDefault="005C7DC0">
            <w:pPr>
              <w:jc w:val="right"/>
            </w:pPr>
            <w:r>
              <w:rPr>
                <w:color w:val="000000"/>
                <w:sz w:val="24"/>
                <w:szCs w:val="24"/>
              </w:rPr>
              <w:t>189,594,783.00</w:t>
            </w:r>
          </w:p>
        </w:tc>
        <w:tc>
          <w:tcPr>
            <w:tcW w:w="1644" w:type="dxa"/>
            <w:vAlign w:val="center"/>
          </w:tcPr>
          <w:p w:rsidR="00124994" w:rsidRDefault="005C7DC0">
            <w:pPr>
              <w:jc w:val="right"/>
            </w:pPr>
            <w:r>
              <w:rPr>
                <w:color w:val="000000"/>
                <w:sz w:val="24"/>
                <w:szCs w:val="24"/>
              </w:rPr>
              <w:t>3.16</w:t>
            </w:r>
          </w:p>
        </w:tc>
      </w:tr>
      <w:tr w:rsidR="00124994">
        <w:trPr>
          <w:jc w:val="center"/>
        </w:trPr>
        <w:tc>
          <w:tcPr>
            <w:tcW w:w="855" w:type="dxa"/>
            <w:vAlign w:val="center"/>
          </w:tcPr>
          <w:p w:rsidR="00124994" w:rsidRDefault="005C7DC0">
            <w:pPr>
              <w:jc w:val="center"/>
            </w:pPr>
            <w:r>
              <w:rPr>
                <w:color w:val="000000"/>
                <w:sz w:val="24"/>
                <w:szCs w:val="24"/>
              </w:rPr>
              <w:t>8</w:t>
            </w:r>
          </w:p>
        </w:tc>
        <w:tc>
          <w:tcPr>
            <w:tcW w:w="1334" w:type="dxa"/>
            <w:vAlign w:val="center"/>
          </w:tcPr>
          <w:p w:rsidR="00124994" w:rsidRDefault="005C7DC0">
            <w:pPr>
              <w:jc w:val="center"/>
            </w:pPr>
            <w:r>
              <w:rPr>
                <w:color w:val="000000"/>
                <w:sz w:val="24"/>
                <w:szCs w:val="24"/>
              </w:rPr>
              <w:t>002444</w:t>
            </w:r>
          </w:p>
        </w:tc>
        <w:tc>
          <w:tcPr>
            <w:tcW w:w="1777" w:type="dxa"/>
            <w:vAlign w:val="center"/>
          </w:tcPr>
          <w:p w:rsidR="00124994" w:rsidRDefault="005C7DC0">
            <w:pPr>
              <w:jc w:val="center"/>
            </w:pPr>
            <w:r>
              <w:rPr>
                <w:color w:val="000000"/>
                <w:sz w:val="24"/>
                <w:szCs w:val="24"/>
              </w:rPr>
              <w:t>巨星科技</w:t>
            </w:r>
          </w:p>
        </w:tc>
        <w:tc>
          <w:tcPr>
            <w:tcW w:w="1334" w:type="dxa"/>
            <w:vAlign w:val="center"/>
          </w:tcPr>
          <w:p w:rsidR="00124994" w:rsidRDefault="005C7DC0">
            <w:pPr>
              <w:jc w:val="right"/>
            </w:pPr>
            <w:r>
              <w:rPr>
                <w:color w:val="000000"/>
                <w:sz w:val="24"/>
                <w:szCs w:val="24"/>
              </w:rPr>
              <w:t>9,278,926</w:t>
            </w:r>
          </w:p>
        </w:tc>
        <w:tc>
          <w:tcPr>
            <w:tcW w:w="1924" w:type="dxa"/>
            <w:vAlign w:val="center"/>
          </w:tcPr>
          <w:p w:rsidR="00124994" w:rsidRDefault="005C7DC0">
            <w:pPr>
              <w:jc w:val="right"/>
            </w:pPr>
            <w:r>
              <w:rPr>
                <w:color w:val="000000"/>
                <w:sz w:val="24"/>
                <w:szCs w:val="24"/>
              </w:rPr>
              <w:t>183,537,156.28</w:t>
            </w:r>
          </w:p>
        </w:tc>
        <w:tc>
          <w:tcPr>
            <w:tcW w:w="1644" w:type="dxa"/>
            <w:vAlign w:val="center"/>
          </w:tcPr>
          <w:p w:rsidR="00124994" w:rsidRDefault="005C7DC0">
            <w:pPr>
              <w:jc w:val="right"/>
            </w:pPr>
            <w:r>
              <w:rPr>
                <w:color w:val="000000"/>
                <w:sz w:val="24"/>
                <w:szCs w:val="24"/>
              </w:rPr>
              <w:t>3.05</w:t>
            </w:r>
          </w:p>
        </w:tc>
      </w:tr>
      <w:tr w:rsidR="00124994">
        <w:trPr>
          <w:jc w:val="center"/>
        </w:trPr>
        <w:tc>
          <w:tcPr>
            <w:tcW w:w="855" w:type="dxa"/>
            <w:vAlign w:val="center"/>
          </w:tcPr>
          <w:p w:rsidR="00124994" w:rsidRDefault="005C7DC0">
            <w:pPr>
              <w:jc w:val="center"/>
            </w:pPr>
            <w:r>
              <w:rPr>
                <w:color w:val="000000"/>
                <w:sz w:val="24"/>
                <w:szCs w:val="24"/>
              </w:rPr>
              <w:t>9</w:t>
            </w:r>
          </w:p>
        </w:tc>
        <w:tc>
          <w:tcPr>
            <w:tcW w:w="1334" w:type="dxa"/>
            <w:vAlign w:val="center"/>
          </w:tcPr>
          <w:p w:rsidR="00124994" w:rsidRDefault="005C7DC0">
            <w:pPr>
              <w:jc w:val="center"/>
            </w:pPr>
            <w:r>
              <w:rPr>
                <w:color w:val="000000"/>
                <w:sz w:val="24"/>
                <w:szCs w:val="24"/>
              </w:rPr>
              <w:t>601038</w:t>
            </w:r>
          </w:p>
        </w:tc>
        <w:tc>
          <w:tcPr>
            <w:tcW w:w="1777" w:type="dxa"/>
            <w:vAlign w:val="center"/>
          </w:tcPr>
          <w:p w:rsidR="00124994" w:rsidRDefault="005C7DC0">
            <w:pPr>
              <w:jc w:val="center"/>
            </w:pPr>
            <w:r>
              <w:rPr>
                <w:color w:val="000000"/>
                <w:sz w:val="24"/>
                <w:szCs w:val="24"/>
              </w:rPr>
              <w:t>一拖股份</w:t>
            </w:r>
          </w:p>
        </w:tc>
        <w:tc>
          <w:tcPr>
            <w:tcW w:w="1334" w:type="dxa"/>
            <w:vAlign w:val="center"/>
          </w:tcPr>
          <w:p w:rsidR="00124994" w:rsidRDefault="005C7DC0">
            <w:pPr>
              <w:jc w:val="right"/>
            </w:pPr>
            <w:r>
              <w:rPr>
                <w:color w:val="000000"/>
                <w:sz w:val="24"/>
                <w:szCs w:val="24"/>
              </w:rPr>
              <w:t>14,952,091</w:t>
            </w:r>
          </w:p>
        </w:tc>
        <w:tc>
          <w:tcPr>
            <w:tcW w:w="1924" w:type="dxa"/>
            <w:vAlign w:val="center"/>
          </w:tcPr>
          <w:p w:rsidR="00124994" w:rsidRDefault="005C7DC0">
            <w:pPr>
              <w:jc w:val="right"/>
            </w:pPr>
            <w:r>
              <w:rPr>
                <w:color w:val="000000"/>
                <w:sz w:val="24"/>
                <w:szCs w:val="24"/>
              </w:rPr>
              <w:t>166,865,335.56</w:t>
            </w:r>
          </w:p>
        </w:tc>
        <w:tc>
          <w:tcPr>
            <w:tcW w:w="1644" w:type="dxa"/>
            <w:vAlign w:val="center"/>
          </w:tcPr>
          <w:p w:rsidR="00124994" w:rsidRDefault="005C7DC0">
            <w:pPr>
              <w:jc w:val="right"/>
            </w:pPr>
            <w:r>
              <w:rPr>
                <w:color w:val="000000"/>
                <w:sz w:val="24"/>
                <w:szCs w:val="24"/>
              </w:rPr>
              <w:t>2.78</w:t>
            </w:r>
          </w:p>
        </w:tc>
      </w:tr>
      <w:tr w:rsidR="00124994">
        <w:trPr>
          <w:jc w:val="center"/>
        </w:trPr>
        <w:tc>
          <w:tcPr>
            <w:tcW w:w="855" w:type="dxa"/>
            <w:vAlign w:val="center"/>
          </w:tcPr>
          <w:p w:rsidR="00124994" w:rsidRDefault="005C7DC0">
            <w:pPr>
              <w:jc w:val="center"/>
            </w:pPr>
            <w:r>
              <w:rPr>
                <w:color w:val="000000"/>
                <w:sz w:val="24"/>
                <w:szCs w:val="24"/>
              </w:rPr>
              <w:t>10</w:t>
            </w:r>
          </w:p>
        </w:tc>
        <w:tc>
          <w:tcPr>
            <w:tcW w:w="1334" w:type="dxa"/>
            <w:vAlign w:val="center"/>
          </w:tcPr>
          <w:p w:rsidR="00124994" w:rsidRDefault="005C7DC0">
            <w:pPr>
              <w:jc w:val="center"/>
            </w:pPr>
            <w:r>
              <w:rPr>
                <w:color w:val="000000"/>
                <w:sz w:val="24"/>
                <w:szCs w:val="24"/>
              </w:rPr>
              <w:t>002384</w:t>
            </w:r>
          </w:p>
        </w:tc>
        <w:tc>
          <w:tcPr>
            <w:tcW w:w="1777" w:type="dxa"/>
            <w:vAlign w:val="center"/>
          </w:tcPr>
          <w:p w:rsidR="00124994" w:rsidRDefault="005C7DC0">
            <w:pPr>
              <w:jc w:val="center"/>
            </w:pPr>
            <w:r>
              <w:rPr>
                <w:color w:val="000000"/>
                <w:sz w:val="24"/>
                <w:szCs w:val="24"/>
              </w:rPr>
              <w:t>东山精密</w:t>
            </w:r>
          </w:p>
        </w:tc>
        <w:tc>
          <w:tcPr>
            <w:tcW w:w="1334" w:type="dxa"/>
            <w:vAlign w:val="center"/>
          </w:tcPr>
          <w:p w:rsidR="00124994" w:rsidRDefault="005C7DC0">
            <w:pPr>
              <w:jc w:val="right"/>
            </w:pPr>
            <w:r>
              <w:rPr>
                <w:color w:val="000000"/>
                <w:sz w:val="24"/>
                <w:szCs w:val="24"/>
              </w:rPr>
              <w:t>5,675,795</w:t>
            </w:r>
          </w:p>
        </w:tc>
        <w:tc>
          <w:tcPr>
            <w:tcW w:w="1924" w:type="dxa"/>
            <w:vAlign w:val="center"/>
          </w:tcPr>
          <w:p w:rsidR="00124994" w:rsidRDefault="005C7DC0">
            <w:pPr>
              <w:jc w:val="right"/>
            </w:pPr>
            <w:r>
              <w:rPr>
                <w:color w:val="000000"/>
                <w:sz w:val="24"/>
                <w:szCs w:val="24"/>
              </w:rPr>
              <w:t>149,840,988.00</w:t>
            </w:r>
          </w:p>
        </w:tc>
        <w:tc>
          <w:tcPr>
            <w:tcW w:w="1644" w:type="dxa"/>
            <w:vAlign w:val="center"/>
          </w:tcPr>
          <w:p w:rsidR="00124994" w:rsidRDefault="005C7DC0">
            <w:pPr>
              <w:jc w:val="right"/>
            </w:pPr>
            <w:r>
              <w:rPr>
                <w:color w:val="000000"/>
                <w:sz w:val="24"/>
                <w:szCs w:val="24"/>
              </w:rPr>
              <w:t>2.49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7,254,238.50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0.12</w:t>
            </w:r>
          </w:p>
        </w:tc>
      </w:tr>
      <w:tr w:rsidR="00F323FF" w:rsidRPr="00414345" w:rsidTr="005C7DC0">
        <w:trPr>
          <w:jc w:val="center"/>
        </w:trPr>
        <w:tc>
          <w:tcPr>
            <w:tcW w:w="828" w:type="dxa"/>
            <w:vAlign w:val="center"/>
          </w:tcPr>
          <w:p w:rsidR="00F323FF" w:rsidRPr="007A70C2" w:rsidRDefault="00F323FF" w:rsidP="005C7DC0">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5C7DC0">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5C7DC0">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5C7DC0">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7,254,238.50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24994">
        <w:trPr>
          <w:jc w:val="center"/>
        </w:trPr>
        <w:tc>
          <w:tcPr>
            <w:tcW w:w="850" w:type="dxa"/>
            <w:vAlign w:val="center"/>
          </w:tcPr>
          <w:p w:rsidR="00124994" w:rsidRDefault="005C7DC0">
            <w:pPr>
              <w:jc w:val="center"/>
            </w:pPr>
            <w:r>
              <w:rPr>
                <w:color w:val="000000"/>
                <w:sz w:val="24"/>
                <w:szCs w:val="24"/>
              </w:rPr>
              <w:t>1</w:t>
            </w:r>
          </w:p>
        </w:tc>
        <w:tc>
          <w:tcPr>
            <w:tcW w:w="1475" w:type="dxa"/>
            <w:vAlign w:val="center"/>
          </w:tcPr>
          <w:p w:rsidR="00124994" w:rsidRDefault="005C7DC0">
            <w:pPr>
              <w:jc w:val="center"/>
            </w:pPr>
            <w:r>
              <w:rPr>
                <w:color w:val="000000"/>
                <w:sz w:val="24"/>
                <w:szCs w:val="24"/>
              </w:rPr>
              <w:t>123058</w:t>
            </w:r>
          </w:p>
        </w:tc>
        <w:tc>
          <w:tcPr>
            <w:tcW w:w="1769" w:type="dxa"/>
            <w:vAlign w:val="center"/>
          </w:tcPr>
          <w:p w:rsidR="00124994" w:rsidRDefault="005C7DC0">
            <w:pPr>
              <w:jc w:val="center"/>
            </w:pPr>
            <w:r>
              <w:rPr>
                <w:color w:val="000000"/>
                <w:sz w:val="24"/>
                <w:szCs w:val="24"/>
              </w:rPr>
              <w:t>欣旺转债</w:t>
            </w:r>
          </w:p>
        </w:tc>
        <w:tc>
          <w:tcPr>
            <w:tcW w:w="1387" w:type="dxa"/>
            <w:vAlign w:val="center"/>
          </w:tcPr>
          <w:p w:rsidR="00124994" w:rsidRDefault="005C7DC0">
            <w:pPr>
              <w:jc w:val="right"/>
            </w:pPr>
            <w:r>
              <w:rPr>
                <w:color w:val="000000"/>
                <w:sz w:val="24"/>
                <w:szCs w:val="24"/>
              </w:rPr>
              <w:t>49,950</w:t>
            </w:r>
          </w:p>
        </w:tc>
        <w:tc>
          <w:tcPr>
            <w:tcW w:w="2150" w:type="dxa"/>
            <w:vAlign w:val="center"/>
          </w:tcPr>
          <w:p w:rsidR="00124994" w:rsidRDefault="005C7DC0">
            <w:pPr>
              <w:jc w:val="right"/>
            </w:pPr>
            <w:r>
              <w:rPr>
                <w:color w:val="000000"/>
                <w:sz w:val="24"/>
                <w:szCs w:val="24"/>
              </w:rPr>
              <w:t>7,254,238.50</w:t>
            </w:r>
          </w:p>
        </w:tc>
        <w:tc>
          <w:tcPr>
            <w:tcW w:w="1237" w:type="dxa"/>
            <w:vAlign w:val="center"/>
          </w:tcPr>
          <w:p w:rsidR="00124994" w:rsidRDefault="005C7DC0">
            <w:pPr>
              <w:jc w:val="right"/>
            </w:pPr>
            <w:r>
              <w:rPr>
                <w:color w:val="000000"/>
                <w:sz w:val="24"/>
                <w:szCs w:val="24"/>
              </w:rPr>
              <w:t>0.12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70CC5" w:rsidRPr="00414345" w:rsidRDefault="00A70CC5"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1,535,181.08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136,015,751.51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42,525.30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4,994,447.17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142,587,905.06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A70CC5" w:rsidRPr="00414345" w:rsidRDefault="00A70CC5" w:rsidP="00C15CAC">
      <w:pPr>
        <w:autoSpaceDE w:val="0"/>
        <w:autoSpaceDN w:val="0"/>
        <w:adjustRightInd w:val="0"/>
        <w:spacing w:before="29" w:line="288" w:lineRule="auto"/>
        <w:jc w:val="left"/>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A70CC5" w:rsidRPr="00414345" w:rsidRDefault="00A70CC5" w:rsidP="00C15CAC">
      <w:pPr>
        <w:autoSpaceDE w:val="0"/>
        <w:autoSpaceDN w:val="0"/>
        <w:adjustRightInd w:val="0"/>
        <w:spacing w:before="29" w:line="288" w:lineRule="auto"/>
        <w:jc w:val="left"/>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4,812,010,168.13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2,070,111,847.87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2,087,404,659.80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4,794,717,356.20</w:t>
            </w:r>
          </w:p>
        </w:tc>
      </w:tr>
    </w:tbl>
    <w:p w:rsidR="00124994" w:rsidRDefault="005C7DC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A70CC5">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124994" w:rsidRDefault="005C7DC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、中国证监会准予交银施罗德创新领航混合型证券投资基金募集注册的文件；</w:t>
      </w:r>
      <w:r>
        <w:rPr>
          <w:color w:val="000000"/>
          <w:sz w:val="24"/>
          <w:szCs w:val="24"/>
        </w:rPr>
        <w:t xml:space="preserve"> </w:t>
      </w:r>
    </w:p>
    <w:p w:rsidR="00124994" w:rsidRDefault="005C7DC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、《交银施罗德创新领航混合型证券投资基金基金合同》；</w:t>
      </w:r>
      <w:r>
        <w:rPr>
          <w:color w:val="000000"/>
          <w:sz w:val="24"/>
          <w:szCs w:val="24"/>
        </w:rPr>
        <w:t xml:space="preserve"> </w:t>
      </w:r>
    </w:p>
    <w:p w:rsidR="00124994" w:rsidRDefault="005C7DC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、《交银施罗德创新领航混合型证券投资基金招募说明书》；</w:t>
      </w:r>
      <w:r>
        <w:rPr>
          <w:color w:val="000000"/>
          <w:sz w:val="24"/>
          <w:szCs w:val="24"/>
        </w:rPr>
        <w:t xml:space="preserve"> </w:t>
      </w:r>
    </w:p>
    <w:p w:rsidR="00124994" w:rsidRDefault="005C7DC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、《交银施罗德创新领航混合型证券投资基金托管协议》；</w:t>
      </w:r>
      <w:r>
        <w:rPr>
          <w:color w:val="000000"/>
          <w:sz w:val="24"/>
          <w:szCs w:val="24"/>
        </w:rPr>
        <w:t xml:space="preserve"> </w:t>
      </w:r>
    </w:p>
    <w:p w:rsidR="00124994" w:rsidRDefault="005C7DC0">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、关于申请募集注册交银施罗德创新领航混合型证券投资基金的法律意见书；</w:t>
      </w:r>
      <w:r>
        <w:rPr>
          <w:color w:val="000000"/>
          <w:sz w:val="24"/>
          <w:szCs w:val="24"/>
        </w:rPr>
        <w:t xml:space="preserve"> </w:t>
      </w:r>
    </w:p>
    <w:p w:rsidR="00124994" w:rsidRDefault="005C7DC0">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124994" w:rsidRDefault="005C7DC0">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、报告期内交银施罗德创新领航混合型证券投资基金在指定报刊上各项公告的原稿。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124994" w:rsidRDefault="005C7DC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1FD" w:rsidRDefault="006B71FD" w:rsidP="00876D65">
      <w:r>
        <w:separator/>
      </w:r>
    </w:p>
  </w:endnote>
  <w:endnote w:type="continuationSeparator" w:id="0">
    <w:p w:rsidR="006B71FD" w:rsidRDefault="006B71FD"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DC0" w:rsidRDefault="005C7DC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DC0" w:rsidRPr="001D0DB0" w:rsidRDefault="005C7DC0" w:rsidP="004D340C">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17580">
      <w:rPr>
        <w:noProof/>
        <w:kern w:val="0"/>
        <w:szCs w:val="21"/>
      </w:rPr>
      <w:t>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17580">
      <w:rPr>
        <w:noProof/>
        <w:kern w:val="0"/>
        <w:szCs w:val="21"/>
      </w:rPr>
      <w:t>12</w:t>
    </w:r>
    <w:r>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DC0" w:rsidRDefault="005C7D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1FD" w:rsidRDefault="006B71FD" w:rsidP="00876D65">
      <w:r>
        <w:separator/>
      </w:r>
    </w:p>
  </w:footnote>
  <w:footnote w:type="continuationSeparator" w:id="0">
    <w:p w:rsidR="006B71FD" w:rsidRDefault="006B71FD"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DC0" w:rsidRDefault="005C7DC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DC0" w:rsidRPr="00DC456F" w:rsidRDefault="005C7DC0" w:rsidP="00090A26">
    <w:pPr>
      <w:pStyle w:val="a9"/>
      <w:pBdr>
        <w:bottom w:val="single" w:sz="6" w:space="0" w:color="auto"/>
      </w:pBdr>
      <w:jc w:val="right"/>
      <w:rPr>
        <w:sz w:val="24"/>
        <w:szCs w:val="24"/>
      </w:rPr>
    </w:pPr>
    <w:r w:rsidRPr="003E676C">
      <w:rPr>
        <w:sz w:val="24"/>
        <w:szCs w:val="24"/>
      </w:rPr>
      <w:t>交银施罗德创新领航混合型证券投资基金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DC0" w:rsidRDefault="005C7DC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24994"/>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C7DC0"/>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B71FD"/>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0CC5"/>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17580"/>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69D8"/>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5DB6F-7B2C-488C-B53E-1C0D0C9D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1852</TotalTime>
  <Pages>12</Pages>
  <Words>1030</Words>
  <Characters>5873</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603</cp:revision>
  <dcterms:created xsi:type="dcterms:W3CDTF">2012-10-16T06:07:00Z</dcterms:created>
  <dcterms:modified xsi:type="dcterms:W3CDTF">2020-10-26T02:47:00Z</dcterms:modified>
</cp:coreProperties>
</file>