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2014年5月22日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885,664,954.66</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519738</w:t>
            </w:r>
            <w:r w:rsidRPr="007F52FA">
              <w:rPr>
                <w:color w:themeColor="text1" w:val="000000"/>
                <w:sz w:val="24"/>
              </w:rPr>
              <w:t>（前端）、</w:t>
            </w:r>
            <w:r w:rsidRPr="007F52FA">
              <w:rPr>
                <w:color w:themeColor="text1" w:val="000000"/>
                <w:sz w:val="24"/>
              </w:rPr>
              <w:t>519739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519759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744,882,496.52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140,782,458.14</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交银周期回报灵活配置混合A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交银周期回报灵活配置混合C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48,393,856.12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6,983,390.98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53,749,222.42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7,208,272.31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0.0764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0.0664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942,887,611.71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177,107,334.34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1.258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交银周期回报灵活配置混合A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6.57%</w:t>
            </w:r>
          </w:p>
        </w:tc>
        <w:tc>
          <w:tcPr>
            <w:vAlign w:val="center"/>
          </w:tcPr>
          <w:p>
            <w:pPr>
              <w:jc w:val="center"/>
            </w:pPr>
            <w:r>
              <w:rPr>
                <w:color w:val="000000"/>
                <w:sz w:val="24"/>
              </w:rPr>
              <w:t>0.32%</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2.15%</w:t>
            </w:r>
          </w:p>
        </w:tc>
        <w:tc>
          <w:tcPr>
            <w:vAlign w:val="center"/>
          </w:tcPr>
          <w:p>
            <w:pPr>
              <w:jc w:val="center"/>
            </w:pPr>
            <w:r>
              <w:rPr>
                <w:color w:val="000000"/>
                <w:sz w:val="24"/>
              </w:rPr>
              <w:t>-0.47%</w:t>
            </w:r>
          </w:p>
        </w:tc>
      </w:tr>
      <w:tr>
        <w:tc>
          <w:tcPr>
            <w:vAlign w:val="center"/>
          </w:tcPr>
          <w:p>
            <w:pPr>
              <w:jc w:val="left"/>
            </w:pPr>
            <w:r>
              <w:rPr>
                <w:color w:val="000000"/>
                <w:sz w:val="24"/>
              </w:rPr>
              <w:t>过去六个月</w:t>
            </w:r>
          </w:p>
        </w:tc>
        <w:tc>
          <w:tcPr>
            <w:vAlign w:val="center"/>
          </w:tcPr>
          <w:p>
            <w:pPr>
              <w:jc w:val="center"/>
            </w:pPr>
            <w:r>
              <w:rPr>
                <w:color w:val="000000"/>
                <w:sz w:val="24"/>
              </w:rPr>
              <w:t>8.58%</w:t>
            </w:r>
          </w:p>
        </w:tc>
        <w:tc>
          <w:tcPr>
            <w:vAlign w:val="center"/>
          </w:tcPr>
          <w:p>
            <w:pPr>
              <w:jc w:val="center"/>
            </w:pPr>
            <w:r>
              <w:rPr>
                <w:color w:val="000000"/>
                <w:sz w:val="24"/>
              </w:rPr>
              <w:t>0.25%</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-1.89%</w:t>
            </w:r>
          </w:p>
        </w:tc>
        <w:tc>
          <w:tcPr>
            <w:vAlign w:val="center"/>
          </w:tcPr>
          <w:p>
            <w:pPr>
              <w:jc w:val="center"/>
            </w:pPr>
            <w:r>
              <w:rPr>
                <w:color w:val="000000"/>
                <w:sz w:val="24"/>
              </w:rPr>
              <w:t>-0.40%</w:t>
            </w:r>
          </w:p>
        </w:tc>
      </w:tr>
      <w:tr>
        <w:tc>
          <w:tcPr>
            <w:vAlign w:val="center"/>
          </w:tcPr>
          <w:p>
            <w:pPr>
              <w:jc w:val="left"/>
            </w:pPr>
            <w:r>
              <w:rPr>
                <w:color w:val="000000"/>
                <w:sz w:val="24"/>
              </w:rPr>
              <w:t>过去一年</w:t>
            </w:r>
          </w:p>
        </w:tc>
        <w:tc>
          <w:tcPr>
            <w:vAlign w:val="center"/>
          </w:tcPr>
          <w:p>
            <w:pPr>
              <w:jc w:val="center"/>
            </w:pPr>
            <w:r>
              <w:rPr>
                <w:color w:val="000000"/>
                <w:sz w:val="24"/>
              </w:rPr>
              <w:t>12.69%</w:t>
            </w:r>
          </w:p>
        </w:tc>
        <w:tc>
          <w:tcPr>
            <w:vAlign w:val="center"/>
          </w:tcPr>
          <w:p>
            <w:pPr>
              <w:jc w:val="center"/>
            </w:pPr>
            <w:r>
              <w:rPr>
                <w:color w:val="000000"/>
                <w:sz w:val="24"/>
              </w:rPr>
              <w:t>0.25%</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2.38%</w:t>
            </w:r>
          </w:p>
        </w:tc>
        <w:tc>
          <w:tcPr>
            <w:vAlign w:val="center"/>
          </w:tcPr>
          <w:p>
            <w:pPr>
              <w:jc w:val="center"/>
            </w:pPr>
            <w:r>
              <w:rPr>
                <w:color w:val="000000"/>
                <w:sz w:val="24"/>
              </w:rPr>
              <w:t>-0.43%</w:t>
            </w:r>
          </w:p>
        </w:tc>
      </w:tr>
      <w:tr>
        <w:tc>
          <w:tcPr>
            <w:vAlign w:val="center"/>
          </w:tcPr>
          <w:p>
            <w:pPr>
              <w:jc w:val="left"/>
            </w:pPr>
            <w:r>
              <w:rPr>
                <w:color w:val="000000"/>
                <w:sz w:val="24"/>
              </w:rPr>
              <w:t>过去三年</w:t>
            </w:r>
          </w:p>
        </w:tc>
        <w:tc>
          <w:tcPr>
            <w:vAlign w:val="center"/>
          </w:tcPr>
          <w:p>
            <w:pPr>
              <w:jc w:val="center"/>
            </w:pPr>
            <w:r>
              <w:rPr>
                <w:color w:val="000000"/>
                <w:sz w:val="24"/>
              </w:rPr>
              <w:t>26.67%</w:t>
            </w:r>
          </w:p>
        </w:tc>
        <w:tc>
          <w:tcPr>
            <w:vAlign w:val="center"/>
          </w:tcPr>
          <w:p>
            <w:pPr>
              <w:jc w:val="center"/>
            </w:pPr>
            <w:r>
              <w:rPr>
                <w:color w:val="000000"/>
                <w:sz w:val="24"/>
              </w:rPr>
              <w:t>0.24%</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13.13%</w:t>
            </w:r>
          </w:p>
        </w:tc>
        <w:tc>
          <w:tcPr>
            <w:vAlign w:val="center"/>
          </w:tcPr>
          <w:p>
            <w:pPr>
              <w:jc w:val="center"/>
            </w:pPr>
            <w:r>
              <w:rPr>
                <w:color w:val="000000"/>
                <w:sz w:val="24"/>
              </w:rPr>
              <w:t>-0.42%</w:t>
            </w:r>
          </w:p>
        </w:tc>
      </w:tr>
      <w:tr>
        <w:tc>
          <w:tcPr>
            <w:vAlign w:val="center"/>
          </w:tcPr>
          <w:p>
            <w:pPr>
              <w:jc w:val="left"/>
            </w:pPr>
            <w:r>
              <w:rPr>
                <w:color w:val="000000"/>
                <w:sz w:val="24"/>
              </w:rPr>
              <w:t>过去五年</w:t>
            </w:r>
          </w:p>
        </w:tc>
        <w:tc>
          <w:tcPr>
            <w:vAlign w:val="center"/>
          </w:tcPr>
          <w:p>
            <w:pPr>
              <w:jc w:val="center"/>
            </w:pPr>
            <w:r>
              <w:rPr>
                <w:color w:val="000000"/>
                <w:sz w:val="24"/>
              </w:rPr>
              <w:t>44.60%</w:t>
            </w:r>
          </w:p>
        </w:tc>
        <w:tc>
          <w:tcPr>
            <w:vAlign w:val="center"/>
          </w:tcPr>
          <w:p>
            <w:pPr>
              <w:jc w:val="center"/>
            </w:pPr>
            <w:r>
              <w:rPr>
                <w:color w:val="000000"/>
                <w:sz w:val="24"/>
              </w:rPr>
              <w:t>0.21%</w:t>
            </w:r>
          </w:p>
        </w:tc>
        <w:tc>
          <w:tcPr>
            <w:vAlign w:val="center"/>
          </w:tcPr>
          <w:p>
            <w:pPr>
              <w:jc w:val="center"/>
            </w:pPr>
            <w:r>
              <w:rPr>
                <w:color w:val="000000"/>
                <w:sz w:val="24"/>
              </w:rPr>
              <w:t>24.05%</w:t>
            </w:r>
          </w:p>
        </w:tc>
        <w:tc>
          <w:tcPr>
            <w:vAlign w:val="center"/>
          </w:tcPr>
          <w:p>
            <w:pPr>
              <w:jc w:val="center"/>
            </w:pPr>
            <w:r>
              <w:rPr>
                <w:color w:val="000000"/>
                <w:sz w:val="24"/>
              </w:rPr>
              <w:t>0.64%</w:t>
            </w:r>
          </w:p>
        </w:tc>
        <w:tc>
          <w:tcPr>
            <w:vAlign w:val="center"/>
          </w:tcPr>
          <w:p>
            <w:pPr>
              <w:jc w:val="center"/>
            </w:pPr>
            <w:r>
              <w:rPr>
                <w:color w:val="000000"/>
                <w:sz w:val="24"/>
              </w:rPr>
              <w:t>20.55%</w:t>
            </w:r>
          </w:p>
        </w:tc>
        <w:tc>
          <w:tcPr>
            <w:vAlign w:val="center"/>
          </w:tcPr>
          <w:p>
            <w:pPr>
              <w:jc w:val="center"/>
            </w:pPr>
            <w:r>
              <w:rPr>
                <w:color w:val="000000"/>
                <w:sz w:val="24"/>
              </w:rPr>
              <w:t>-0.43%</w:t>
            </w:r>
          </w:p>
        </w:tc>
      </w:tr>
      <w:tr>
        <w:tc>
          <w:tcPr>
            <w:vAlign w:val="center"/>
          </w:tcPr>
          <w:p>
            <w:pPr>
              <w:jc w:val="left"/>
            </w:pPr>
            <w:r>
              <w:rPr>
                <w:color w:val="000000"/>
                <w:sz w:val="24"/>
              </w:rPr>
              <w:t>自基金合同生效起至今</w:t>
            </w:r>
          </w:p>
        </w:tc>
        <w:tc>
          <w:tcPr>
            <w:vAlign w:val="center"/>
          </w:tcPr>
          <w:p>
            <w:pPr>
              <w:jc w:val="center"/>
            </w:pPr>
            <w:r>
              <w:rPr>
                <w:color w:val="000000"/>
                <w:sz w:val="24"/>
              </w:rPr>
              <w:t>89.77%</w:t>
            </w:r>
          </w:p>
        </w:tc>
        <w:tc>
          <w:tcPr>
            <w:vAlign w:val="center"/>
          </w:tcPr>
          <w:p>
            <w:pPr>
              <w:jc w:val="center"/>
            </w:pPr>
            <w:r>
              <w:rPr>
                <w:color w:val="000000"/>
                <w:sz w:val="24"/>
              </w:rPr>
              <w:t>0.27%</w:t>
            </w:r>
          </w:p>
        </w:tc>
        <w:tc>
          <w:tcPr>
            <w:vAlign w:val="center"/>
          </w:tcPr>
          <w:p>
            <w:pPr>
              <w:jc w:val="center"/>
            </w:pPr>
            <w:r>
              <w:rPr>
                <w:color w:val="000000"/>
                <w:sz w:val="24"/>
              </w:rPr>
              <w:t>59.32%</w:t>
            </w:r>
          </w:p>
        </w:tc>
        <w:tc>
          <w:tcPr>
            <w:vAlign w:val="center"/>
          </w:tcPr>
          <w:p>
            <w:pPr>
              <w:jc w:val="center"/>
            </w:pPr>
            <w:r>
              <w:rPr>
                <w:color w:val="000000"/>
                <w:sz w:val="24"/>
              </w:rPr>
              <w:t>0.76%</w:t>
            </w:r>
          </w:p>
        </w:tc>
        <w:tc>
          <w:tcPr>
            <w:vAlign w:val="center"/>
          </w:tcPr>
          <w:p>
            <w:pPr>
              <w:jc w:val="center"/>
            </w:pPr>
            <w:r>
              <w:rPr>
                <w:color w:val="000000"/>
                <w:sz w:val="24"/>
              </w:rPr>
              <w:t>30.45%</w:t>
            </w:r>
          </w:p>
        </w:tc>
        <w:tc>
          <w:tcPr>
            <w:vAlign w:val="center"/>
          </w:tcPr>
          <w:p>
            <w:pPr>
              <w:jc w:val="center"/>
            </w:pPr>
            <w:r>
              <w:rPr>
                <w:color w:val="000000"/>
                <w:sz w:val="24"/>
              </w:rPr>
              <w:t>-0.49%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交银周期回报灵活配置混合C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6.52%</w:t>
            </w:r>
          </w:p>
        </w:tc>
        <w:tc>
          <w:tcPr>
            <w:vAlign w:val="center"/>
          </w:tcPr>
          <w:p>
            <w:pPr>
              <w:jc w:val="center"/>
            </w:pPr>
            <w:r>
              <w:rPr>
                <w:color w:val="000000"/>
                <w:sz w:val="24"/>
              </w:rPr>
              <w:t>0.32%</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2.10%</w:t>
            </w:r>
          </w:p>
        </w:tc>
        <w:tc>
          <w:tcPr>
            <w:vAlign w:val="center"/>
          </w:tcPr>
          <w:p>
            <w:pPr>
              <w:jc w:val="center"/>
            </w:pPr>
            <w:r>
              <w:rPr>
                <w:color w:val="000000"/>
                <w:sz w:val="24"/>
              </w:rPr>
              <w:t>-0.47%</w:t>
            </w:r>
          </w:p>
        </w:tc>
      </w:tr>
      <w:tr>
        <w:tc>
          <w:tcPr>
            <w:vAlign w:val="center"/>
          </w:tcPr>
          <w:p>
            <w:pPr>
              <w:jc w:val="left"/>
            </w:pPr>
            <w:r>
              <w:rPr>
                <w:color w:val="000000"/>
                <w:sz w:val="24"/>
              </w:rPr>
              <w:t>过去六个月</w:t>
            </w:r>
          </w:p>
        </w:tc>
        <w:tc>
          <w:tcPr>
            <w:vAlign w:val="center"/>
          </w:tcPr>
          <w:p>
            <w:pPr>
              <w:jc w:val="center"/>
            </w:pPr>
            <w:r>
              <w:rPr>
                <w:color w:val="000000"/>
                <w:sz w:val="24"/>
              </w:rPr>
              <w:t>8.54%</w:t>
            </w:r>
          </w:p>
        </w:tc>
        <w:tc>
          <w:tcPr>
            <w:vAlign w:val="center"/>
          </w:tcPr>
          <w:p>
            <w:pPr>
              <w:jc w:val="center"/>
            </w:pPr>
            <w:r>
              <w:rPr>
                <w:color w:val="000000"/>
                <w:sz w:val="24"/>
              </w:rPr>
              <w:t>0.25%</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-1.93%</w:t>
            </w:r>
          </w:p>
        </w:tc>
        <w:tc>
          <w:tcPr>
            <w:vAlign w:val="center"/>
          </w:tcPr>
          <w:p>
            <w:pPr>
              <w:jc w:val="center"/>
            </w:pPr>
            <w:r>
              <w:rPr>
                <w:color w:val="000000"/>
                <w:sz w:val="24"/>
              </w:rPr>
              <w:t>-0.40%</w:t>
            </w:r>
          </w:p>
        </w:tc>
      </w:tr>
      <w:tr>
        <w:tc>
          <w:tcPr>
            <w:vAlign w:val="center"/>
          </w:tcPr>
          <w:p>
            <w:pPr>
              <w:jc w:val="left"/>
            </w:pPr>
            <w:r>
              <w:rPr>
                <w:color w:val="000000"/>
                <w:sz w:val="24"/>
              </w:rPr>
              <w:t>过去一年</w:t>
            </w:r>
          </w:p>
        </w:tc>
        <w:tc>
          <w:tcPr>
            <w:vAlign w:val="center"/>
          </w:tcPr>
          <w:p>
            <w:pPr>
              <w:jc w:val="center"/>
            </w:pPr>
            <w:r>
              <w:rPr>
                <w:color w:val="000000"/>
                <w:sz w:val="24"/>
              </w:rPr>
              <w:t>12.58%</w:t>
            </w:r>
          </w:p>
        </w:tc>
        <w:tc>
          <w:tcPr>
            <w:vAlign w:val="center"/>
          </w:tcPr>
          <w:p>
            <w:pPr>
              <w:jc w:val="center"/>
            </w:pPr>
            <w:r>
              <w:rPr>
                <w:color w:val="000000"/>
                <w:sz w:val="24"/>
              </w:rPr>
              <w:t>0.25%</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2.27%</w:t>
            </w:r>
          </w:p>
        </w:tc>
        <w:tc>
          <w:tcPr>
            <w:vAlign w:val="center"/>
          </w:tcPr>
          <w:p>
            <w:pPr>
              <w:jc w:val="center"/>
            </w:pPr>
            <w:r>
              <w:rPr>
                <w:color w:val="000000"/>
                <w:sz w:val="24"/>
              </w:rPr>
              <w:t>-0.43%</w:t>
            </w:r>
          </w:p>
        </w:tc>
      </w:tr>
      <w:tr>
        <w:tc>
          <w:tcPr>
            <w:vAlign w:val="center"/>
          </w:tcPr>
          <w:p>
            <w:pPr>
              <w:jc w:val="left"/>
            </w:pPr>
            <w:r>
              <w:rPr>
                <w:color w:val="000000"/>
                <w:sz w:val="24"/>
              </w:rPr>
              <w:t>过去三年</w:t>
            </w:r>
          </w:p>
        </w:tc>
        <w:tc>
          <w:tcPr>
            <w:vAlign w:val="center"/>
          </w:tcPr>
          <w:p>
            <w:pPr>
              <w:jc w:val="center"/>
            </w:pPr>
            <w:r>
              <w:rPr>
                <w:color w:val="000000"/>
                <w:sz w:val="24"/>
              </w:rPr>
              <w:t>26.47%</w:t>
            </w:r>
          </w:p>
        </w:tc>
        <w:tc>
          <w:tcPr>
            <w:vAlign w:val="center"/>
          </w:tcPr>
          <w:p>
            <w:pPr>
              <w:jc w:val="center"/>
            </w:pPr>
            <w:r>
              <w:rPr>
                <w:color w:val="000000"/>
                <w:sz w:val="24"/>
              </w:rPr>
              <w:t>0.24%</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12.93%</w:t>
            </w:r>
          </w:p>
        </w:tc>
        <w:tc>
          <w:tcPr>
            <w:vAlign w:val="center"/>
          </w:tcPr>
          <w:p>
            <w:pPr>
              <w:jc w:val="center"/>
            </w:pPr>
            <w:r>
              <w:rPr>
                <w:color w:val="000000"/>
                <w:sz w:val="24"/>
              </w:rPr>
              <w:t>-0.42%</w:t>
            </w:r>
          </w:p>
        </w:tc>
      </w:tr>
      <w:tr>
        <w:tc>
          <w:tcPr>
            <w:vAlign w:val="center"/>
          </w:tcPr>
          <w:p>
            <w:pPr>
              <w:jc w:val="left"/>
            </w:pPr>
            <w:r>
              <w:rPr>
                <w:color w:val="000000"/>
                <w:sz w:val="24"/>
              </w:rPr>
              <w:t>自基金合同生效起至今</w:t>
            </w:r>
          </w:p>
        </w:tc>
        <w:tc>
          <w:tcPr>
            <w:vAlign w:val="center"/>
          </w:tcPr>
          <w:p>
            <w:pPr>
              <w:jc w:val="center"/>
            </w:pPr>
            <w:r>
              <w:rPr>
                <w:color w:val="000000"/>
                <w:sz w:val="24"/>
              </w:rPr>
              <w:t>55.75%</w:t>
            </w:r>
          </w:p>
        </w:tc>
        <w:tc>
          <w:tcPr>
            <w:vAlign w:val="center"/>
          </w:tcPr>
          <w:p>
            <w:pPr>
              <w:jc w:val="center"/>
            </w:pPr>
            <w:r>
              <w:rPr>
                <w:color w:val="000000"/>
                <w:sz w:val="24"/>
              </w:rPr>
              <w:t>0.39%</w:t>
            </w:r>
          </w:p>
        </w:tc>
        <w:tc>
          <w:tcPr>
            <w:vAlign w:val="center"/>
          </w:tcPr>
          <w:p>
            <w:pPr>
              <w:jc w:val="center"/>
            </w:pPr>
            <w:r>
              <w:rPr>
                <w:color w:val="000000"/>
                <w:sz w:val="24"/>
              </w:rPr>
              <w:t>13.96%</w:t>
            </w:r>
          </w:p>
        </w:tc>
        <w:tc>
          <w:tcPr>
            <w:vAlign w:val="center"/>
          </w:tcPr>
          <w:p>
            <w:pPr>
              <w:jc w:val="center"/>
            </w:pPr>
            <w:r>
              <w:rPr>
                <w:color w:val="000000"/>
                <w:sz w:val="24"/>
              </w:rPr>
              <w:t>0.63%</w:t>
            </w:r>
          </w:p>
        </w:tc>
        <w:tc>
          <w:tcPr>
            <w:vAlign w:val="center"/>
          </w:tcPr>
          <w:p>
            <w:pPr>
              <w:jc w:val="center"/>
            </w:pPr>
            <w:r>
              <w:rPr>
                <w:color w:val="000000"/>
                <w:sz w:val="24"/>
              </w:rPr>
              <w:t>41.79%</w:t>
            </w:r>
          </w:p>
        </w:tc>
        <w:tc>
          <w:tcPr>
            <w:vAlign w:val="center"/>
          </w:tcPr>
          <w:p>
            <w:pPr>
              <w:jc w:val="center"/>
            </w:pPr>
            <w:r>
              <w:rPr>
                <w:color w:val="000000"/>
                <w:sz w:val="24"/>
              </w:rPr>
              <w:t>-0.24%</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交银施罗德周期回报灵活配置混合型证券投资基金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2014年5月22日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注：图示日期为2014年5月22日至2020年9月30日。本基金建仓期为自基金合同生效日起的6个月。截至建仓期结束，本基金各项资产配置比例符合基金合同及招募说明书有关投资比例的约定。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交银周期回报灵活配置混合C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注：本基金自2015年11月19日起，开始销售C类份额，投资者提交的申购申请于2015年11月20日被确认并将有效份额登记在册。图示日期为2015年11月20日至2020年9月30日。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2020-07-23</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vAlign w:val="center"/>
          </w:tcPr>
          <w:p>
            <w:pPr>
              <w:jc w:val="center"/>
            </w:pPr>
            <w:r>
              <w:rPr>
                <w:color w:val="000000"/>
                <w:sz w:val="24"/>
              </w:rPr>
              <w:t>2020-07-09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pPr>
        <w:spacing w:before="29" w:line="288" w:lineRule="auto"/>
        <w:ind w:firstLine="480" w:firstLineChars="200"/>
        <w:rPr>
          <w:color w:val="000000"/>
          <w:sz w:val="24"/>
        </w:rPr>
      </w:pPr>
      <w:r>
        <w:rPr>
          <w:color w:val="000000"/>
          <w:sz w:val="24"/>
        </w:rPr>
        <w:t>2020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二季度我们提升了消费电子、军工以及新能源等成长方向的仓位。三季度我们则根据持仓标的估值情况，降仓了部分纯beta的仓位，并在低估值板块内部根据基本面做了置换。此外，本基金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我们预计经济将会继续磨底，随着货币政策回归中性，债券市场或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171,244,525.42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15.21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171,244,525.42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15.21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899,457,275.32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899,457,275.32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21,500,000.00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14,615,699.74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18,715,947.00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1,125,533,447.48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3,088,125.00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0.28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102,547,470.28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9.16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11,111,724.12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2,479,054.03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0.22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1,719,723.36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0.15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4,605,096.29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24,297,551.32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2.17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15,977,816.00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14,813.40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5,358,018.36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45,133.26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171,244,525.42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15.29</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226,104</w:t>
            </w:r>
          </w:p>
        </w:tc>
        <w:tc>
          <w:tcPr>
            <w:vAlign w:val="center"/>
          </w:tcPr>
          <w:p>
            <w:pPr>
              <w:jc w:val="right"/>
            </w:pPr>
            <w:r>
              <w:rPr>
                <w:color w:val="000000"/>
                <w:sz w:val="24"/>
              </w:rPr>
              <w:t>12,187,005.60</w:t>
            </w:r>
          </w:p>
        </w:tc>
        <w:tc>
          <w:tcPr>
            <w:vAlign w:val="center"/>
          </w:tcPr>
          <w:p>
            <w:pPr>
              <w:jc w:val="right"/>
            </w:pPr>
            <w:r>
              <w:rPr>
                <w:color w:val="000000"/>
                <w:sz w:val="24"/>
              </w:rPr>
              <w:t>1.09</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659,200</w:t>
            </w:r>
          </w:p>
        </w:tc>
        <w:tc>
          <w:tcPr>
            <w:vAlign w:val="center"/>
          </w:tcPr>
          <w:p>
            <w:pPr>
              <w:jc w:val="right"/>
            </w:pPr>
            <w:r>
              <w:rPr>
                <w:color w:val="000000"/>
                <w:sz w:val="24"/>
              </w:rPr>
              <w:t>10,474,688.00</w:t>
            </w:r>
          </w:p>
        </w:tc>
        <w:tc>
          <w:tcPr>
            <w:vAlign w:val="center"/>
          </w:tcPr>
          <w:p>
            <w:pPr>
              <w:jc w:val="right"/>
            </w:pPr>
            <w:r>
              <w:rPr>
                <w:color w:val="000000"/>
                <w:sz w:val="24"/>
              </w:rPr>
              <w:t>0.94</w:t>
            </w:r>
          </w:p>
        </w:tc>
      </w:tr>
      <w:tr>
        <w:tc>
          <w:tcPr>
            <w:vAlign w:val="center"/>
          </w:tcPr>
          <w:p>
            <w:pPr>
              <w:jc w:val="center"/>
            </w:pPr>
            <w:r>
              <w:rPr>
                <w:color w:val="000000"/>
                <w:sz w:val="24"/>
              </w:rPr>
              <w:t>3</w:t>
            </w:r>
          </w:p>
        </w:tc>
        <w:tc>
          <w:tcPr>
            <w:vAlign w:val="center"/>
          </w:tcPr>
          <w:p>
            <w:pPr>
              <w:jc w:val="center"/>
            </w:pPr>
            <w:r>
              <w:rPr>
                <w:color w:val="000000"/>
                <w:sz w:val="24"/>
              </w:rPr>
              <w:t>002064</w:t>
            </w:r>
          </w:p>
        </w:tc>
        <w:tc>
          <w:tcPr>
            <w:vAlign w:val="center"/>
          </w:tcPr>
          <w:p>
            <w:pPr>
              <w:jc w:val="center"/>
            </w:pPr>
            <w:r>
              <w:rPr>
                <w:color w:val="000000"/>
                <w:sz w:val="24"/>
              </w:rPr>
              <w:t>华峰氨纶</w:t>
            </w:r>
          </w:p>
        </w:tc>
        <w:tc>
          <w:tcPr>
            <w:vAlign w:val="center"/>
          </w:tcPr>
          <w:p>
            <w:pPr>
              <w:jc w:val="right"/>
            </w:pPr>
            <w:r>
              <w:rPr>
                <w:color w:val="000000"/>
                <w:sz w:val="24"/>
              </w:rPr>
              <w:t>1,047,200</w:t>
            </w:r>
          </w:p>
        </w:tc>
        <w:tc>
          <w:tcPr>
            <w:vAlign w:val="center"/>
          </w:tcPr>
          <w:p>
            <w:pPr>
              <w:jc w:val="right"/>
            </w:pPr>
            <w:r>
              <w:rPr>
                <w:color w:val="000000"/>
                <w:sz w:val="24"/>
              </w:rPr>
              <w:t>7,623,616.00</w:t>
            </w:r>
          </w:p>
        </w:tc>
        <w:tc>
          <w:tcPr>
            <w:vAlign w:val="center"/>
          </w:tcPr>
          <w:p>
            <w:pPr>
              <w:jc w:val="right"/>
            </w:pPr>
            <w:r>
              <w:rPr>
                <w:color w:val="000000"/>
                <w:sz w:val="24"/>
              </w:rPr>
              <w:t>0.68</w:t>
            </w:r>
          </w:p>
        </w:tc>
      </w:tr>
      <w:tr>
        <w:tc>
          <w:tcPr>
            <w:vAlign w:val="center"/>
          </w:tcPr>
          <w:p>
            <w:pPr>
              <w:jc w:val="center"/>
            </w:pPr>
            <w:r>
              <w:rPr>
                <w:color w:val="000000"/>
                <w:sz w:val="24"/>
              </w:rPr>
              <w:t>4</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132,077</w:t>
            </w:r>
          </w:p>
        </w:tc>
        <w:tc>
          <w:tcPr>
            <w:vAlign w:val="center"/>
          </w:tcPr>
          <w:p>
            <w:pPr>
              <w:jc w:val="right"/>
            </w:pPr>
            <w:r>
              <w:rPr>
                <w:color w:val="000000"/>
                <w:sz w:val="24"/>
              </w:rPr>
              <w:t>7,545,559.01</w:t>
            </w:r>
          </w:p>
        </w:tc>
        <w:tc>
          <w:tcPr>
            <w:vAlign w:val="center"/>
          </w:tcPr>
          <w:p>
            <w:pPr>
              <w:jc w:val="right"/>
            </w:pPr>
            <w:r>
              <w:rPr>
                <w:color w:val="000000"/>
                <w:sz w:val="24"/>
              </w:rPr>
              <w:t>0.67</w:t>
            </w:r>
          </w:p>
        </w:tc>
      </w:tr>
      <w:tr>
        <w:tc>
          <w:tcPr>
            <w:vAlign w:val="center"/>
          </w:tcPr>
          <w:p>
            <w:pPr>
              <w:jc w:val="center"/>
            </w:pPr>
            <w:r>
              <w:rPr>
                <w:color w:val="000000"/>
                <w:sz w:val="24"/>
              </w:rPr>
              <w:t>5</w:t>
            </w:r>
          </w:p>
        </w:tc>
        <w:tc>
          <w:tcPr>
            <w:vAlign w:val="center"/>
          </w:tcPr>
          <w:p>
            <w:pPr>
              <w:jc w:val="center"/>
            </w:pPr>
            <w:r>
              <w:rPr>
                <w:color w:val="000000"/>
                <w:sz w:val="24"/>
              </w:rPr>
              <w:t>601838</w:t>
            </w:r>
          </w:p>
        </w:tc>
        <w:tc>
          <w:tcPr>
            <w:vAlign w:val="center"/>
          </w:tcPr>
          <w:p>
            <w:pPr>
              <w:jc w:val="center"/>
            </w:pPr>
            <w:r>
              <w:rPr>
                <w:color w:val="000000"/>
                <w:sz w:val="24"/>
              </w:rPr>
              <w:t>成都银行</w:t>
            </w:r>
          </w:p>
        </w:tc>
        <w:tc>
          <w:tcPr>
            <w:vAlign w:val="center"/>
          </w:tcPr>
          <w:p>
            <w:pPr>
              <w:jc w:val="right"/>
            </w:pPr>
            <w:r>
              <w:rPr>
                <w:color w:val="000000"/>
                <w:sz w:val="24"/>
              </w:rPr>
              <w:t>763,457</w:t>
            </w:r>
          </w:p>
        </w:tc>
        <w:tc>
          <w:tcPr>
            <w:vAlign w:val="center"/>
          </w:tcPr>
          <w:p>
            <w:pPr>
              <w:jc w:val="right"/>
            </w:pPr>
            <w:r>
              <w:rPr>
                <w:color w:val="000000"/>
                <w:sz w:val="24"/>
              </w:rPr>
              <w:t>7,542,955.16</w:t>
            </w:r>
          </w:p>
        </w:tc>
        <w:tc>
          <w:tcPr>
            <w:vAlign w:val="center"/>
          </w:tcPr>
          <w:p>
            <w:pPr>
              <w:jc w:val="right"/>
            </w:pPr>
            <w:r>
              <w:rPr>
                <w:color w:val="000000"/>
                <w:sz w:val="24"/>
              </w:rPr>
              <w:t>0.67</w:t>
            </w:r>
          </w:p>
        </w:tc>
      </w:tr>
      <w:tr>
        <w:tc>
          <w:tcPr>
            <w:vAlign w:val="center"/>
          </w:tcPr>
          <w:p>
            <w:pPr>
              <w:jc w:val="center"/>
            </w:pPr>
            <w:r>
              <w:rPr>
                <w:color w:val="000000"/>
                <w:sz w:val="24"/>
              </w:rPr>
              <w:t>6</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238,013</w:t>
            </w:r>
          </w:p>
        </w:tc>
        <w:tc>
          <w:tcPr>
            <w:vAlign w:val="center"/>
          </w:tcPr>
          <w:p>
            <w:pPr>
              <w:jc w:val="right"/>
            </w:pPr>
            <w:r>
              <w:rPr>
                <w:color w:val="000000"/>
                <w:sz w:val="24"/>
              </w:rPr>
              <w:t>7,428,385.73</w:t>
            </w:r>
          </w:p>
        </w:tc>
        <w:tc>
          <w:tcPr>
            <w:vAlign w:val="center"/>
          </w:tcPr>
          <w:p>
            <w:pPr>
              <w:jc w:val="right"/>
            </w:pPr>
            <w:r>
              <w:rPr>
                <w:color w:val="000000"/>
                <w:sz w:val="24"/>
              </w:rPr>
              <w:t>0.66</w:t>
            </w:r>
          </w:p>
        </w:tc>
      </w:tr>
      <w:tr>
        <w:tc>
          <w:tcPr>
            <w:vAlign w:val="center"/>
          </w:tcPr>
          <w:p>
            <w:pPr>
              <w:jc w:val="center"/>
            </w:pPr>
            <w:r>
              <w:rPr>
                <w:color w:val="000000"/>
                <w:sz w:val="24"/>
              </w:rPr>
              <w:t>7</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1,143,800</w:t>
            </w:r>
          </w:p>
        </w:tc>
        <w:tc>
          <w:tcPr>
            <w:vAlign w:val="center"/>
          </w:tcPr>
          <w:p>
            <w:pPr>
              <w:jc w:val="right"/>
            </w:pPr>
            <w:r>
              <w:rPr>
                <w:color w:val="000000"/>
                <w:sz w:val="24"/>
              </w:rPr>
              <w:t>5,810,504.00</w:t>
            </w:r>
          </w:p>
        </w:tc>
        <w:tc>
          <w:tcPr>
            <w:vAlign w:val="center"/>
          </w:tcPr>
          <w:p>
            <w:pPr>
              <w:jc w:val="right"/>
            </w:pPr>
            <w:r>
              <w:rPr>
                <w:color w:val="000000"/>
                <w:sz w:val="24"/>
              </w:rPr>
              <w:t>0.52</w:t>
            </w:r>
          </w:p>
        </w:tc>
      </w:tr>
      <w:tr>
        <w:tc>
          <w:tcPr>
            <w:vAlign w:val="center"/>
          </w:tcPr>
          <w:p>
            <w:pPr>
              <w:jc w:val="center"/>
            </w:pPr>
            <w:r>
              <w:rPr>
                <w:color w:val="000000"/>
                <w:sz w:val="24"/>
              </w:rPr>
              <w:t>8</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1,135,800</w:t>
            </w:r>
          </w:p>
        </w:tc>
        <w:tc>
          <w:tcPr>
            <w:vAlign w:val="center"/>
          </w:tcPr>
          <w:p>
            <w:pPr>
              <w:jc w:val="right"/>
            </w:pPr>
            <w:r>
              <w:rPr>
                <w:color w:val="000000"/>
                <w:sz w:val="24"/>
              </w:rPr>
              <w:t>5,576,778.00</w:t>
            </w:r>
          </w:p>
        </w:tc>
        <w:tc>
          <w:tcPr>
            <w:vAlign w:val="center"/>
          </w:tcPr>
          <w:p>
            <w:pPr>
              <w:jc w:val="right"/>
            </w:pPr>
            <w:r>
              <w:rPr>
                <w:color w:val="000000"/>
                <w:sz w:val="24"/>
              </w:rPr>
              <w:t>0.50</w:t>
            </w:r>
          </w:p>
        </w:tc>
      </w:tr>
      <w:tr>
        <w:tc>
          <w:tcPr>
            <w:vAlign w:val="center"/>
          </w:tcPr>
          <w:p>
            <w:pPr>
              <w:jc w:val="center"/>
            </w:pPr>
            <w:r>
              <w:rPr>
                <w:color w:val="000000"/>
                <w:sz w:val="24"/>
              </w:rPr>
              <w:t>9</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196,400</w:t>
            </w:r>
          </w:p>
        </w:tc>
        <w:tc>
          <w:tcPr>
            <w:vAlign w:val="center"/>
          </w:tcPr>
          <w:p>
            <w:pPr>
              <w:jc w:val="right"/>
            </w:pPr>
            <w:r>
              <w:rPr>
                <w:color w:val="000000"/>
                <w:sz w:val="24"/>
              </w:rPr>
              <w:t>5,503,128.00</w:t>
            </w:r>
          </w:p>
        </w:tc>
        <w:tc>
          <w:tcPr>
            <w:vAlign w:val="center"/>
          </w:tcPr>
          <w:p>
            <w:pPr>
              <w:jc w:val="right"/>
            </w:pPr>
            <w:r>
              <w:rPr>
                <w:color w:val="000000"/>
                <w:sz w:val="24"/>
              </w:rPr>
              <w:t>0.49</w:t>
            </w:r>
          </w:p>
        </w:tc>
      </w:tr>
      <w:tr>
        <w:tc>
          <w:tcPr>
            <w:vAlign w:val="center"/>
          </w:tcPr>
          <w:p>
            <w:pPr>
              <w:jc w:val="center"/>
            </w:pPr>
            <w:r>
              <w:rPr>
                <w:color w:val="000000"/>
                <w:sz w:val="24"/>
              </w:rPr>
              <w:t>10</w:t>
            </w:r>
          </w:p>
        </w:tc>
        <w:tc>
          <w:tcPr>
            <w:vAlign w:val="center"/>
          </w:tcPr>
          <w:p>
            <w:pPr>
              <w:jc w:val="center"/>
            </w:pPr>
            <w:r>
              <w:rPr>
                <w:color w:val="000000"/>
                <w:sz w:val="24"/>
              </w:rPr>
              <w:t>002493</w:t>
            </w:r>
          </w:p>
        </w:tc>
        <w:tc>
          <w:tcPr>
            <w:vAlign w:val="center"/>
          </w:tcPr>
          <w:p>
            <w:pPr>
              <w:jc w:val="center"/>
            </w:pPr>
            <w:r>
              <w:rPr>
                <w:color w:val="000000"/>
                <w:sz w:val="24"/>
              </w:rPr>
              <w:t>荣盛石化</w:t>
            </w:r>
          </w:p>
        </w:tc>
        <w:tc>
          <w:tcPr>
            <w:vAlign w:val="center"/>
          </w:tcPr>
          <w:p>
            <w:pPr>
              <w:jc w:val="right"/>
            </w:pPr>
            <w:r>
              <w:rPr>
                <w:color w:val="000000"/>
                <w:sz w:val="24"/>
              </w:rPr>
              <w:t>292,600</w:t>
            </w:r>
          </w:p>
        </w:tc>
        <w:tc>
          <w:tcPr>
            <w:vAlign w:val="center"/>
          </w:tcPr>
          <w:p>
            <w:pPr>
              <w:jc w:val="right"/>
            </w:pPr>
            <w:r>
              <w:rPr>
                <w:color w:val="000000"/>
                <w:sz w:val="24"/>
              </w:rPr>
              <w:t>5,489,176.00</w:t>
            </w:r>
          </w:p>
        </w:tc>
        <w:tc>
          <w:tcPr>
            <w:vAlign w:val="center"/>
          </w:tcPr>
          <w:p>
            <w:pPr>
              <w:jc w:val="right"/>
            </w:pPr>
            <w:r>
              <w:rPr>
                <w:color w:val="000000"/>
                <w:sz w:val="24"/>
              </w:rPr>
              <w:t>0.49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51,661,723.30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4.61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6,711,363.00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0.60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6,711,363.00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0.60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301,727,000.00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26.94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29,835,000.00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2.66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509,293,000.00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45.47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229,189.02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899,457,275.32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80.31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101901016</w:t>
            </w:r>
          </w:p>
        </w:tc>
        <w:tc>
          <w:tcPr>
            <w:vAlign w:val="center"/>
          </w:tcPr>
          <w:p>
            <w:pPr>
              <w:jc w:val="center"/>
            </w:pPr>
            <w:r>
              <w:rPr>
                <w:color w:val="000000"/>
                <w:sz w:val="24"/>
              </w:rPr>
              <w:t>19王府井集MTN001</w:t>
            </w:r>
          </w:p>
        </w:tc>
        <w:tc>
          <w:tcPr>
            <w:vAlign w:val="center"/>
          </w:tcPr>
          <w:p>
            <w:pPr>
              <w:jc w:val="right"/>
            </w:pPr>
            <w:r>
              <w:rPr>
                <w:color w:val="000000"/>
                <w:sz w:val="24"/>
              </w:rPr>
              <w:t>400,000</w:t>
            </w:r>
          </w:p>
        </w:tc>
        <w:tc>
          <w:tcPr>
            <w:vAlign w:val="center"/>
          </w:tcPr>
          <w:p>
            <w:pPr>
              <w:jc w:val="right"/>
            </w:pPr>
            <w:r>
              <w:rPr>
                <w:color w:val="000000"/>
                <w:sz w:val="24"/>
              </w:rPr>
              <w:t>40,084,000.00</w:t>
            </w:r>
          </w:p>
        </w:tc>
        <w:tc>
          <w:tcPr>
            <w:vAlign w:val="center"/>
          </w:tcPr>
          <w:p>
            <w:pPr>
              <w:jc w:val="right"/>
            </w:pPr>
            <w:r>
              <w:rPr>
                <w:color w:val="000000"/>
                <w:sz w:val="24"/>
              </w:rPr>
              <w:t>3.58</w:t>
            </w:r>
          </w:p>
        </w:tc>
      </w:tr>
      <w:tr>
        <w:tc>
          <w:tcPr>
            <w:vAlign w:val="center"/>
          </w:tcPr>
          <w:p>
            <w:pPr>
              <w:jc w:val="center"/>
            </w:pPr>
            <w:r>
              <w:rPr>
                <w:color w:val="000000"/>
                <w:sz w:val="24"/>
              </w:rPr>
              <w:t>2</w:t>
            </w:r>
          </w:p>
        </w:tc>
        <w:tc>
          <w:tcPr>
            <w:vAlign w:val="center"/>
          </w:tcPr>
          <w:p>
            <w:pPr>
              <w:jc w:val="center"/>
            </w:pPr>
            <w:r>
              <w:rPr>
                <w:color w:val="000000"/>
                <w:sz w:val="24"/>
              </w:rPr>
              <w:t>101901369</w:t>
            </w:r>
          </w:p>
        </w:tc>
        <w:tc>
          <w:tcPr>
            <w:vAlign w:val="center"/>
          </w:tcPr>
          <w:p>
            <w:pPr>
              <w:jc w:val="center"/>
            </w:pPr>
            <w:r>
              <w:rPr>
                <w:color w:val="000000"/>
                <w:sz w:val="24"/>
              </w:rPr>
              <w:t>19金融街投MTN001</w:t>
            </w:r>
          </w:p>
        </w:tc>
        <w:tc>
          <w:tcPr>
            <w:vAlign w:val="center"/>
          </w:tcPr>
          <w:p>
            <w:pPr>
              <w:jc w:val="right"/>
            </w:pPr>
            <w:r>
              <w:rPr>
                <w:color w:val="000000"/>
                <w:sz w:val="24"/>
              </w:rPr>
              <w:t>300,000</w:t>
            </w:r>
          </w:p>
        </w:tc>
        <w:tc>
          <w:tcPr>
            <w:vAlign w:val="center"/>
          </w:tcPr>
          <w:p>
            <w:pPr>
              <w:jc w:val="right"/>
            </w:pPr>
            <w:r>
              <w:rPr>
                <w:color w:val="000000"/>
                <w:sz w:val="24"/>
              </w:rPr>
              <w:t>30,342,000.00</w:t>
            </w:r>
          </w:p>
        </w:tc>
        <w:tc>
          <w:tcPr>
            <w:vAlign w:val="center"/>
          </w:tcPr>
          <w:p>
            <w:pPr>
              <w:jc w:val="right"/>
            </w:pPr>
            <w:r>
              <w:rPr>
                <w:color w:val="000000"/>
                <w:sz w:val="24"/>
              </w:rPr>
              <w:t>2.71</w:t>
            </w:r>
          </w:p>
        </w:tc>
      </w:tr>
      <w:tr>
        <w:tc>
          <w:tcPr>
            <w:vAlign w:val="center"/>
          </w:tcPr>
          <w:p>
            <w:pPr>
              <w:jc w:val="center"/>
            </w:pPr>
            <w:r>
              <w:rPr>
                <w:color w:val="000000"/>
                <w:sz w:val="24"/>
              </w:rPr>
              <w:t>3</w:t>
            </w:r>
          </w:p>
        </w:tc>
        <w:tc>
          <w:tcPr>
            <w:vAlign w:val="center"/>
          </w:tcPr>
          <w:p>
            <w:pPr>
              <w:jc w:val="center"/>
            </w:pPr>
            <w:r>
              <w:rPr>
                <w:color w:val="000000"/>
                <w:sz w:val="24"/>
              </w:rPr>
              <w:t>101800949</w:t>
            </w:r>
          </w:p>
        </w:tc>
        <w:tc>
          <w:tcPr>
            <w:vAlign w:val="center"/>
          </w:tcPr>
          <w:p>
            <w:pPr>
              <w:jc w:val="center"/>
            </w:pPr>
            <w:r>
              <w:rPr>
                <w:color w:val="000000"/>
                <w:sz w:val="24"/>
              </w:rPr>
              <w:t>18华润医药MTN001</w:t>
            </w:r>
          </w:p>
        </w:tc>
        <w:tc>
          <w:tcPr>
            <w:vAlign w:val="center"/>
          </w:tcPr>
          <w:p>
            <w:pPr>
              <w:jc w:val="right"/>
            </w:pPr>
            <w:r>
              <w:rPr>
                <w:color w:val="000000"/>
                <w:sz w:val="24"/>
              </w:rPr>
              <w:t>300,000</w:t>
            </w:r>
          </w:p>
        </w:tc>
        <w:tc>
          <w:tcPr>
            <w:vAlign w:val="center"/>
          </w:tcPr>
          <w:p>
            <w:pPr>
              <w:jc w:val="right"/>
            </w:pPr>
            <w:r>
              <w:rPr>
                <w:color w:val="000000"/>
                <w:sz w:val="24"/>
              </w:rPr>
              <w:t>30,294,000.00</w:t>
            </w:r>
          </w:p>
        </w:tc>
        <w:tc>
          <w:tcPr>
            <w:vAlign w:val="center"/>
          </w:tcPr>
          <w:p>
            <w:pPr>
              <w:jc w:val="right"/>
            </w:pPr>
            <w:r>
              <w:rPr>
                <w:color w:val="000000"/>
                <w:sz w:val="24"/>
              </w:rPr>
              <w:t>2.70</w:t>
            </w:r>
          </w:p>
        </w:tc>
      </w:tr>
      <w:tr>
        <w:tc>
          <w:tcPr>
            <w:vAlign w:val="center"/>
          </w:tcPr>
          <w:p>
            <w:pPr>
              <w:jc w:val="center"/>
            </w:pPr>
            <w:r>
              <w:rPr>
                <w:color w:val="000000"/>
                <w:sz w:val="24"/>
              </w:rPr>
              <w:t>4</w:t>
            </w:r>
          </w:p>
        </w:tc>
        <w:tc>
          <w:tcPr>
            <w:vAlign w:val="center"/>
          </w:tcPr>
          <w:p>
            <w:pPr>
              <w:jc w:val="center"/>
            </w:pPr>
            <w:r>
              <w:rPr>
                <w:color w:val="000000"/>
                <w:sz w:val="24"/>
              </w:rPr>
              <w:t>102000048</w:t>
            </w:r>
          </w:p>
        </w:tc>
        <w:tc>
          <w:tcPr>
            <w:vAlign w:val="center"/>
          </w:tcPr>
          <w:p>
            <w:pPr>
              <w:jc w:val="center"/>
            </w:pPr>
            <w:r>
              <w:rPr>
                <w:color w:val="000000"/>
                <w:sz w:val="24"/>
              </w:rPr>
              <w:t>20中金集MTN001</w:t>
            </w:r>
          </w:p>
        </w:tc>
        <w:tc>
          <w:tcPr>
            <w:vAlign w:val="center"/>
          </w:tcPr>
          <w:p>
            <w:pPr>
              <w:jc w:val="right"/>
            </w:pPr>
            <w:r>
              <w:rPr>
                <w:color w:val="000000"/>
                <w:sz w:val="24"/>
              </w:rPr>
              <w:t>300,000</w:t>
            </w:r>
          </w:p>
        </w:tc>
        <w:tc>
          <w:tcPr>
            <w:vAlign w:val="center"/>
          </w:tcPr>
          <w:p>
            <w:pPr>
              <w:jc w:val="right"/>
            </w:pPr>
            <w:r>
              <w:rPr>
                <w:color w:val="000000"/>
                <w:sz w:val="24"/>
              </w:rPr>
              <w:t>30,021,000.00</w:t>
            </w:r>
          </w:p>
        </w:tc>
        <w:tc>
          <w:tcPr>
            <w:vAlign w:val="center"/>
          </w:tcPr>
          <w:p>
            <w:pPr>
              <w:jc w:val="right"/>
            </w:pPr>
            <w:r>
              <w:rPr>
                <w:color w:val="000000"/>
                <w:sz w:val="24"/>
              </w:rPr>
              <w:t>2.68</w:t>
            </w:r>
          </w:p>
        </w:tc>
      </w:tr>
      <w:tr>
        <w:tc>
          <w:tcPr>
            <w:vAlign w:val="center"/>
          </w:tcPr>
          <w:p>
            <w:pPr>
              <w:jc w:val="center"/>
            </w:pPr>
            <w:r>
              <w:rPr>
                <w:color w:val="000000"/>
                <w:sz w:val="24"/>
              </w:rPr>
              <w:t>5</w:t>
            </w:r>
          </w:p>
        </w:tc>
        <w:tc>
          <w:tcPr>
            <w:vAlign w:val="center"/>
          </w:tcPr>
          <w:p>
            <w:pPr>
              <w:jc w:val="center"/>
            </w:pPr>
            <w:r>
              <w:rPr>
                <w:color w:val="000000"/>
                <w:sz w:val="24"/>
              </w:rPr>
              <w:t>136776</w:t>
            </w:r>
          </w:p>
        </w:tc>
        <w:tc>
          <w:tcPr>
            <w:vAlign w:val="center"/>
          </w:tcPr>
          <w:p>
            <w:pPr>
              <w:jc w:val="center"/>
            </w:pPr>
            <w:r>
              <w:rPr>
                <w:color w:val="000000"/>
                <w:sz w:val="24"/>
              </w:rPr>
              <w:t>16国航02</w:t>
            </w:r>
          </w:p>
        </w:tc>
        <w:tc>
          <w:tcPr>
            <w:vAlign w:val="center"/>
          </w:tcPr>
          <w:p>
            <w:pPr>
              <w:jc w:val="right"/>
            </w:pPr>
            <w:r>
              <w:rPr>
                <w:color w:val="000000"/>
                <w:sz w:val="24"/>
              </w:rPr>
              <w:t>300,000</w:t>
            </w:r>
          </w:p>
        </w:tc>
        <w:tc>
          <w:tcPr>
            <w:vAlign w:val="center"/>
          </w:tcPr>
          <w:p>
            <w:pPr>
              <w:jc w:val="right"/>
            </w:pPr>
            <w:r>
              <w:rPr>
                <w:color w:val="000000"/>
                <w:sz w:val="24"/>
              </w:rPr>
              <w:t>29,952,000.00</w:t>
            </w:r>
          </w:p>
        </w:tc>
        <w:tc>
          <w:tcPr>
            <w:vAlign w:val="center"/>
          </w:tcPr>
          <w:p>
            <w:pPr>
              <w:jc w:val="right"/>
            </w:pPr>
            <w:r>
              <w:rPr>
                <w:color w:val="000000"/>
                <w:sz w:val="24"/>
              </w:rPr>
              <w:t>2.67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76,521.15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12,677,145.41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5,962,280.44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18,715,947.00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交银周期回报灵活配置混合A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交银周期回报灵活配置混合C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728,192,459.66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88,477,396.66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274,272,099.60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59,394,010.75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257,582,062.74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7,088,949.27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744,882,496.52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140,782,458.14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1、中国证监会核准交银施罗德周期回报灵活配置混合型证券投资基金募集的文件；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2、《交银施罗德周期回报灵活配置混合型证券投资基金基金合同》；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3、《交银施罗德周期回报灵活配置混合型证券投资基金招募说明书》；</w:t>
      </w:r>
    </w:p>
    <w:p>
      <w:pPr>
        <w:spacing w:before="29" w:line="288" w:lineRule="auto"/>
        <w:ind w:firstLine="480" w:firstLineChars="200"/>
        <w:rPr>
          <w:rFonts w:eastAsiaTheme="minorEastAsia"/>
          <w:color w:val="000000"/>
          <w:sz w:val="24"/>
        </w:rPr>
      </w:pPr>
      <w:r>
        <w:rPr>
          <w:rFonts w:eastAsiaTheme="minorEastAsia"/>
          <w:color w:val="000000"/>
          <w:sz w:val="24"/>
        </w:rPr>
        <w:t>4、《交银施罗德周期回报灵活配置混合型证券投资基金托管协议》；</w:t>
      </w:r>
    </w:p>
    <w:p>
      <w:pPr>
        <w:spacing w:before="29" w:line="288" w:lineRule="auto"/>
        <w:ind w:firstLine="480" w:firstLineChars="200"/>
        <w:rPr>
          <w:rFonts w:eastAsiaTheme="minorEastAsia"/>
          <w:color w:val="000000"/>
          <w:sz w:val="24"/>
        </w:rPr>
      </w:pPr>
      <w:r>
        <w:rPr>
          <w:rFonts w:eastAsiaTheme="minorEastAsia"/>
          <w:color w:val="000000"/>
          <w:sz w:val="24"/>
        </w:rPr>
        <w:t>5、关于申请募集交银施罗德周期回报灵活配置混合型证券投资基金之法律意见书；</w:t>
      </w:r>
    </w:p>
    <w:p>
      <w:pPr>
        <w:spacing w:before="29" w:line="288" w:lineRule="auto"/>
        <w:ind w:firstLine="480" w:firstLineChars="200"/>
        <w:rPr>
          <w:rFonts w:eastAsiaTheme="minorEastAsia"/>
          <w:color w:val="000000"/>
          <w:sz w:val="24"/>
        </w:rPr>
      </w:pPr>
      <w:r>
        <w:rPr>
          <w:rFonts w:eastAsiaTheme="minorEastAsia"/>
          <w:color w:val="000000"/>
          <w:sz w:val="24"/>
        </w:rPr>
        <w:t>6、基金管理人业务资格批件、营业执照；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7、基金托管人业务资格批件、营业执照；</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8、报告期内交银施罗德周期回报灵活配置混合型证券投资基金在指定报刊上各项公告的原稿。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交银施罗德周期回报灵活配置混合型证券投资基金2020年第3季度报告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