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交银施罗德荣鑫灵活配置混合型证券投资基金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中国民生银行股份有限公司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基金托管人中国民生银行股份有限公司根据本基金合同规定，于2020年10月27日复核了本报告中的财务指标、净值表现和投资组合报告等内容，保证复核内容不存在虚假记载、误导性陈述或者重大遗漏。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2019年3月29日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720,045,686.18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沪深300指数收益率×50%+中债综合全价指数收益率×50%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43,194,453.36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43,953,160.42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0.0648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871,491,487.81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1.210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6.33%</w:t>
            </w:r>
          </w:p>
        </w:tc>
        <w:tc>
          <w:tcPr>
            <w:vAlign w:val="center"/>
          </w:tcPr>
          <w:p>
            <w:pPr>
              <w:jc w:val="center"/>
            </w:pPr>
            <w:r>
              <w:rPr>
                <w:color w:val="000000"/>
                <w:sz w:val="24"/>
                <w:szCs w:val="24"/>
              </w:rPr>
              <w:t>0.32%</w:t>
            </w:r>
          </w:p>
        </w:tc>
        <w:tc>
          <w:tcPr>
            <w:vAlign w:val="center"/>
          </w:tcPr>
          <w:p>
            <w:pPr>
              <w:jc w:val="center"/>
            </w:pPr>
            <w:r>
              <w:rPr>
                <w:color w:val="000000"/>
                <w:sz w:val="24"/>
                <w:szCs w:val="24"/>
              </w:rPr>
              <w:t>4.42%</w:t>
            </w:r>
          </w:p>
        </w:tc>
        <w:tc>
          <w:tcPr>
            <w:vAlign w:val="center"/>
          </w:tcPr>
          <w:p>
            <w:pPr>
              <w:jc w:val="center"/>
            </w:pPr>
            <w:r>
              <w:rPr>
                <w:color w:val="000000"/>
                <w:sz w:val="24"/>
                <w:szCs w:val="24"/>
              </w:rPr>
              <w:t>0.79%</w:t>
            </w:r>
          </w:p>
        </w:tc>
        <w:tc>
          <w:tcPr>
            <w:vAlign w:val="center"/>
          </w:tcPr>
          <w:p>
            <w:pPr>
              <w:jc w:val="center"/>
            </w:pPr>
            <w:r>
              <w:rPr>
                <w:color w:val="000000"/>
                <w:sz w:val="24"/>
                <w:szCs w:val="24"/>
              </w:rPr>
              <w:t>1.91%</w:t>
            </w:r>
          </w:p>
        </w:tc>
        <w:tc>
          <w:tcPr>
            <w:vAlign w:val="center"/>
          </w:tcPr>
          <w:p>
            <w:pPr>
              <w:jc w:val="center"/>
            </w:pPr>
            <w:r>
              <w:rPr>
                <w:color w:val="000000"/>
                <w:sz w:val="24"/>
                <w:szCs w:val="24"/>
              </w:rPr>
              <w:t>-0.47%</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9.01%</w:t>
            </w:r>
          </w:p>
        </w:tc>
        <w:tc>
          <w:tcPr>
            <w:vAlign w:val="center"/>
          </w:tcPr>
          <w:p>
            <w:pPr>
              <w:jc w:val="center"/>
            </w:pPr>
            <w:r>
              <w:rPr>
                <w:color w:val="000000"/>
                <w:sz w:val="24"/>
                <w:szCs w:val="24"/>
              </w:rPr>
              <w:t>0.28%</w:t>
            </w:r>
          </w:p>
        </w:tc>
        <w:tc>
          <w:tcPr>
            <w:vAlign w:val="center"/>
          </w:tcPr>
          <w:p>
            <w:pPr>
              <w:jc w:val="center"/>
            </w:pPr>
            <w:r>
              <w:rPr>
                <w:color w:val="000000"/>
                <w:sz w:val="24"/>
                <w:szCs w:val="24"/>
              </w:rPr>
              <w:t>10.47%</w:t>
            </w:r>
          </w:p>
        </w:tc>
        <w:tc>
          <w:tcPr>
            <w:vAlign w:val="center"/>
          </w:tcPr>
          <w:p>
            <w:pPr>
              <w:jc w:val="center"/>
            </w:pPr>
            <w:r>
              <w:rPr>
                <w:color w:val="000000"/>
                <w:sz w:val="24"/>
                <w:szCs w:val="24"/>
              </w:rPr>
              <w:t>0.65%</w:t>
            </w:r>
          </w:p>
        </w:tc>
        <w:tc>
          <w:tcPr>
            <w:vAlign w:val="center"/>
          </w:tcPr>
          <w:p>
            <w:pPr>
              <w:jc w:val="center"/>
            </w:pPr>
            <w:r>
              <w:rPr>
                <w:color w:val="000000"/>
                <w:sz w:val="24"/>
                <w:szCs w:val="24"/>
              </w:rPr>
              <w:t>-1.46%</w:t>
            </w:r>
          </w:p>
        </w:tc>
        <w:tc>
          <w:tcPr>
            <w:vAlign w:val="center"/>
          </w:tcPr>
          <w:p>
            <w:pPr>
              <w:jc w:val="center"/>
            </w:pPr>
            <w:r>
              <w:rPr>
                <w:color w:val="000000"/>
                <w:sz w:val="24"/>
                <w:szCs w:val="24"/>
              </w:rPr>
              <w:t>-0.37%</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12.04%</w:t>
            </w:r>
          </w:p>
        </w:tc>
        <w:tc>
          <w:tcPr>
            <w:vAlign w:val="center"/>
          </w:tcPr>
          <w:p>
            <w:pPr>
              <w:jc w:val="center"/>
            </w:pPr>
            <w:r>
              <w:rPr>
                <w:color w:val="000000"/>
                <w:sz w:val="24"/>
                <w:szCs w:val="24"/>
              </w:rPr>
              <w:t>0.29%</w:t>
            </w:r>
          </w:p>
        </w:tc>
        <w:tc>
          <w:tcPr>
            <w:vAlign w:val="center"/>
          </w:tcPr>
          <w:p>
            <w:pPr>
              <w:jc w:val="center"/>
            </w:pPr>
            <w:r>
              <w:rPr>
                <w:color w:val="000000"/>
                <w:sz w:val="24"/>
                <w:szCs w:val="24"/>
              </w:rPr>
              <w:t>10.31%</w:t>
            </w:r>
          </w:p>
        </w:tc>
        <w:tc>
          <w:tcPr>
            <w:vAlign w:val="center"/>
          </w:tcPr>
          <w:p>
            <w:pPr>
              <w:jc w:val="center"/>
            </w:pPr>
            <w:r>
              <w:rPr>
                <w:color w:val="000000"/>
                <w:sz w:val="24"/>
                <w:szCs w:val="24"/>
              </w:rPr>
              <w:t>0.68%</w:t>
            </w:r>
          </w:p>
        </w:tc>
        <w:tc>
          <w:tcPr>
            <w:vAlign w:val="center"/>
          </w:tcPr>
          <w:p>
            <w:pPr>
              <w:jc w:val="center"/>
            </w:pPr>
            <w:r>
              <w:rPr>
                <w:color w:val="000000"/>
                <w:sz w:val="24"/>
                <w:szCs w:val="24"/>
              </w:rPr>
              <w:t>1.73%</w:t>
            </w:r>
          </w:p>
        </w:tc>
        <w:tc>
          <w:tcPr>
            <w:vAlign w:val="center"/>
          </w:tcPr>
          <w:p>
            <w:pPr>
              <w:jc w:val="center"/>
            </w:pPr>
            <w:r>
              <w:rPr>
                <w:color w:val="000000"/>
                <w:sz w:val="24"/>
                <w:szCs w:val="24"/>
              </w:rPr>
              <w:t>-0.39%</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12.66%</w:t>
            </w:r>
          </w:p>
        </w:tc>
        <w:tc>
          <w:tcPr>
            <w:vAlign w:val="center"/>
          </w:tcPr>
          <w:p>
            <w:pPr>
              <w:jc w:val="center"/>
            </w:pPr>
            <w:r>
              <w:rPr>
                <w:color w:val="000000"/>
                <w:sz w:val="24"/>
                <w:szCs w:val="24"/>
              </w:rPr>
              <w:t>0.28%</w:t>
            </w:r>
          </w:p>
        </w:tc>
        <w:tc>
          <w:tcPr>
            <w:vAlign w:val="center"/>
          </w:tcPr>
          <w:p>
            <w:pPr>
              <w:jc w:val="center"/>
            </w:pPr>
            <w:r>
              <w:rPr>
                <w:color w:val="000000"/>
                <w:sz w:val="24"/>
                <w:szCs w:val="24"/>
              </w:rPr>
              <w:t>12.01%</w:t>
            </w:r>
          </w:p>
        </w:tc>
        <w:tc>
          <w:tcPr>
            <w:vAlign w:val="center"/>
          </w:tcPr>
          <w:p>
            <w:pPr>
              <w:jc w:val="center"/>
            </w:pPr>
            <w:r>
              <w:rPr>
                <w:color w:val="000000"/>
                <w:sz w:val="24"/>
                <w:szCs w:val="24"/>
              </w:rPr>
              <w:t>0.67%</w:t>
            </w:r>
          </w:p>
        </w:tc>
        <w:tc>
          <w:tcPr>
            <w:vAlign w:val="center"/>
          </w:tcPr>
          <w:p>
            <w:pPr>
              <w:jc w:val="center"/>
            </w:pPr>
            <w:r>
              <w:rPr>
                <w:color w:val="000000"/>
                <w:sz w:val="24"/>
                <w:szCs w:val="24"/>
              </w:rPr>
              <w:t>0.65%</w:t>
            </w:r>
          </w:p>
        </w:tc>
        <w:tc>
          <w:tcPr>
            <w:vAlign w:val="center"/>
          </w:tcPr>
          <w:p>
            <w:pPr>
              <w:jc w:val="center"/>
            </w:pPr>
            <w:r>
              <w:rPr>
                <w:color w:val="000000"/>
                <w:sz w:val="24"/>
                <w:szCs w:val="24"/>
              </w:rPr>
              <w:t>-0.39%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交银施罗德荣鑫灵活配置混合型证券投资基金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2019年3月29日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鑫保本混合型证券投资基金转型而来。基金转型日为2019年3月29日。本基金的投资转型期为交银施罗德荣鑫保本混合型证券投资基金保本周期到期期间截止日的次日（即2019年3月29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唐赟</w:t>
            </w:r>
          </w:p>
        </w:tc>
        <w:tc>
          <w:tcPr>
            <w:vAlign w:val="center"/>
          </w:tcPr>
          <w:p>
            <w:pPr>
              <w:jc w:val="center"/>
            </w:pPr>
            <w:r>
              <w:rPr>
                <w:color w:val="000000"/>
                <w:sz w:val="24"/>
                <w:szCs w:val="24"/>
              </w:rPr>
              <w:t>交银信用添利债券(LOF)、交银双利债券、交银双轮动债券、交银定期支付月月丰债券、交银增强收益债券、交银强化回报债券、交银荣鑫灵活配置混合、交银稳固收益债券的基金经理</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r>
        <w:tc>
          <w:tcPr>
            <w:vAlign w:val="center"/>
          </w:tcPr>
          <w:p>
            <w:pPr>
              <w:jc w:val="center"/>
            </w:pPr>
            <w:r>
              <w:rPr>
                <w:color w:val="000000"/>
                <w:sz w:val="24"/>
                <w:szCs w:val="24"/>
              </w:rPr>
              <w:t>王艺伟</w:t>
            </w:r>
          </w:p>
        </w:tc>
        <w:tc>
          <w:tcPr>
            <w:vAlign w:val="center"/>
          </w:tcPr>
          <w:p>
            <w:pPr>
              <w:jc w:val="center"/>
            </w:pPr>
            <w:r>
              <w:rPr>
                <w:color w:val="000000"/>
                <w:sz w:val="24"/>
                <w:szCs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vAlign w:val="center"/>
          </w:tcPr>
          <w:p>
            <w:pPr>
              <w:jc w:val="center"/>
            </w:pPr>
            <w:r>
              <w:rPr>
                <w:color w:val="000000"/>
                <w:sz w:val="24"/>
                <w:szCs w:val="24"/>
              </w:rPr>
              <w:t>2019-11-28</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pPr>
        <w:spacing w:before="29" w:line="288" w:lineRule="auto"/>
        <w:ind w:firstLine="480" w:firstLineChars="200"/>
        <w:rPr>
          <w:color w:val="000000"/>
          <w:sz w:val="24"/>
          <w:szCs w:val="24"/>
        </w:rPr>
      </w:pPr>
      <w:r>
        <w:rPr>
          <w:color w:val="000000"/>
          <w:sz w:val="24"/>
          <w:szCs w:val="24"/>
        </w:rPr>
        <w:t>2020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pPr>
        <w:spacing w:before="29" w:line="288" w:lineRule="auto"/>
        <w:ind w:firstLine="480" w:firstLineChars="200"/>
        <w:rPr>
          <w:color w:val="000000"/>
          <w:sz w:val="24"/>
          <w:szCs w:val="24"/>
        </w:rPr>
      </w:pPr>
      <w:r>
        <w:rPr>
          <w:color w:val="000000"/>
          <w:sz w:val="24"/>
          <w:szCs w:val="24"/>
        </w:rPr>
        <w:t>在基金操作中，债券部分我们维持中短久期高等级信用债的底仓配置，以获取稳定的票息收益。权益方面，二季度我们提升了消费电子、军工以及新能源等方向的仓位。三季度我们根据持仓标的的估值情况，降仓了部分纯beta的仓位，并在低估值板块内部根据基本面做了置换。此外，组合积极参与权益及转债的一级申购，以增厚组合收益。</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我们预计经济将会继续磨底，随着货币政策回归中性，债券市场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143,957,269.89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143,957,269.89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695,473,729.64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695,473,729.64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79.71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7,000,000.00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0.80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15,719,827.55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10,326,946.39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872,477,773.47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4,957,470.00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76,014,564.48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7,786,953.12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2,162,178.03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3,305,768.36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6,277,324.62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27,102,198.51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13,035,382.00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14,813.40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3,261,525.57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39,091.80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143,957,269.89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16.52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301,200</w:t>
            </w:r>
          </w:p>
        </w:tc>
        <w:tc>
          <w:tcPr>
            <w:vAlign w:val="center"/>
          </w:tcPr>
          <w:p>
            <w:pPr>
              <w:jc w:val="right"/>
            </w:pPr>
            <w:r>
              <w:rPr>
                <w:color w:val="000000"/>
                <w:sz w:val="24"/>
                <w:szCs w:val="24"/>
              </w:rPr>
              <w:t>8,439,624.00</w:t>
            </w:r>
          </w:p>
        </w:tc>
        <w:tc>
          <w:tcPr>
            <w:vAlign w:val="center"/>
          </w:tcPr>
          <w:p>
            <w:pPr>
              <w:jc w:val="right"/>
            </w:pPr>
            <w:r>
              <w:rPr>
                <w:color w:val="000000"/>
                <w:sz w:val="24"/>
                <w:szCs w:val="24"/>
              </w:rPr>
              <w:t>0.97</w:t>
            </w:r>
          </w:p>
        </w:tc>
      </w:tr>
      <w:tr>
        <w:tc>
          <w:tcPr>
            <w:vAlign w:val="center"/>
          </w:tcPr>
          <w:p>
            <w:pPr>
              <w:jc w:val="center"/>
            </w:pPr>
            <w:r>
              <w:rPr>
                <w:color w:val="000000"/>
                <w:sz w:val="24"/>
                <w:szCs w:val="24"/>
              </w:rPr>
              <w:t>2</w:t>
            </w:r>
          </w:p>
        </w:tc>
        <w:tc>
          <w:tcPr>
            <w:vAlign w:val="center"/>
          </w:tcPr>
          <w:p>
            <w:pPr>
              <w:jc w:val="center"/>
            </w:pPr>
            <w:r>
              <w:rPr>
                <w:color w:val="000000"/>
                <w:sz w:val="24"/>
                <w:szCs w:val="24"/>
              </w:rPr>
              <w:t>601668</w:t>
            </w:r>
          </w:p>
        </w:tc>
        <w:tc>
          <w:tcPr>
            <w:vAlign w:val="center"/>
          </w:tcPr>
          <w:p>
            <w:pPr>
              <w:jc w:val="center"/>
            </w:pPr>
            <w:r>
              <w:rPr>
                <w:color w:val="000000"/>
                <w:sz w:val="24"/>
                <w:szCs w:val="24"/>
              </w:rPr>
              <w:t>中国建筑</w:t>
            </w:r>
          </w:p>
        </w:tc>
        <w:tc>
          <w:tcPr>
            <w:vAlign w:val="center"/>
          </w:tcPr>
          <w:p>
            <w:pPr>
              <w:jc w:val="right"/>
            </w:pPr>
            <w:r>
              <w:rPr>
                <w:color w:val="000000"/>
                <w:sz w:val="24"/>
                <w:szCs w:val="24"/>
              </w:rPr>
              <w:t>1,530,300</w:t>
            </w:r>
          </w:p>
        </w:tc>
        <w:tc>
          <w:tcPr>
            <w:vAlign w:val="center"/>
          </w:tcPr>
          <w:p>
            <w:pPr>
              <w:jc w:val="right"/>
            </w:pPr>
            <w:r>
              <w:rPr>
                <w:color w:val="000000"/>
                <w:sz w:val="24"/>
                <w:szCs w:val="24"/>
              </w:rPr>
              <w:t>7,773,924.00</w:t>
            </w:r>
          </w:p>
        </w:tc>
        <w:tc>
          <w:tcPr>
            <w:vAlign w:val="center"/>
          </w:tcPr>
          <w:p>
            <w:pPr>
              <w:jc w:val="right"/>
            </w:pPr>
            <w:r>
              <w:rPr>
                <w:color w:val="000000"/>
                <w:sz w:val="24"/>
                <w:szCs w:val="24"/>
              </w:rPr>
              <w:t>0.89</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182,600</w:t>
            </w:r>
          </w:p>
        </w:tc>
        <w:tc>
          <w:tcPr>
            <w:vAlign w:val="center"/>
          </w:tcPr>
          <w:p>
            <w:pPr>
              <w:jc w:val="right"/>
            </w:pPr>
            <w:r>
              <w:rPr>
                <w:color w:val="000000"/>
                <w:sz w:val="24"/>
                <w:szCs w:val="24"/>
              </w:rPr>
              <w:t>6,573,600.00</w:t>
            </w:r>
          </w:p>
        </w:tc>
        <w:tc>
          <w:tcPr>
            <w:vAlign w:val="center"/>
          </w:tcPr>
          <w:p>
            <w:pPr>
              <w:jc w:val="right"/>
            </w:pPr>
            <w:r>
              <w:rPr>
                <w:color w:val="000000"/>
                <w:sz w:val="24"/>
                <w:szCs w:val="24"/>
              </w:rPr>
              <w:t>0.75</w:t>
            </w:r>
          </w:p>
        </w:tc>
      </w:tr>
      <w:tr>
        <w:tc>
          <w:tcPr>
            <w:vAlign w:val="center"/>
          </w:tcPr>
          <w:p>
            <w:pPr>
              <w:jc w:val="center"/>
            </w:pPr>
            <w:r>
              <w:rPr>
                <w:color w:val="000000"/>
                <w:sz w:val="24"/>
                <w:szCs w:val="24"/>
              </w:rPr>
              <w:t>4</w:t>
            </w:r>
          </w:p>
        </w:tc>
        <w:tc>
          <w:tcPr>
            <w:vAlign w:val="center"/>
          </w:tcPr>
          <w:p>
            <w:pPr>
              <w:jc w:val="center"/>
            </w:pPr>
            <w:r>
              <w:rPr>
                <w:color w:val="000000"/>
                <w:sz w:val="24"/>
                <w:szCs w:val="24"/>
              </w:rPr>
              <w:t>601838</w:t>
            </w:r>
          </w:p>
        </w:tc>
        <w:tc>
          <w:tcPr>
            <w:vAlign w:val="center"/>
          </w:tcPr>
          <w:p>
            <w:pPr>
              <w:jc w:val="center"/>
            </w:pPr>
            <w:r>
              <w:rPr>
                <w:color w:val="000000"/>
                <w:sz w:val="24"/>
                <w:szCs w:val="24"/>
              </w:rPr>
              <w:t>成都银行</w:t>
            </w:r>
          </w:p>
        </w:tc>
        <w:tc>
          <w:tcPr>
            <w:vAlign w:val="center"/>
          </w:tcPr>
          <w:p>
            <w:pPr>
              <w:jc w:val="right"/>
            </w:pPr>
            <w:r>
              <w:rPr>
                <w:color w:val="000000"/>
                <w:sz w:val="24"/>
                <w:szCs w:val="24"/>
              </w:rPr>
              <w:t>659,000</w:t>
            </w:r>
          </w:p>
        </w:tc>
        <w:tc>
          <w:tcPr>
            <w:vAlign w:val="center"/>
          </w:tcPr>
          <w:p>
            <w:pPr>
              <w:jc w:val="right"/>
            </w:pPr>
            <w:r>
              <w:rPr>
                <w:color w:val="000000"/>
                <w:sz w:val="24"/>
                <w:szCs w:val="24"/>
              </w:rPr>
              <w:t>6,510,920.00</w:t>
            </w:r>
          </w:p>
        </w:tc>
        <w:tc>
          <w:tcPr>
            <w:vAlign w:val="center"/>
          </w:tcPr>
          <w:p>
            <w:pPr>
              <w:jc w:val="right"/>
            </w:pPr>
            <w:r>
              <w:rPr>
                <w:color w:val="000000"/>
                <w:sz w:val="24"/>
                <w:szCs w:val="24"/>
              </w:rPr>
              <w:t>0.75</w:t>
            </w:r>
          </w:p>
        </w:tc>
      </w:tr>
      <w:tr>
        <w:tc>
          <w:tcPr>
            <w:vAlign w:val="center"/>
          </w:tcPr>
          <w:p>
            <w:pPr>
              <w:jc w:val="center"/>
            </w:pPr>
            <w:r>
              <w:rPr>
                <w:color w:val="000000"/>
                <w:sz w:val="24"/>
                <w:szCs w:val="24"/>
              </w:rPr>
              <w:t>5</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203,100</w:t>
            </w:r>
          </w:p>
        </w:tc>
        <w:tc>
          <w:tcPr>
            <w:vAlign w:val="center"/>
          </w:tcPr>
          <w:p>
            <w:pPr>
              <w:jc w:val="right"/>
            </w:pPr>
            <w:r>
              <w:rPr>
                <w:color w:val="000000"/>
                <w:sz w:val="24"/>
                <w:szCs w:val="24"/>
              </w:rPr>
              <w:t>6,338,751.00</w:t>
            </w:r>
          </w:p>
        </w:tc>
        <w:tc>
          <w:tcPr>
            <w:vAlign w:val="center"/>
          </w:tcPr>
          <w:p>
            <w:pPr>
              <w:jc w:val="right"/>
            </w:pPr>
            <w:r>
              <w:rPr>
                <w:color w:val="000000"/>
                <w:sz w:val="24"/>
                <w:szCs w:val="24"/>
              </w:rPr>
              <w:t>0.73</w:t>
            </w:r>
          </w:p>
        </w:tc>
      </w:tr>
      <w:tr>
        <w:tc>
          <w:tcPr>
            <w:vAlign w:val="center"/>
          </w:tcPr>
          <w:p>
            <w:pPr>
              <w:jc w:val="center"/>
            </w:pPr>
            <w:r>
              <w:rPr>
                <w:color w:val="000000"/>
                <w:sz w:val="24"/>
                <w:szCs w:val="24"/>
              </w:rPr>
              <w:t>6</w:t>
            </w:r>
          </w:p>
        </w:tc>
        <w:tc>
          <w:tcPr>
            <w:vAlign w:val="center"/>
          </w:tcPr>
          <w:p>
            <w:pPr>
              <w:jc w:val="center"/>
            </w:pPr>
            <w:r>
              <w:rPr>
                <w:color w:val="000000"/>
                <w:sz w:val="24"/>
                <w:szCs w:val="24"/>
              </w:rPr>
              <w:t>002064</w:t>
            </w:r>
          </w:p>
        </w:tc>
        <w:tc>
          <w:tcPr>
            <w:vAlign w:val="center"/>
          </w:tcPr>
          <w:p>
            <w:pPr>
              <w:jc w:val="center"/>
            </w:pPr>
            <w:r>
              <w:rPr>
                <w:color w:val="000000"/>
                <w:sz w:val="24"/>
                <w:szCs w:val="24"/>
              </w:rPr>
              <w:t>华峰氨纶</w:t>
            </w:r>
          </w:p>
        </w:tc>
        <w:tc>
          <w:tcPr>
            <w:vAlign w:val="center"/>
          </w:tcPr>
          <w:p>
            <w:pPr>
              <w:jc w:val="right"/>
            </w:pPr>
            <w:r>
              <w:rPr>
                <w:color w:val="000000"/>
                <w:sz w:val="24"/>
                <w:szCs w:val="24"/>
              </w:rPr>
              <w:t>827,100</w:t>
            </w:r>
          </w:p>
        </w:tc>
        <w:tc>
          <w:tcPr>
            <w:vAlign w:val="center"/>
          </w:tcPr>
          <w:p>
            <w:pPr>
              <w:jc w:val="right"/>
            </w:pPr>
            <w:r>
              <w:rPr>
                <w:color w:val="000000"/>
                <w:sz w:val="24"/>
                <w:szCs w:val="24"/>
              </w:rPr>
              <w:t>6,021,288.00</w:t>
            </w:r>
          </w:p>
        </w:tc>
        <w:tc>
          <w:tcPr>
            <w:vAlign w:val="center"/>
          </w:tcPr>
          <w:p>
            <w:pPr>
              <w:jc w:val="right"/>
            </w:pPr>
            <w:r>
              <w:rPr>
                <w:color w:val="000000"/>
                <w:sz w:val="24"/>
                <w:szCs w:val="24"/>
              </w:rPr>
              <w:t>0.69</w:t>
            </w:r>
          </w:p>
        </w:tc>
      </w:tr>
      <w:tr>
        <w:tc>
          <w:tcPr>
            <w:vAlign w:val="center"/>
          </w:tcPr>
          <w:p>
            <w:pPr>
              <w:jc w:val="center"/>
            </w:pPr>
            <w:r>
              <w:rPr>
                <w:color w:val="000000"/>
                <w:sz w:val="24"/>
                <w:szCs w:val="24"/>
              </w:rPr>
              <w:t>7</w:t>
            </w:r>
          </w:p>
        </w:tc>
        <w:tc>
          <w:tcPr>
            <w:vAlign w:val="center"/>
          </w:tcPr>
          <w:p>
            <w:pPr>
              <w:jc w:val="center"/>
            </w:pPr>
            <w:r>
              <w:rPr>
                <w:color w:val="000000"/>
                <w:sz w:val="24"/>
                <w:szCs w:val="24"/>
              </w:rPr>
              <w:t>601238</w:t>
            </w:r>
          </w:p>
        </w:tc>
        <w:tc>
          <w:tcPr>
            <w:vAlign w:val="center"/>
          </w:tcPr>
          <w:p>
            <w:pPr>
              <w:jc w:val="center"/>
            </w:pPr>
            <w:r>
              <w:rPr>
                <w:color w:val="000000"/>
                <w:sz w:val="24"/>
                <w:szCs w:val="24"/>
              </w:rPr>
              <w:t>广汽集团</w:t>
            </w:r>
          </w:p>
        </w:tc>
        <w:tc>
          <w:tcPr>
            <w:vAlign w:val="center"/>
          </w:tcPr>
          <w:p>
            <w:pPr>
              <w:jc w:val="right"/>
            </w:pPr>
            <w:r>
              <w:rPr>
                <w:color w:val="000000"/>
                <w:sz w:val="24"/>
                <w:szCs w:val="24"/>
              </w:rPr>
              <w:t>532,190</w:t>
            </w:r>
          </w:p>
        </w:tc>
        <w:tc>
          <w:tcPr>
            <w:vAlign w:val="center"/>
          </w:tcPr>
          <w:p>
            <w:pPr>
              <w:jc w:val="right"/>
            </w:pPr>
            <w:r>
              <w:rPr>
                <w:color w:val="000000"/>
                <w:sz w:val="24"/>
                <w:szCs w:val="24"/>
              </w:rPr>
              <w:t>5,066,448.80</w:t>
            </w:r>
          </w:p>
        </w:tc>
        <w:tc>
          <w:tcPr>
            <w:vAlign w:val="center"/>
          </w:tcPr>
          <w:p>
            <w:pPr>
              <w:jc w:val="right"/>
            </w:pPr>
            <w:r>
              <w:rPr>
                <w:color w:val="000000"/>
                <w:sz w:val="24"/>
                <w:szCs w:val="24"/>
              </w:rPr>
              <w:t>0.58</w:t>
            </w:r>
          </w:p>
        </w:tc>
      </w:tr>
      <w:tr>
        <w:tc>
          <w:tcPr>
            <w:vAlign w:val="center"/>
          </w:tcPr>
          <w:p>
            <w:pPr>
              <w:jc w:val="center"/>
            </w:pPr>
            <w:r>
              <w:rPr>
                <w:color w:val="000000"/>
                <w:sz w:val="24"/>
                <w:szCs w:val="24"/>
              </w:rPr>
              <w:t>8</w:t>
            </w:r>
          </w:p>
        </w:tc>
        <w:tc>
          <w:tcPr>
            <w:vAlign w:val="center"/>
          </w:tcPr>
          <w:p>
            <w:pPr>
              <w:jc w:val="center"/>
            </w:pPr>
            <w:r>
              <w:rPr>
                <w:color w:val="000000"/>
                <w:sz w:val="24"/>
                <w:szCs w:val="24"/>
              </w:rPr>
              <w:t>601088</w:t>
            </w:r>
          </w:p>
        </w:tc>
        <w:tc>
          <w:tcPr>
            <w:vAlign w:val="center"/>
          </w:tcPr>
          <w:p>
            <w:pPr>
              <w:jc w:val="center"/>
            </w:pPr>
            <w:r>
              <w:rPr>
                <w:color w:val="000000"/>
                <w:sz w:val="24"/>
                <w:szCs w:val="24"/>
              </w:rPr>
              <w:t>中国神华</w:t>
            </w:r>
          </w:p>
        </w:tc>
        <w:tc>
          <w:tcPr>
            <w:vAlign w:val="center"/>
          </w:tcPr>
          <w:p>
            <w:pPr>
              <w:jc w:val="right"/>
            </w:pPr>
            <w:r>
              <w:rPr>
                <w:color w:val="000000"/>
                <w:sz w:val="24"/>
                <w:szCs w:val="24"/>
              </w:rPr>
              <w:t>301,000</w:t>
            </w:r>
          </w:p>
        </w:tc>
        <w:tc>
          <w:tcPr>
            <w:vAlign w:val="center"/>
          </w:tcPr>
          <w:p>
            <w:pPr>
              <w:jc w:val="right"/>
            </w:pPr>
            <w:r>
              <w:rPr>
                <w:color w:val="000000"/>
                <w:sz w:val="24"/>
                <w:szCs w:val="24"/>
              </w:rPr>
              <w:t>4,957,470.00</w:t>
            </w:r>
          </w:p>
        </w:tc>
        <w:tc>
          <w:tcPr>
            <w:vAlign w:val="center"/>
          </w:tcPr>
          <w:p>
            <w:pPr>
              <w:jc w:val="right"/>
            </w:pPr>
            <w:r>
              <w:rPr>
                <w:color w:val="000000"/>
                <w:sz w:val="24"/>
                <w:szCs w:val="24"/>
              </w:rPr>
              <w:t>0.57</w:t>
            </w:r>
          </w:p>
        </w:tc>
      </w:tr>
      <w:tr>
        <w:tc>
          <w:tcPr>
            <w:vAlign w:val="center"/>
          </w:tcPr>
          <w:p>
            <w:pPr>
              <w:jc w:val="center"/>
            </w:pPr>
            <w:r>
              <w:rPr>
                <w:color w:val="000000"/>
                <w:sz w:val="24"/>
                <w:szCs w:val="24"/>
              </w:rPr>
              <w:t>9</w:t>
            </w:r>
          </w:p>
        </w:tc>
        <w:tc>
          <w:tcPr>
            <w:vAlign w:val="center"/>
          </w:tcPr>
          <w:p>
            <w:pPr>
              <w:jc w:val="center"/>
            </w:pPr>
            <w:r>
              <w:rPr>
                <w:color w:val="000000"/>
                <w:sz w:val="24"/>
                <w:szCs w:val="24"/>
              </w:rPr>
              <w:t>600019</w:t>
            </w:r>
          </w:p>
        </w:tc>
        <w:tc>
          <w:tcPr>
            <w:vAlign w:val="center"/>
          </w:tcPr>
          <w:p>
            <w:pPr>
              <w:jc w:val="center"/>
            </w:pPr>
            <w:r>
              <w:rPr>
                <w:color w:val="000000"/>
                <w:sz w:val="24"/>
                <w:szCs w:val="24"/>
              </w:rPr>
              <w:t>宝钢股份</w:t>
            </w:r>
          </w:p>
        </w:tc>
        <w:tc>
          <w:tcPr>
            <w:vAlign w:val="center"/>
          </w:tcPr>
          <w:p>
            <w:pPr>
              <w:jc w:val="right"/>
            </w:pPr>
            <w:r>
              <w:rPr>
                <w:color w:val="000000"/>
                <w:sz w:val="24"/>
                <w:szCs w:val="24"/>
              </w:rPr>
              <w:t>858,300</w:t>
            </w:r>
          </w:p>
        </w:tc>
        <w:tc>
          <w:tcPr>
            <w:vAlign w:val="center"/>
          </w:tcPr>
          <w:p>
            <w:pPr>
              <w:jc w:val="right"/>
            </w:pPr>
            <w:r>
              <w:rPr>
                <w:color w:val="000000"/>
                <w:sz w:val="24"/>
                <w:szCs w:val="24"/>
              </w:rPr>
              <w:t>4,282,917.00</w:t>
            </w:r>
          </w:p>
        </w:tc>
        <w:tc>
          <w:tcPr>
            <w:vAlign w:val="center"/>
          </w:tcPr>
          <w:p>
            <w:pPr>
              <w:jc w:val="right"/>
            </w:pPr>
            <w:r>
              <w:rPr>
                <w:color w:val="000000"/>
                <w:sz w:val="24"/>
                <w:szCs w:val="24"/>
              </w:rPr>
              <w:t>0.49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002493</w:t>
            </w:r>
          </w:p>
        </w:tc>
        <w:tc>
          <w:tcPr>
            <w:vAlign w:val="center"/>
          </w:tcPr>
          <w:p>
            <w:pPr>
              <w:jc w:val="center"/>
            </w:pPr>
            <w:r>
              <w:rPr>
                <w:color w:val="000000"/>
                <w:sz w:val="24"/>
                <w:szCs w:val="24"/>
              </w:rPr>
              <w:t>荣盛石化</w:t>
            </w:r>
          </w:p>
        </w:tc>
        <w:tc>
          <w:tcPr>
            <w:vAlign w:val="center"/>
          </w:tcPr>
          <w:p>
            <w:pPr>
              <w:jc w:val="right"/>
            </w:pPr>
            <w:r>
              <w:rPr>
                <w:color w:val="000000"/>
                <w:sz w:val="24"/>
                <w:szCs w:val="24"/>
              </w:rPr>
              <w:t>223,000</w:t>
            </w:r>
          </w:p>
        </w:tc>
        <w:tc>
          <w:tcPr>
            <w:vAlign w:val="center"/>
          </w:tcPr>
          <w:p>
            <w:pPr>
              <w:jc w:val="right"/>
            </w:pPr>
            <w:r>
              <w:rPr>
                <w:color w:val="000000"/>
                <w:sz w:val="24"/>
                <w:szCs w:val="24"/>
              </w:rPr>
              <w:t>4,183,480.00</w:t>
            </w:r>
          </w:p>
        </w:tc>
        <w:tc>
          <w:tcPr>
            <w:vAlign w:val="center"/>
          </w:tcPr>
          <w:p>
            <w:pPr>
              <w:jc w:val="right"/>
            </w:pPr>
            <w:r>
              <w:rPr>
                <w:color w:val="000000"/>
                <w:sz w:val="24"/>
                <w:szCs w:val="24"/>
              </w:rPr>
              <w:t>0.48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7,311,681.00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0.84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52,345,600.00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52,345,600.00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341,567,720.00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39.19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9,995,000.00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1.15</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283,031,000.00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32.48</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1,222,728.64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0.14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695,473,729.64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79.80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180208</w:t>
            </w:r>
          </w:p>
        </w:tc>
        <w:tc>
          <w:tcPr>
            <w:vAlign w:val="center"/>
          </w:tcPr>
          <w:p>
            <w:pPr>
              <w:jc w:val="center"/>
            </w:pPr>
            <w:r>
              <w:rPr>
                <w:color w:val="000000"/>
                <w:sz w:val="24"/>
                <w:szCs w:val="24"/>
              </w:rPr>
              <w:t>18国开08</w:t>
            </w:r>
          </w:p>
        </w:tc>
        <w:tc>
          <w:tcPr>
            <w:vAlign w:val="center"/>
          </w:tcPr>
          <w:p>
            <w:pPr>
              <w:jc w:val="right"/>
            </w:pPr>
            <w:r>
              <w:rPr>
                <w:color w:val="000000"/>
                <w:sz w:val="24"/>
                <w:szCs w:val="24"/>
              </w:rPr>
              <w:t>500,000</w:t>
            </w:r>
          </w:p>
        </w:tc>
        <w:tc>
          <w:tcPr>
            <w:vAlign w:val="center"/>
          </w:tcPr>
          <w:p>
            <w:pPr>
              <w:jc w:val="right"/>
            </w:pPr>
            <w:r>
              <w:rPr>
                <w:color w:val="000000"/>
                <w:sz w:val="24"/>
                <w:szCs w:val="24"/>
              </w:rPr>
              <w:t>50,335,000.00</w:t>
            </w:r>
          </w:p>
        </w:tc>
        <w:tc>
          <w:tcPr>
            <w:vAlign w:val="center"/>
          </w:tcPr>
          <w:p>
            <w:pPr>
              <w:jc w:val="right"/>
            </w:pPr>
            <w:r>
              <w:rPr>
                <w:color w:val="000000"/>
                <w:sz w:val="24"/>
                <w:szCs w:val="24"/>
              </w:rPr>
              <w:t>5.78</w:t>
            </w:r>
          </w:p>
        </w:tc>
      </w:tr>
      <w:tr>
        <w:tc>
          <w:tcPr>
            <w:vAlign w:val="center"/>
          </w:tcPr>
          <w:p>
            <w:pPr>
              <w:jc w:val="center"/>
            </w:pPr>
            <w:r>
              <w:rPr>
                <w:color w:val="000000"/>
                <w:sz w:val="24"/>
                <w:szCs w:val="24"/>
              </w:rPr>
              <w:t>2</w:t>
            </w:r>
          </w:p>
        </w:tc>
        <w:tc>
          <w:tcPr>
            <w:vAlign w:val="center"/>
          </w:tcPr>
          <w:p>
            <w:pPr>
              <w:jc w:val="center"/>
            </w:pPr>
            <w:r>
              <w:rPr>
                <w:color w:val="000000"/>
                <w:sz w:val="24"/>
                <w:szCs w:val="24"/>
              </w:rPr>
              <w:t>1282414</w:t>
            </w:r>
          </w:p>
        </w:tc>
        <w:tc>
          <w:tcPr>
            <w:vAlign w:val="center"/>
          </w:tcPr>
          <w:p>
            <w:pPr>
              <w:jc w:val="center"/>
            </w:pPr>
            <w:r>
              <w:rPr>
                <w:color w:val="000000"/>
                <w:sz w:val="24"/>
                <w:szCs w:val="24"/>
              </w:rPr>
              <w:t>12国开投MTN2</w:t>
            </w:r>
          </w:p>
        </w:tc>
        <w:tc>
          <w:tcPr>
            <w:vAlign w:val="center"/>
          </w:tcPr>
          <w:p>
            <w:pPr>
              <w:jc w:val="right"/>
            </w:pPr>
            <w:r>
              <w:rPr>
                <w:color w:val="000000"/>
                <w:sz w:val="24"/>
                <w:szCs w:val="24"/>
              </w:rPr>
              <w:t>200,000</w:t>
            </w:r>
          </w:p>
        </w:tc>
        <w:tc>
          <w:tcPr>
            <w:vAlign w:val="center"/>
          </w:tcPr>
          <w:p>
            <w:pPr>
              <w:jc w:val="right"/>
            </w:pPr>
            <w:r>
              <w:rPr>
                <w:color w:val="000000"/>
                <w:sz w:val="24"/>
                <w:szCs w:val="24"/>
              </w:rPr>
              <w:t>20,836,000.00</w:t>
            </w:r>
          </w:p>
        </w:tc>
        <w:tc>
          <w:tcPr>
            <w:vAlign w:val="center"/>
          </w:tcPr>
          <w:p>
            <w:pPr>
              <w:jc w:val="right"/>
            </w:pPr>
            <w:r>
              <w:rPr>
                <w:color w:val="000000"/>
                <w:sz w:val="24"/>
                <w:szCs w:val="24"/>
              </w:rPr>
              <w:t>2.39</w:t>
            </w:r>
          </w:p>
        </w:tc>
      </w:tr>
      <w:tr>
        <w:tc>
          <w:tcPr>
            <w:vAlign w:val="center"/>
          </w:tcPr>
          <w:p>
            <w:pPr>
              <w:jc w:val="center"/>
            </w:pPr>
            <w:r>
              <w:rPr>
                <w:color w:val="000000"/>
                <w:sz w:val="24"/>
                <w:szCs w:val="24"/>
              </w:rPr>
              <w:t>3</w:t>
            </w:r>
          </w:p>
        </w:tc>
        <w:tc>
          <w:tcPr>
            <w:vAlign w:val="center"/>
          </w:tcPr>
          <w:p>
            <w:pPr>
              <w:jc w:val="center"/>
            </w:pPr>
            <w:r>
              <w:rPr>
                <w:color w:val="000000"/>
                <w:sz w:val="24"/>
                <w:szCs w:val="24"/>
              </w:rPr>
              <w:t>101801274</w:t>
            </w:r>
          </w:p>
        </w:tc>
        <w:tc>
          <w:tcPr>
            <w:vAlign w:val="center"/>
          </w:tcPr>
          <w:p>
            <w:pPr>
              <w:jc w:val="center"/>
            </w:pPr>
            <w:r>
              <w:rPr>
                <w:color w:val="000000"/>
                <w:sz w:val="24"/>
                <w:szCs w:val="24"/>
              </w:rPr>
              <w:t>18华润医药MTN002</w:t>
            </w:r>
          </w:p>
        </w:tc>
        <w:tc>
          <w:tcPr>
            <w:vAlign w:val="center"/>
          </w:tcPr>
          <w:p>
            <w:pPr>
              <w:jc w:val="right"/>
            </w:pPr>
            <w:r>
              <w:rPr>
                <w:color w:val="000000"/>
                <w:sz w:val="24"/>
                <w:szCs w:val="24"/>
              </w:rPr>
              <w:t>200,000</w:t>
            </w:r>
          </w:p>
        </w:tc>
        <w:tc>
          <w:tcPr>
            <w:vAlign w:val="center"/>
          </w:tcPr>
          <w:p>
            <w:pPr>
              <w:jc w:val="right"/>
            </w:pPr>
            <w:r>
              <w:rPr>
                <w:color w:val="000000"/>
                <w:sz w:val="24"/>
                <w:szCs w:val="24"/>
              </w:rPr>
              <w:t>20,328,000.00</w:t>
            </w:r>
          </w:p>
        </w:tc>
        <w:tc>
          <w:tcPr>
            <w:vAlign w:val="center"/>
          </w:tcPr>
          <w:p>
            <w:pPr>
              <w:jc w:val="right"/>
            </w:pPr>
            <w:r>
              <w:rPr>
                <w:color w:val="000000"/>
                <w:sz w:val="24"/>
                <w:szCs w:val="24"/>
              </w:rPr>
              <w:t>2.33</w:t>
            </w:r>
          </w:p>
        </w:tc>
      </w:tr>
      <w:tr>
        <w:tc>
          <w:tcPr>
            <w:vAlign w:val="center"/>
          </w:tcPr>
          <w:p>
            <w:pPr>
              <w:jc w:val="center"/>
            </w:pPr>
            <w:r>
              <w:rPr>
                <w:color w:val="000000"/>
                <w:sz w:val="24"/>
                <w:szCs w:val="24"/>
              </w:rPr>
              <w:t>4</w:t>
            </w:r>
          </w:p>
        </w:tc>
        <w:tc>
          <w:tcPr>
            <w:vAlign w:val="center"/>
          </w:tcPr>
          <w:p>
            <w:pPr>
              <w:jc w:val="center"/>
            </w:pPr>
            <w:r>
              <w:rPr>
                <w:color w:val="000000"/>
                <w:sz w:val="24"/>
                <w:szCs w:val="24"/>
              </w:rPr>
              <w:t>101900630</w:t>
            </w:r>
          </w:p>
        </w:tc>
        <w:tc>
          <w:tcPr>
            <w:vAlign w:val="center"/>
          </w:tcPr>
          <w:p>
            <w:pPr>
              <w:jc w:val="center"/>
            </w:pPr>
            <w:r>
              <w:rPr>
                <w:color w:val="000000"/>
                <w:sz w:val="24"/>
                <w:szCs w:val="24"/>
              </w:rPr>
              <w:t>19京国资MTN001</w:t>
            </w:r>
          </w:p>
        </w:tc>
        <w:tc>
          <w:tcPr>
            <w:vAlign w:val="center"/>
          </w:tcPr>
          <w:p>
            <w:pPr>
              <w:jc w:val="right"/>
            </w:pPr>
            <w:r>
              <w:rPr>
                <w:color w:val="000000"/>
                <w:sz w:val="24"/>
                <w:szCs w:val="24"/>
              </w:rPr>
              <w:t>200,000</w:t>
            </w:r>
          </w:p>
        </w:tc>
        <w:tc>
          <w:tcPr>
            <w:vAlign w:val="center"/>
          </w:tcPr>
          <w:p>
            <w:pPr>
              <w:jc w:val="right"/>
            </w:pPr>
            <w:r>
              <w:rPr>
                <w:color w:val="000000"/>
                <w:sz w:val="24"/>
                <w:szCs w:val="24"/>
              </w:rPr>
              <w:t>20,220,000.00</w:t>
            </w:r>
          </w:p>
        </w:tc>
        <w:tc>
          <w:tcPr>
            <w:vAlign w:val="center"/>
          </w:tcPr>
          <w:p>
            <w:pPr>
              <w:jc w:val="right"/>
            </w:pPr>
            <w:r>
              <w:rPr>
                <w:color w:val="000000"/>
                <w:sz w:val="24"/>
                <w:szCs w:val="24"/>
              </w:rPr>
              <w:t>2.32</w:t>
            </w:r>
          </w:p>
        </w:tc>
      </w:tr>
      <w:tr>
        <w:tc>
          <w:tcPr>
            <w:vAlign w:val="center"/>
          </w:tcPr>
          <w:p>
            <w:pPr>
              <w:jc w:val="center"/>
            </w:pPr>
            <w:r>
              <w:rPr>
                <w:color w:val="000000"/>
                <w:sz w:val="24"/>
                <w:szCs w:val="24"/>
              </w:rPr>
              <w:t>5</w:t>
            </w:r>
          </w:p>
        </w:tc>
        <w:tc>
          <w:tcPr>
            <w:vAlign w:val="center"/>
          </w:tcPr>
          <w:p>
            <w:pPr>
              <w:jc w:val="center"/>
            </w:pPr>
            <w:r>
              <w:rPr>
                <w:color w:val="000000"/>
                <w:sz w:val="24"/>
                <w:szCs w:val="24"/>
              </w:rPr>
              <w:t>143791</w:t>
            </w:r>
          </w:p>
        </w:tc>
        <w:tc>
          <w:tcPr>
            <w:vAlign w:val="center"/>
          </w:tcPr>
          <w:p>
            <w:pPr>
              <w:jc w:val="center"/>
            </w:pPr>
            <w:r>
              <w:rPr>
                <w:color w:val="000000"/>
                <w:sz w:val="24"/>
                <w:szCs w:val="24"/>
              </w:rPr>
              <w:t>18电投06</w:t>
            </w:r>
          </w:p>
        </w:tc>
        <w:tc>
          <w:tcPr>
            <w:vAlign w:val="center"/>
          </w:tcPr>
          <w:p>
            <w:pPr>
              <w:jc w:val="right"/>
            </w:pPr>
            <w:r>
              <w:rPr>
                <w:color w:val="000000"/>
                <w:sz w:val="24"/>
                <w:szCs w:val="24"/>
              </w:rPr>
              <w:t>200,000</w:t>
            </w:r>
          </w:p>
        </w:tc>
        <w:tc>
          <w:tcPr>
            <w:vAlign w:val="center"/>
          </w:tcPr>
          <w:p>
            <w:pPr>
              <w:jc w:val="right"/>
            </w:pPr>
            <w:r>
              <w:rPr>
                <w:color w:val="000000"/>
                <w:sz w:val="24"/>
                <w:szCs w:val="24"/>
              </w:rPr>
              <w:t>20,202,000.00</w:t>
            </w:r>
          </w:p>
        </w:tc>
        <w:tc>
          <w:tcPr>
            <w:vAlign w:val="center"/>
          </w:tcPr>
          <w:p>
            <w:pPr>
              <w:jc w:val="right"/>
            </w:pPr>
            <w:r>
              <w:rPr>
                <w:color w:val="000000"/>
                <w:sz w:val="24"/>
                <w:szCs w:val="24"/>
              </w:rPr>
              <w:t>2.32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95,643.86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10,220,912.98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10,389.55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10,326,946.39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110059</w:t>
            </w:r>
          </w:p>
        </w:tc>
        <w:tc>
          <w:tcPr>
            <w:vAlign w:val="center"/>
          </w:tcPr>
          <w:p>
            <w:pPr>
              <w:jc w:val="center"/>
            </w:pPr>
            <w:r>
              <w:rPr>
                <w:color w:val="000000"/>
                <w:sz w:val="24"/>
                <w:szCs w:val="24"/>
              </w:rPr>
              <w:t>浦发转债</w:t>
            </w:r>
          </w:p>
        </w:tc>
        <w:tc>
          <w:tcPr>
            <w:vAlign w:val="center"/>
          </w:tcPr>
          <w:p>
            <w:pPr>
              <w:jc w:val="right"/>
            </w:pPr>
            <w:r>
              <w:rPr>
                <w:color w:val="000000"/>
                <w:sz w:val="24"/>
                <w:szCs w:val="24"/>
              </w:rPr>
              <w:t>1,141,779.60</w:t>
            </w:r>
          </w:p>
        </w:tc>
        <w:tc>
          <w:tcPr>
            <w:vAlign w:val="center"/>
          </w:tcPr>
          <w:p>
            <w:pPr>
              <w:jc w:val="right"/>
            </w:pPr>
            <w:r>
              <w:rPr>
                <w:color w:val="000000"/>
                <w:sz w:val="24"/>
                <w:szCs w:val="24"/>
              </w:rPr>
              <w:t>0.13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546,306,341.31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236,362,941.53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62,623,596.66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720,045,686.18</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2020/7/1-2020/9/30</w:t>
            </w:r>
          </w:p>
        </w:tc>
        <w:tc>
          <w:tcPr>
            <w:vAlign w:val="center"/>
          </w:tcPr>
          <w:p>
            <w:pPr>
              <w:jc w:val="center"/>
            </w:pPr>
            <w:r>
              <w:rPr>
                <w:rFonts w:ascii="宋体" w:hAnsi="宋体"/>
                <w:color w:val="000000"/>
                <w:kern w:val="0"/>
              </w:rPr>
              <w:t>123,694,879.96</w:t>
            </w:r>
          </w:p>
        </w:tc>
        <w:tc>
          <w:tcPr>
            <w:vAlign w:val="center"/>
          </w:tcPr>
          <w:p>
            <w:pPr>
              <w:jc w:val="center"/>
            </w:pPr>
            <w:r>
              <w:rPr>
                <w:rFonts w:ascii="宋体" w:hAnsi="宋体"/>
                <w:color w:val="000000"/>
                <w:kern w:val="0"/>
              </w:rPr>
              <w:t>16,991,503.82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140,686,383.78</w:t>
            </w:r>
          </w:p>
        </w:tc>
        <w:tc>
          <w:tcPr>
            <w:vAlign w:val="center"/>
          </w:tcPr>
          <w:p>
            <w:pPr>
              <w:jc w:val="center"/>
            </w:pPr>
            <w:r>
              <w:rPr>
                <w:rFonts w:ascii="宋体" w:hAnsi="宋体"/>
                <w:color w:val="000000"/>
                <w:kern w:val="0"/>
              </w:rPr>
              <w:t>19.54%</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1、中国证监会准予交银施罗德荣鑫保本混合型证券投资基金募集注册的文件；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2、《交银施罗德荣鑫灵活配置混合型证券投资基金基金合同》；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3、《交银施罗德荣鑫灵活配置混合型证券投资基金招募说明书》；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4、《交银施罗德荣鑫灵活配置混合型证券投资基金托管协议》；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5、《交银施罗德荣鑫保本混合型证券投资基金基金合同》；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6、《交银施罗德荣鑫保本混合型证券投资基金招募说明书》；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7、《交银施罗德荣鑫保本混合型证券投资基金托管协议》； </w:t>
      </w:r>
    </w:p>
    <w:p>
      <w:pPr>
        <w:spacing w:before="29" w:line="288" w:lineRule="auto"/>
        <w:ind w:firstLine="480" w:firstLineChars="200"/>
        <w:rPr>
          <w:color w:val="000000"/>
          <w:sz w:val="24"/>
          <w:szCs w:val="24"/>
        </w:rPr>
      </w:pPr>
      <w:r>
        <w:rPr>
          <w:color w:val="000000"/>
          <w:sz w:val="24"/>
          <w:szCs w:val="24"/>
        </w:rPr>
        <w:t>8、《交银施罗德荣鑫保本混合型证券投资基金保证合同》；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11、关于申请募集注册交银施罗德荣鑫保本混合型证券投资基金的法律意见书； </w:t>
      </w:r>
    </w:p>
    <w:p>
      <w:pPr>
        <w:spacing w:before="29" w:line="288" w:lineRule="auto"/>
        <w:ind w:firstLine="480" w:firstLineChars="200"/>
        <w:rPr>
          <w:color w:val="000000"/>
          <w:sz w:val="24"/>
          <w:szCs w:val="24"/>
        </w:rPr>
      </w:pPr>
      <w:r>
        <w:rPr>
          <w:color w:val="000000"/>
          <w:sz w:val="24"/>
          <w:szCs w:val="24"/>
        </w:rPr>
        <w:t>12、关于修改《交银施罗德荣鑫保本混合型证券投资基金基金合同》的法律意见书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13、报告期内交银施罗德荣鑫保本混合型证券投资基金、交银施罗德荣鑫灵活配置混合型证券投资基金在指定报刊上各项公告的原稿。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交银施罗德荣鑫灵活配置混合型证券投资基金2020年第3季度报告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