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A3EC2" w:rsidRDefault="00F61BD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2,709,493,274.26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61BD7" w:rsidRPr="00414345" w:rsidTr="00F61BD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61BD7" w:rsidRPr="00414345" w:rsidTr="00F61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605,996,823.57</w:t>
            </w:r>
          </w:p>
        </w:tc>
      </w:tr>
      <w:tr w:rsidR="00F61BD7" w:rsidRPr="00414345" w:rsidTr="00F61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544,345,056.71</w:t>
            </w:r>
          </w:p>
        </w:tc>
      </w:tr>
      <w:tr w:rsidR="00F61BD7" w:rsidRPr="00414345" w:rsidTr="00F61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0.1927</w:t>
            </w:r>
          </w:p>
        </w:tc>
      </w:tr>
      <w:tr w:rsidR="00F61BD7" w:rsidRPr="00414345" w:rsidTr="00F61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5,171,216,689.22</w:t>
            </w:r>
          </w:p>
        </w:tc>
      </w:tr>
      <w:tr w:rsidR="00F61BD7" w:rsidRPr="00414345" w:rsidTr="00F61BD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1.909</w:t>
            </w:r>
          </w:p>
        </w:tc>
      </w:tr>
    </w:tbl>
    <w:p w:rsidR="000A3EC2" w:rsidRDefault="00F61B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A3EC2">
        <w:trPr>
          <w:jc w:val="center"/>
        </w:trPr>
        <w:tc>
          <w:tcPr>
            <w:tcW w:w="1701" w:type="dxa"/>
            <w:vAlign w:val="center"/>
          </w:tcPr>
          <w:p w:rsidR="000A3EC2" w:rsidRDefault="00F61BD7">
            <w:pPr>
              <w:jc w:val="left"/>
            </w:pPr>
            <w:r>
              <w:rPr>
                <w:color w:val="000000"/>
                <w:sz w:val="24"/>
                <w:szCs w:val="24"/>
              </w:rPr>
              <w:t>过去三个月</w:t>
            </w:r>
          </w:p>
        </w:tc>
        <w:tc>
          <w:tcPr>
            <w:tcW w:w="1045" w:type="dxa"/>
            <w:vAlign w:val="center"/>
          </w:tcPr>
          <w:p w:rsidR="000A3EC2" w:rsidRDefault="00F61BD7">
            <w:pPr>
              <w:jc w:val="center"/>
            </w:pPr>
            <w:r>
              <w:rPr>
                <w:color w:val="000000"/>
                <w:sz w:val="24"/>
                <w:szCs w:val="24"/>
              </w:rPr>
              <w:t>10.86%</w:t>
            </w:r>
          </w:p>
        </w:tc>
        <w:tc>
          <w:tcPr>
            <w:tcW w:w="1344" w:type="dxa"/>
            <w:vAlign w:val="center"/>
          </w:tcPr>
          <w:p w:rsidR="000A3EC2" w:rsidRDefault="00F61BD7">
            <w:pPr>
              <w:jc w:val="center"/>
            </w:pPr>
            <w:r>
              <w:rPr>
                <w:color w:val="000000"/>
                <w:sz w:val="24"/>
                <w:szCs w:val="24"/>
              </w:rPr>
              <w:t>1.78%</w:t>
            </w:r>
          </w:p>
        </w:tc>
        <w:tc>
          <w:tcPr>
            <w:tcW w:w="1194" w:type="dxa"/>
            <w:vAlign w:val="center"/>
          </w:tcPr>
          <w:p w:rsidR="000A3EC2" w:rsidRDefault="00F61BD7">
            <w:pPr>
              <w:jc w:val="center"/>
            </w:pPr>
            <w:r>
              <w:rPr>
                <w:color w:val="000000"/>
                <w:sz w:val="24"/>
                <w:szCs w:val="24"/>
              </w:rPr>
              <w:t>5.96%</w:t>
            </w:r>
          </w:p>
        </w:tc>
        <w:tc>
          <w:tcPr>
            <w:tcW w:w="1492" w:type="dxa"/>
            <w:vAlign w:val="center"/>
          </w:tcPr>
          <w:p w:rsidR="000A3EC2" w:rsidRDefault="00F61BD7">
            <w:pPr>
              <w:jc w:val="center"/>
            </w:pPr>
            <w:r>
              <w:rPr>
                <w:color w:val="000000"/>
                <w:sz w:val="24"/>
                <w:szCs w:val="24"/>
              </w:rPr>
              <w:t>0.96%</w:t>
            </w:r>
          </w:p>
        </w:tc>
        <w:tc>
          <w:tcPr>
            <w:tcW w:w="1194" w:type="dxa"/>
            <w:vAlign w:val="center"/>
          </w:tcPr>
          <w:p w:rsidR="000A3EC2" w:rsidRDefault="00F61BD7">
            <w:pPr>
              <w:jc w:val="center"/>
            </w:pPr>
            <w:r>
              <w:rPr>
                <w:color w:val="000000"/>
                <w:sz w:val="24"/>
                <w:szCs w:val="24"/>
              </w:rPr>
              <w:t>4.90%</w:t>
            </w:r>
          </w:p>
        </w:tc>
        <w:tc>
          <w:tcPr>
            <w:tcW w:w="898" w:type="dxa"/>
            <w:vAlign w:val="center"/>
          </w:tcPr>
          <w:p w:rsidR="000A3EC2" w:rsidRDefault="00F61BD7">
            <w:pPr>
              <w:jc w:val="center"/>
            </w:pPr>
            <w:r>
              <w:rPr>
                <w:color w:val="000000"/>
                <w:sz w:val="24"/>
                <w:szCs w:val="24"/>
              </w:rPr>
              <w:t>0.82%</w:t>
            </w:r>
          </w:p>
        </w:tc>
      </w:tr>
      <w:tr w:rsidR="000A3EC2">
        <w:trPr>
          <w:jc w:val="center"/>
        </w:trPr>
        <w:tc>
          <w:tcPr>
            <w:tcW w:w="1701" w:type="dxa"/>
            <w:vAlign w:val="center"/>
          </w:tcPr>
          <w:p w:rsidR="000A3EC2" w:rsidRDefault="00F61BD7">
            <w:pPr>
              <w:jc w:val="left"/>
            </w:pPr>
            <w:r>
              <w:rPr>
                <w:color w:val="000000"/>
                <w:sz w:val="24"/>
                <w:szCs w:val="24"/>
              </w:rPr>
              <w:t>过去六个月</w:t>
            </w:r>
          </w:p>
        </w:tc>
        <w:tc>
          <w:tcPr>
            <w:tcW w:w="1045" w:type="dxa"/>
            <w:vAlign w:val="center"/>
          </w:tcPr>
          <w:p w:rsidR="000A3EC2" w:rsidRDefault="00F61BD7">
            <w:pPr>
              <w:jc w:val="center"/>
            </w:pPr>
            <w:r>
              <w:rPr>
                <w:color w:val="000000"/>
                <w:sz w:val="24"/>
                <w:szCs w:val="24"/>
              </w:rPr>
              <w:t>39.55%</w:t>
            </w:r>
          </w:p>
        </w:tc>
        <w:tc>
          <w:tcPr>
            <w:tcW w:w="1344" w:type="dxa"/>
            <w:vAlign w:val="center"/>
          </w:tcPr>
          <w:p w:rsidR="000A3EC2" w:rsidRDefault="00F61BD7">
            <w:pPr>
              <w:jc w:val="center"/>
            </w:pPr>
            <w:r>
              <w:rPr>
                <w:color w:val="000000"/>
                <w:sz w:val="24"/>
                <w:szCs w:val="24"/>
              </w:rPr>
              <w:t>1.55%</w:t>
            </w:r>
          </w:p>
        </w:tc>
        <w:tc>
          <w:tcPr>
            <w:tcW w:w="1194" w:type="dxa"/>
            <w:vAlign w:val="center"/>
          </w:tcPr>
          <w:p w:rsidR="000A3EC2" w:rsidRDefault="00F61BD7">
            <w:pPr>
              <w:jc w:val="center"/>
            </w:pPr>
            <w:r>
              <w:rPr>
                <w:color w:val="000000"/>
                <w:sz w:val="24"/>
                <w:szCs w:val="24"/>
              </w:rPr>
              <w:t>13.95%</w:t>
            </w:r>
          </w:p>
        </w:tc>
        <w:tc>
          <w:tcPr>
            <w:tcW w:w="1492" w:type="dxa"/>
            <w:vAlign w:val="center"/>
          </w:tcPr>
          <w:p w:rsidR="000A3EC2" w:rsidRDefault="00F61BD7">
            <w:pPr>
              <w:jc w:val="center"/>
            </w:pPr>
            <w:r>
              <w:rPr>
                <w:color w:val="000000"/>
                <w:sz w:val="24"/>
                <w:szCs w:val="24"/>
              </w:rPr>
              <w:t>0.79%</w:t>
            </w:r>
          </w:p>
        </w:tc>
        <w:tc>
          <w:tcPr>
            <w:tcW w:w="1194" w:type="dxa"/>
            <w:vAlign w:val="center"/>
          </w:tcPr>
          <w:p w:rsidR="000A3EC2" w:rsidRDefault="00F61BD7">
            <w:pPr>
              <w:jc w:val="center"/>
            </w:pPr>
            <w:r>
              <w:rPr>
                <w:color w:val="000000"/>
                <w:sz w:val="24"/>
                <w:szCs w:val="24"/>
              </w:rPr>
              <w:t>25.60%</w:t>
            </w:r>
          </w:p>
        </w:tc>
        <w:tc>
          <w:tcPr>
            <w:tcW w:w="898" w:type="dxa"/>
            <w:vAlign w:val="center"/>
          </w:tcPr>
          <w:p w:rsidR="000A3EC2" w:rsidRDefault="00F61BD7">
            <w:pPr>
              <w:jc w:val="center"/>
            </w:pPr>
            <w:r>
              <w:rPr>
                <w:color w:val="000000"/>
                <w:sz w:val="24"/>
                <w:szCs w:val="24"/>
              </w:rPr>
              <w:t>0.76%</w:t>
            </w:r>
          </w:p>
        </w:tc>
      </w:tr>
      <w:tr w:rsidR="000A3EC2">
        <w:trPr>
          <w:jc w:val="center"/>
        </w:trPr>
        <w:tc>
          <w:tcPr>
            <w:tcW w:w="1701" w:type="dxa"/>
            <w:vAlign w:val="center"/>
          </w:tcPr>
          <w:p w:rsidR="000A3EC2" w:rsidRDefault="00F61BD7">
            <w:pPr>
              <w:jc w:val="left"/>
            </w:pPr>
            <w:r>
              <w:rPr>
                <w:color w:val="000000"/>
                <w:sz w:val="24"/>
                <w:szCs w:val="24"/>
              </w:rPr>
              <w:lastRenderedPageBreak/>
              <w:t>过去一年</w:t>
            </w:r>
          </w:p>
        </w:tc>
        <w:tc>
          <w:tcPr>
            <w:tcW w:w="1045" w:type="dxa"/>
            <w:vAlign w:val="center"/>
          </w:tcPr>
          <w:p w:rsidR="000A3EC2" w:rsidRDefault="00F61BD7">
            <w:pPr>
              <w:jc w:val="center"/>
            </w:pPr>
            <w:r>
              <w:rPr>
                <w:color w:val="000000"/>
                <w:sz w:val="24"/>
                <w:szCs w:val="24"/>
              </w:rPr>
              <w:t>79.76%</w:t>
            </w:r>
          </w:p>
        </w:tc>
        <w:tc>
          <w:tcPr>
            <w:tcW w:w="1344" w:type="dxa"/>
            <w:vAlign w:val="center"/>
          </w:tcPr>
          <w:p w:rsidR="000A3EC2" w:rsidRDefault="00F61BD7">
            <w:pPr>
              <w:jc w:val="center"/>
            </w:pPr>
            <w:r>
              <w:rPr>
                <w:color w:val="000000"/>
                <w:sz w:val="24"/>
                <w:szCs w:val="24"/>
              </w:rPr>
              <w:t>1.70%</w:t>
            </w:r>
          </w:p>
        </w:tc>
        <w:tc>
          <w:tcPr>
            <w:tcW w:w="1194" w:type="dxa"/>
            <w:vAlign w:val="center"/>
          </w:tcPr>
          <w:p w:rsidR="000A3EC2" w:rsidRDefault="00F61BD7">
            <w:pPr>
              <w:jc w:val="center"/>
            </w:pPr>
            <w:r>
              <w:rPr>
                <w:color w:val="000000"/>
                <w:sz w:val="24"/>
                <w:szCs w:val="24"/>
              </w:rPr>
              <w:t>13.70%</w:t>
            </w:r>
          </w:p>
        </w:tc>
        <w:tc>
          <w:tcPr>
            <w:tcW w:w="1492" w:type="dxa"/>
            <w:vAlign w:val="center"/>
          </w:tcPr>
          <w:p w:rsidR="000A3EC2" w:rsidRDefault="00F61BD7">
            <w:pPr>
              <w:jc w:val="center"/>
            </w:pPr>
            <w:r>
              <w:rPr>
                <w:color w:val="000000"/>
                <w:sz w:val="24"/>
                <w:szCs w:val="24"/>
              </w:rPr>
              <w:t>0.83%</w:t>
            </w:r>
          </w:p>
        </w:tc>
        <w:tc>
          <w:tcPr>
            <w:tcW w:w="1194" w:type="dxa"/>
            <w:vAlign w:val="center"/>
          </w:tcPr>
          <w:p w:rsidR="000A3EC2" w:rsidRDefault="00F61BD7">
            <w:pPr>
              <w:jc w:val="center"/>
            </w:pPr>
            <w:r>
              <w:rPr>
                <w:color w:val="000000"/>
                <w:sz w:val="24"/>
                <w:szCs w:val="24"/>
              </w:rPr>
              <w:t>66.06%</w:t>
            </w:r>
          </w:p>
        </w:tc>
        <w:tc>
          <w:tcPr>
            <w:tcW w:w="898" w:type="dxa"/>
            <w:vAlign w:val="center"/>
          </w:tcPr>
          <w:p w:rsidR="000A3EC2" w:rsidRDefault="00F61BD7">
            <w:pPr>
              <w:jc w:val="center"/>
            </w:pPr>
            <w:r>
              <w:rPr>
                <w:color w:val="000000"/>
                <w:sz w:val="24"/>
                <w:szCs w:val="24"/>
              </w:rPr>
              <w:t>0.87%</w:t>
            </w:r>
          </w:p>
        </w:tc>
      </w:tr>
      <w:tr w:rsidR="000A3EC2">
        <w:trPr>
          <w:jc w:val="center"/>
        </w:trPr>
        <w:tc>
          <w:tcPr>
            <w:tcW w:w="1701" w:type="dxa"/>
            <w:vAlign w:val="center"/>
          </w:tcPr>
          <w:p w:rsidR="000A3EC2" w:rsidRDefault="00F61BD7">
            <w:pPr>
              <w:jc w:val="left"/>
            </w:pPr>
            <w:r>
              <w:rPr>
                <w:color w:val="000000"/>
                <w:sz w:val="24"/>
                <w:szCs w:val="24"/>
              </w:rPr>
              <w:t>过去三年</w:t>
            </w:r>
          </w:p>
        </w:tc>
        <w:tc>
          <w:tcPr>
            <w:tcW w:w="1045" w:type="dxa"/>
            <w:vAlign w:val="center"/>
          </w:tcPr>
          <w:p w:rsidR="000A3EC2" w:rsidRDefault="00F61BD7">
            <w:pPr>
              <w:jc w:val="center"/>
            </w:pPr>
            <w:r>
              <w:rPr>
                <w:color w:val="000000"/>
                <w:sz w:val="24"/>
                <w:szCs w:val="24"/>
              </w:rPr>
              <w:t>131.67%</w:t>
            </w:r>
          </w:p>
        </w:tc>
        <w:tc>
          <w:tcPr>
            <w:tcW w:w="1344" w:type="dxa"/>
            <w:vAlign w:val="center"/>
          </w:tcPr>
          <w:p w:rsidR="000A3EC2" w:rsidRDefault="00F61BD7">
            <w:pPr>
              <w:jc w:val="center"/>
            </w:pPr>
            <w:r>
              <w:rPr>
                <w:color w:val="000000"/>
                <w:sz w:val="24"/>
                <w:szCs w:val="24"/>
              </w:rPr>
              <w:t>1.74%</w:t>
            </w:r>
          </w:p>
        </w:tc>
        <w:tc>
          <w:tcPr>
            <w:tcW w:w="1194" w:type="dxa"/>
            <w:vAlign w:val="center"/>
          </w:tcPr>
          <w:p w:rsidR="000A3EC2" w:rsidRDefault="00F61BD7">
            <w:pPr>
              <w:jc w:val="center"/>
            </w:pPr>
            <w:r>
              <w:rPr>
                <w:color w:val="000000"/>
                <w:sz w:val="24"/>
                <w:szCs w:val="24"/>
              </w:rPr>
              <w:t>19.47%</w:t>
            </w:r>
          </w:p>
        </w:tc>
        <w:tc>
          <w:tcPr>
            <w:tcW w:w="1492" w:type="dxa"/>
            <w:vAlign w:val="center"/>
          </w:tcPr>
          <w:p w:rsidR="000A3EC2" w:rsidRDefault="00F61BD7">
            <w:pPr>
              <w:jc w:val="center"/>
            </w:pPr>
            <w:r>
              <w:rPr>
                <w:color w:val="000000"/>
                <w:sz w:val="24"/>
                <w:szCs w:val="24"/>
              </w:rPr>
              <w:t>0.79%</w:t>
            </w:r>
          </w:p>
        </w:tc>
        <w:tc>
          <w:tcPr>
            <w:tcW w:w="1194" w:type="dxa"/>
            <w:vAlign w:val="center"/>
          </w:tcPr>
          <w:p w:rsidR="000A3EC2" w:rsidRDefault="00F61BD7">
            <w:pPr>
              <w:jc w:val="center"/>
            </w:pPr>
            <w:r>
              <w:rPr>
                <w:color w:val="000000"/>
                <w:sz w:val="24"/>
                <w:szCs w:val="24"/>
              </w:rPr>
              <w:t>112.20%</w:t>
            </w:r>
          </w:p>
        </w:tc>
        <w:tc>
          <w:tcPr>
            <w:tcW w:w="898" w:type="dxa"/>
            <w:vAlign w:val="center"/>
          </w:tcPr>
          <w:p w:rsidR="000A3EC2" w:rsidRDefault="00F61BD7">
            <w:pPr>
              <w:jc w:val="center"/>
            </w:pPr>
            <w:r>
              <w:rPr>
                <w:color w:val="000000"/>
                <w:sz w:val="24"/>
                <w:szCs w:val="24"/>
              </w:rPr>
              <w:t>0.95%</w:t>
            </w:r>
          </w:p>
        </w:tc>
      </w:tr>
      <w:tr w:rsidR="000A3EC2">
        <w:trPr>
          <w:jc w:val="center"/>
        </w:trPr>
        <w:tc>
          <w:tcPr>
            <w:tcW w:w="1701" w:type="dxa"/>
            <w:vAlign w:val="center"/>
          </w:tcPr>
          <w:p w:rsidR="000A3EC2" w:rsidRDefault="00F61BD7">
            <w:pPr>
              <w:jc w:val="left"/>
            </w:pPr>
            <w:r>
              <w:rPr>
                <w:color w:val="000000"/>
                <w:sz w:val="24"/>
                <w:szCs w:val="24"/>
              </w:rPr>
              <w:t>自基金合同生效至今</w:t>
            </w:r>
          </w:p>
        </w:tc>
        <w:tc>
          <w:tcPr>
            <w:tcW w:w="1045" w:type="dxa"/>
            <w:vAlign w:val="center"/>
          </w:tcPr>
          <w:p w:rsidR="000A3EC2" w:rsidRDefault="00F61BD7">
            <w:pPr>
              <w:jc w:val="center"/>
            </w:pPr>
            <w:r>
              <w:rPr>
                <w:color w:val="000000"/>
                <w:sz w:val="24"/>
                <w:szCs w:val="24"/>
              </w:rPr>
              <w:t>90.90%</w:t>
            </w:r>
          </w:p>
        </w:tc>
        <w:tc>
          <w:tcPr>
            <w:tcW w:w="1344" w:type="dxa"/>
            <w:vAlign w:val="center"/>
          </w:tcPr>
          <w:p w:rsidR="000A3EC2" w:rsidRDefault="00F61BD7">
            <w:pPr>
              <w:jc w:val="center"/>
            </w:pPr>
            <w:r>
              <w:rPr>
                <w:color w:val="000000"/>
                <w:sz w:val="24"/>
                <w:szCs w:val="24"/>
              </w:rPr>
              <w:t>1.60%</w:t>
            </w:r>
          </w:p>
        </w:tc>
        <w:tc>
          <w:tcPr>
            <w:tcW w:w="1194" w:type="dxa"/>
            <w:vAlign w:val="center"/>
          </w:tcPr>
          <w:p w:rsidR="000A3EC2" w:rsidRDefault="00F61BD7">
            <w:pPr>
              <w:jc w:val="center"/>
            </w:pPr>
            <w:r>
              <w:rPr>
                <w:color w:val="000000"/>
                <w:sz w:val="24"/>
                <w:szCs w:val="24"/>
              </w:rPr>
              <w:t>28.61%</w:t>
            </w:r>
          </w:p>
        </w:tc>
        <w:tc>
          <w:tcPr>
            <w:tcW w:w="1492" w:type="dxa"/>
            <w:vAlign w:val="center"/>
          </w:tcPr>
          <w:p w:rsidR="000A3EC2" w:rsidRDefault="00F61BD7">
            <w:pPr>
              <w:jc w:val="center"/>
            </w:pPr>
            <w:r>
              <w:rPr>
                <w:color w:val="000000"/>
                <w:sz w:val="24"/>
                <w:szCs w:val="24"/>
              </w:rPr>
              <w:t>0.70%</w:t>
            </w:r>
          </w:p>
        </w:tc>
        <w:tc>
          <w:tcPr>
            <w:tcW w:w="1194" w:type="dxa"/>
            <w:vAlign w:val="center"/>
          </w:tcPr>
          <w:p w:rsidR="000A3EC2" w:rsidRDefault="00F61BD7">
            <w:pPr>
              <w:jc w:val="center"/>
            </w:pPr>
            <w:r>
              <w:rPr>
                <w:color w:val="000000"/>
                <w:sz w:val="24"/>
                <w:szCs w:val="24"/>
              </w:rPr>
              <w:t>62.29%</w:t>
            </w:r>
          </w:p>
        </w:tc>
        <w:tc>
          <w:tcPr>
            <w:tcW w:w="898" w:type="dxa"/>
            <w:vAlign w:val="center"/>
          </w:tcPr>
          <w:p w:rsidR="000A3EC2" w:rsidRDefault="00F61BD7">
            <w:pPr>
              <w:jc w:val="center"/>
            </w:pPr>
            <w:r>
              <w:rPr>
                <w:color w:val="000000"/>
                <w:sz w:val="24"/>
                <w:szCs w:val="24"/>
              </w:rPr>
              <w:t>0.90%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A3EC2">
        <w:trPr>
          <w:jc w:val="center"/>
        </w:trPr>
        <w:tc>
          <w:tcPr>
            <w:tcW w:w="846" w:type="dxa"/>
            <w:vAlign w:val="center"/>
          </w:tcPr>
          <w:p w:rsidR="000A3EC2" w:rsidRDefault="00F61BD7">
            <w:pPr>
              <w:jc w:val="center"/>
            </w:pPr>
            <w:r>
              <w:rPr>
                <w:color w:val="000000"/>
                <w:sz w:val="24"/>
                <w:szCs w:val="24"/>
              </w:rPr>
              <w:t>田彧龙</w:t>
            </w:r>
          </w:p>
        </w:tc>
        <w:tc>
          <w:tcPr>
            <w:tcW w:w="845" w:type="dxa"/>
            <w:vAlign w:val="center"/>
          </w:tcPr>
          <w:p w:rsidR="000A3EC2" w:rsidRDefault="00F61BD7">
            <w:pPr>
              <w:jc w:val="center"/>
            </w:pPr>
            <w:r>
              <w:rPr>
                <w:color w:val="000000"/>
                <w:sz w:val="24"/>
                <w:szCs w:val="24"/>
              </w:rPr>
              <w:t>交银数据产业灵活配置混合、交银科锐科技创新混合、交银产业机遇混合的基金经理</w:t>
            </w:r>
          </w:p>
        </w:tc>
        <w:tc>
          <w:tcPr>
            <w:tcW w:w="1549" w:type="dxa"/>
            <w:vAlign w:val="center"/>
          </w:tcPr>
          <w:p w:rsidR="000A3EC2" w:rsidRDefault="00F61BD7">
            <w:pPr>
              <w:jc w:val="center"/>
            </w:pPr>
            <w:r>
              <w:rPr>
                <w:color w:val="000000"/>
                <w:sz w:val="24"/>
                <w:szCs w:val="24"/>
              </w:rPr>
              <w:t>2019-05-14</w:t>
            </w:r>
          </w:p>
        </w:tc>
        <w:tc>
          <w:tcPr>
            <w:tcW w:w="1548" w:type="dxa"/>
            <w:vAlign w:val="center"/>
          </w:tcPr>
          <w:p w:rsidR="000A3EC2" w:rsidRDefault="00F61BD7">
            <w:pPr>
              <w:jc w:val="center"/>
            </w:pPr>
            <w:r>
              <w:rPr>
                <w:color w:val="000000"/>
                <w:sz w:val="24"/>
                <w:szCs w:val="24"/>
              </w:rPr>
              <w:t>-</w:t>
            </w:r>
          </w:p>
        </w:tc>
        <w:tc>
          <w:tcPr>
            <w:tcW w:w="1407" w:type="dxa"/>
            <w:vAlign w:val="center"/>
          </w:tcPr>
          <w:p w:rsidR="000A3EC2" w:rsidRDefault="00F61BD7">
            <w:pPr>
              <w:jc w:val="center"/>
            </w:pPr>
            <w:r>
              <w:rPr>
                <w:color w:val="000000"/>
                <w:sz w:val="24"/>
                <w:szCs w:val="24"/>
              </w:rPr>
              <w:t>6</w:t>
            </w:r>
            <w:r>
              <w:rPr>
                <w:color w:val="000000"/>
                <w:sz w:val="24"/>
                <w:szCs w:val="24"/>
              </w:rPr>
              <w:t>年</w:t>
            </w:r>
          </w:p>
        </w:tc>
        <w:tc>
          <w:tcPr>
            <w:tcW w:w="2673" w:type="dxa"/>
            <w:vAlign w:val="center"/>
          </w:tcPr>
          <w:p w:rsidR="000A3EC2" w:rsidRDefault="00F61BD7">
            <w:r>
              <w:rPr>
                <w:color w:val="000000"/>
                <w:sz w:val="24"/>
                <w:szCs w:val="24"/>
              </w:rPr>
              <w:t>田彧龙先生，上海交通大学金融学硕士，浙江大学光电信息工程学学士。</w:t>
            </w:r>
            <w:r>
              <w:rPr>
                <w:color w:val="000000"/>
                <w:sz w:val="24"/>
                <w:szCs w:val="24"/>
              </w:rPr>
              <w:t>2014</w:t>
            </w:r>
            <w:r>
              <w:rPr>
                <w:color w:val="000000"/>
                <w:sz w:val="24"/>
                <w:szCs w:val="24"/>
              </w:rPr>
              <w:t>年</w:t>
            </w:r>
            <w:r>
              <w:rPr>
                <w:color w:val="000000"/>
                <w:sz w:val="24"/>
                <w:szCs w:val="24"/>
              </w:rPr>
              <w:t>7</w:t>
            </w:r>
            <w:r>
              <w:rPr>
                <w:color w:val="000000"/>
                <w:sz w:val="24"/>
                <w:szCs w:val="24"/>
              </w:rPr>
              <w:t>月加入交银施罗德基金管理有限公司，历任行业分析师、基金经理助理。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A3EC2" w:rsidRDefault="00F61BD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A3EC2" w:rsidRDefault="00F61BD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A3EC2" w:rsidRDefault="00F61BD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A3EC2" w:rsidRDefault="00F61BD7">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年三季度，国内有效防范了新冠疫情的反扑，而国外整体疫情控制一般。整体我们看到随着疫苗的研发进展，疫情的影响正在减弱，但是疫情对于生活方式的长期影响值得思考。</w:t>
      </w:r>
    </w:p>
    <w:p w:rsidR="000A3EC2" w:rsidRDefault="00F61BD7">
      <w:pPr>
        <w:spacing w:before="29" w:line="288" w:lineRule="auto"/>
        <w:ind w:firstLineChars="200" w:firstLine="480"/>
        <w:rPr>
          <w:color w:val="000000"/>
          <w:sz w:val="24"/>
          <w:szCs w:val="24"/>
        </w:rPr>
      </w:pPr>
      <w:r>
        <w:rPr>
          <w:color w:val="000000"/>
          <w:sz w:val="24"/>
          <w:szCs w:val="24"/>
        </w:rPr>
        <w:t>三季度，在操作层面，我们加配了新能源板块。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年四季度，我们相对看好经济顺周期等领域，与此同时重点关注以</w:t>
      </w:r>
      <w:r w:rsidRPr="00414345">
        <w:rPr>
          <w:color w:val="000000"/>
          <w:sz w:val="24"/>
          <w:szCs w:val="24"/>
        </w:rPr>
        <w:t>TMT</w:t>
      </w:r>
      <w:r w:rsidRPr="00414345">
        <w:rPr>
          <w:color w:val="000000"/>
          <w:sz w:val="24"/>
          <w:szCs w:val="24"/>
        </w:rPr>
        <w:t>为代表的数据产业领域，在经历外部冲击后，很多公司进行了充分调整。长期来看，在新的一轮科技赋能周期下，中国科技公司仍将大有可为。新基建政策的发力，会给</w:t>
      </w:r>
      <w:r w:rsidRPr="00414345">
        <w:rPr>
          <w:color w:val="000000"/>
          <w:sz w:val="24"/>
          <w:szCs w:val="24"/>
        </w:rPr>
        <w:t>5G</w:t>
      </w:r>
      <w:r w:rsidRPr="00414345">
        <w:rPr>
          <w:color w:val="000000"/>
          <w:sz w:val="24"/>
          <w:szCs w:val="24"/>
        </w:rPr>
        <w:t>、</w:t>
      </w:r>
      <w:r w:rsidRPr="00414345">
        <w:rPr>
          <w:color w:val="000000"/>
          <w:sz w:val="24"/>
          <w:szCs w:val="24"/>
        </w:rPr>
        <w:t>IDC</w:t>
      </w:r>
      <w:r w:rsidRPr="00414345">
        <w:rPr>
          <w:color w:val="000000"/>
          <w:sz w:val="24"/>
          <w:szCs w:val="24"/>
        </w:rPr>
        <w:t>等产业注入活力，同样值得重点关注。在注册制的背景下，将有越来越多的优质公司</w:t>
      </w:r>
      <w:r w:rsidR="00F6229C">
        <w:rPr>
          <w:rFonts w:hint="eastAsia"/>
          <w:color w:val="000000"/>
          <w:sz w:val="24"/>
          <w:szCs w:val="24"/>
        </w:rPr>
        <w:t>登陆</w:t>
      </w:r>
      <w:bookmarkStart w:id="0" w:name="_GoBack"/>
      <w:bookmarkEnd w:id="0"/>
      <w:r w:rsidRPr="00414345">
        <w:rPr>
          <w:color w:val="000000"/>
          <w:sz w:val="24"/>
          <w:szCs w:val="24"/>
        </w:rPr>
        <w:t>资本市场，主动权益投资有望进入</w:t>
      </w:r>
      <w:r w:rsidRPr="00414345">
        <w:rPr>
          <w:color w:val="000000"/>
          <w:sz w:val="24"/>
          <w:szCs w:val="24"/>
        </w:rPr>
        <w:t>“</w:t>
      </w:r>
      <w:r w:rsidRPr="00414345">
        <w:rPr>
          <w:color w:val="000000"/>
          <w:sz w:val="24"/>
          <w:szCs w:val="24"/>
        </w:rPr>
        <w:t>黄金期</w:t>
      </w:r>
      <w:r w:rsidRPr="00414345">
        <w:rPr>
          <w:color w:val="000000"/>
          <w:sz w:val="24"/>
          <w:szCs w:val="24"/>
        </w:rPr>
        <w:t>”</w:t>
      </w:r>
      <w:r w:rsidRPr="00414345">
        <w:rPr>
          <w:color w:val="000000"/>
          <w:sz w:val="24"/>
          <w:szCs w:val="24"/>
        </w:rPr>
        <w:t>。</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4,255,707,815.73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4,255,707,815.73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258,976,000.00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258,976,000.00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636,479,324.82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58,513,330.59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5,209,676,471.14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2,969,806,792.22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309,066,259.36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423,416,345.87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54,923,564.01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104,600,692.74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F61BD7"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116,583,465.96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277,254,054.06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4,255,707,815.73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82.30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A3EC2">
        <w:trPr>
          <w:jc w:val="center"/>
        </w:trPr>
        <w:tc>
          <w:tcPr>
            <w:tcW w:w="855" w:type="dxa"/>
            <w:vAlign w:val="center"/>
          </w:tcPr>
          <w:p w:rsidR="000A3EC2" w:rsidRDefault="00F61BD7">
            <w:pPr>
              <w:jc w:val="center"/>
            </w:pPr>
            <w:r>
              <w:rPr>
                <w:color w:val="000000"/>
                <w:sz w:val="24"/>
                <w:szCs w:val="24"/>
              </w:rPr>
              <w:t>1</w:t>
            </w:r>
          </w:p>
        </w:tc>
        <w:tc>
          <w:tcPr>
            <w:tcW w:w="1334" w:type="dxa"/>
            <w:vAlign w:val="center"/>
          </w:tcPr>
          <w:p w:rsidR="000A3EC2" w:rsidRDefault="00F61BD7">
            <w:pPr>
              <w:jc w:val="center"/>
            </w:pPr>
            <w:r>
              <w:rPr>
                <w:color w:val="000000"/>
                <w:sz w:val="24"/>
                <w:szCs w:val="24"/>
              </w:rPr>
              <w:t>002049</w:t>
            </w:r>
          </w:p>
        </w:tc>
        <w:tc>
          <w:tcPr>
            <w:tcW w:w="1777" w:type="dxa"/>
            <w:vAlign w:val="center"/>
          </w:tcPr>
          <w:p w:rsidR="000A3EC2" w:rsidRDefault="00F61BD7">
            <w:pPr>
              <w:jc w:val="center"/>
            </w:pPr>
            <w:r>
              <w:rPr>
                <w:color w:val="000000"/>
                <w:sz w:val="24"/>
                <w:szCs w:val="24"/>
              </w:rPr>
              <w:t>紫光国微</w:t>
            </w:r>
          </w:p>
        </w:tc>
        <w:tc>
          <w:tcPr>
            <w:tcW w:w="1334" w:type="dxa"/>
            <w:vAlign w:val="center"/>
          </w:tcPr>
          <w:p w:rsidR="000A3EC2" w:rsidRDefault="00F61BD7">
            <w:pPr>
              <w:jc w:val="right"/>
            </w:pPr>
            <w:r>
              <w:rPr>
                <w:color w:val="000000"/>
                <w:sz w:val="24"/>
                <w:szCs w:val="24"/>
              </w:rPr>
              <w:t>2,856,829</w:t>
            </w:r>
          </w:p>
        </w:tc>
        <w:tc>
          <w:tcPr>
            <w:tcW w:w="1924" w:type="dxa"/>
            <w:vAlign w:val="center"/>
          </w:tcPr>
          <w:p w:rsidR="000A3EC2" w:rsidRDefault="00F61BD7">
            <w:pPr>
              <w:jc w:val="right"/>
            </w:pPr>
            <w:r>
              <w:rPr>
                <w:color w:val="000000"/>
                <w:sz w:val="24"/>
                <w:szCs w:val="24"/>
              </w:rPr>
              <w:t>339,334,148.62</w:t>
            </w:r>
          </w:p>
        </w:tc>
        <w:tc>
          <w:tcPr>
            <w:tcW w:w="1644" w:type="dxa"/>
            <w:vAlign w:val="center"/>
          </w:tcPr>
          <w:p w:rsidR="000A3EC2" w:rsidRDefault="00F61BD7">
            <w:pPr>
              <w:jc w:val="right"/>
            </w:pPr>
            <w:r>
              <w:rPr>
                <w:color w:val="000000"/>
                <w:sz w:val="24"/>
                <w:szCs w:val="24"/>
              </w:rPr>
              <w:t>6.56</w:t>
            </w:r>
          </w:p>
        </w:tc>
      </w:tr>
      <w:tr w:rsidR="000A3EC2">
        <w:trPr>
          <w:jc w:val="center"/>
        </w:trPr>
        <w:tc>
          <w:tcPr>
            <w:tcW w:w="855" w:type="dxa"/>
            <w:vAlign w:val="center"/>
          </w:tcPr>
          <w:p w:rsidR="000A3EC2" w:rsidRDefault="00F61BD7">
            <w:pPr>
              <w:jc w:val="center"/>
            </w:pPr>
            <w:r>
              <w:rPr>
                <w:color w:val="000000"/>
                <w:sz w:val="24"/>
                <w:szCs w:val="24"/>
              </w:rPr>
              <w:t>2</w:t>
            </w:r>
          </w:p>
        </w:tc>
        <w:tc>
          <w:tcPr>
            <w:tcW w:w="1334" w:type="dxa"/>
            <w:vAlign w:val="center"/>
          </w:tcPr>
          <w:p w:rsidR="000A3EC2" w:rsidRDefault="00F61BD7">
            <w:pPr>
              <w:jc w:val="center"/>
            </w:pPr>
            <w:r>
              <w:rPr>
                <w:color w:val="000000"/>
                <w:sz w:val="24"/>
                <w:szCs w:val="24"/>
              </w:rPr>
              <w:t>002352</w:t>
            </w:r>
          </w:p>
        </w:tc>
        <w:tc>
          <w:tcPr>
            <w:tcW w:w="1777" w:type="dxa"/>
            <w:vAlign w:val="center"/>
          </w:tcPr>
          <w:p w:rsidR="000A3EC2" w:rsidRDefault="00F61BD7">
            <w:pPr>
              <w:jc w:val="center"/>
            </w:pPr>
            <w:r>
              <w:rPr>
                <w:color w:val="000000"/>
                <w:sz w:val="24"/>
                <w:szCs w:val="24"/>
              </w:rPr>
              <w:t>顺丰控股</w:t>
            </w:r>
          </w:p>
        </w:tc>
        <w:tc>
          <w:tcPr>
            <w:tcW w:w="1334" w:type="dxa"/>
            <w:vAlign w:val="center"/>
          </w:tcPr>
          <w:p w:rsidR="000A3EC2" w:rsidRDefault="00F61BD7">
            <w:pPr>
              <w:jc w:val="right"/>
            </w:pPr>
            <w:r>
              <w:rPr>
                <w:color w:val="000000"/>
                <w:sz w:val="24"/>
                <w:szCs w:val="24"/>
              </w:rPr>
              <w:t>3,806,005</w:t>
            </w:r>
          </w:p>
        </w:tc>
        <w:tc>
          <w:tcPr>
            <w:tcW w:w="1924" w:type="dxa"/>
            <w:vAlign w:val="center"/>
          </w:tcPr>
          <w:p w:rsidR="000A3EC2" w:rsidRDefault="00F61BD7">
            <w:pPr>
              <w:jc w:val="right"/>
            </w:pPr>
            <w:r>
              <w:rPr>
                <w:color w:val="000000"/>
                <w:sz w:val="24"/>
                <w:szCs w:val="24"/>
              </w:rPr>
              <w:t>309,047,606.00</w:t>
            </w:r>
          </w:p>
        </w:tc>
        <w:tc>
          <w:tcPr>
            <w:tcW w:w="1644" w:type="dxa"/>
            <w:vAlign w:val="center"/>
          </w:tcPr>
          <w:p w:rsidR="000A3EC2" w:rsidRDefault="00F61BD7">
            <w:pPr>
              <w:jc w:val="right"/>
            </w:pPr>
            <w:r>
              <w:rPr>
                <w:color w:val="000000"/>
                <w:sz w:val="24"/>
                <w:szCs w:val="24"/>
              </w:rPr>
              <w:t>5.98</w:t>
            </w:r>
          </w:p>
        </w:tc>
      </w:tr>
      <w:tr w:rsidR="000A3EC2">
        <w:trPr>
          <w:jc w:val="center"/>
        </w:trPr>
        <w:tc>
          <w:tcPr>
            <w:tcW w:w="855" w:type="dxa"/>
            <w:vAlign w:val="center"/>
          </w:tcPr>
          <w:p w:rsidR="000A3EC2" w:rsidRDefault="00F61BD7">
            <w:pPr>
              <w:jc w:val="center"/>
            </w:pPr>
            <w:r>
              <w:rPr>
                <w:color w:val="000000"/>
                <w:sz w:val="24"/>
                <w:szCs w:val="24"/>
              </w:rPr>
              <w:t>3</w:t>
            </w:r>
          </w:p>
        </w:tc>
        <w:tc>
          <w:tcPr>
            <w:tcW w:w="1334" w:type="dxa"/>
            <w:vAlign w:val="center"/>
          </w:tcPr>
          <w:p w:rsidR="000A3EC2" w:rsidRDefault="00F61BD7">
            <w:pPr>
              <w:jc w:val="center"/>
            </w:pPr>
            <w:r>
              <w:rPr>
                <w:color w:val="000000"/>
                <w:sz w:val="24"/>
                <w:szCs w:val="24"/>
              </w:rPr>
              <w:t>002271</w:t>
            </w:r>
          </w:p>
        </w:tc>
        <w:tc>
          <w:tcPr>
            <w:tcW w:w="1777" w:type="dxa"/>
            <w:vAlign w:val="center"/>
          </w:tcPr>
          <w:p w:rsidR="000A3EC2" w:rsidRDefault="00F61BD7">
            <w:pPr>
              <w:jc w:val="center"/>
            </w:pPr>
            <w:r>
              <w:rPr>
                <w:color w:val="000000"/>
                <w:sz w:val="24"/>
                <w:szCs w:val="24"/>
              </w:rPr>
              <w:t>东方雨虹</w:t>
            </w:r>
          </w:p>
        </w:tc>
        <w:tc>
          <w:tcPr>
            <w:tcW w:w="1334" w:type="dxa"/>
            <w:vAlign w:val="center"/>
          </w:tcPr>
          <w:p w:rsidR="000A3EC2" w:rsidRDefault="00F61BD7">
            <w:pPr>
              <w:jc w:val="right"/>
            </w:pPr>
            <w:r>
              <w:rPr>
                <w:color w:val="000000"/>
                <w:sz w:val="24"/>
                <w:szCs w:val="24"/>
              </w:rPr>
              <w:t>5,202,959</w:t>
            </w:r>
          </w:p>
        </w:tc>
        <w:tc>
          <w:tcPr>
            <w:tcW w:w="1924" w:type="dxa"/>
            <w:vAlign w:val="center"/>
          </w:tcPr>
          <w:p w:rsidR="000A3EC2" w:rsidRDefault="00F61BD7">
            <w:pPr>
              <w:jc w:val="right"/>
            </w:pPr>
            <w:r>
              <w:rPr>
                <w:color w:val="000000"/>
                <w:sz w:val="24"/>
                <w:szCs w:val="24"/>
              </w:rPr>
              <w:t>280,439,490.10</w:t>
            </w:r>
          </w:p>
        </w:tc>
        <w:tc>
          <w:tcPr>
            <w:tcW w:w="1644" w:type="dxa"/>
            <w:vAlign w:val="center"/>
          </w:tcPr>
          <w:p w:rsidR="000A3EC2" w:rsidRDefault="00F61BD7">
            <w:pPr>
              <w:jc w:val="right"/>
            </w:pPr>
            <w:r>
              <w:rPr>
                <w:color w:val="000000"/>
                <w:sz w:val="24"/>
                <w:szCs w:val="24"/>
              </w:rPr>
              <w:t>5.42</w:t>
            </w:r>
          </w:p>
        </w:tc>
      </w:tr>
      <w:tr w:rsidR="000A3EC2">
        <w:trPr>
          <w:jc w:val="center"/>
        </w:trPr>
        <w:tc>
          <w:tcPr>
            <w:tcW w:w="855" w:type="dxa"/>
            <w:vAlign w:val="center"/>
          </w:tcPr>
          <w:p w:rsidR="000A3EC2" w:rsidRDefault="00F61BD7">
            <w:pPr>
              <w:jc w:val="center"/>
            </w:pPr>
            <w:r>
              <w:rPr>
                <w:color w:val="000000"/>
                <w:sz w:val="24"/>
                <w:szCs w:val="24"/>
              </w:rPr>
              <w:t>4</w:t>
            </w:r>
          </w:p>
        </w:tc>
        <w:tc>
          <w:tcPr>
            <w:tcW w:w="1334" w:type="dxa"/>
            <w:vAlign w:val="center"/>
          </w:tcPr>
          <w:p w:rsidR="000A3EC2" w:rsidRDefault="00F61BD7">
            <w:pPr>
              <w:jc w:val="center"/>
            </w:pPr>
            <w:r>
              <w:rPr>
                <w:color w:val="000000"/>
                <w:sz w:val="24"/>
                <w:szCs w:val="24"/>
              </w:rPr>
              <w:t>603517</w:t>
            </w:r>
          </w:p>
        </w:tc>
        <w:tc>
          <w:tcPr>
            <w:tcW w:w="1777" w:type="dxa"/>
            <w:vAlign w:val="center"/>
          </w:tcPr>
          <w:p w:rsidR="000A3EC2" w:rsidRDefault="00F61BD7">
            <w:pPr>
              <w:jc w:val="center"/>
            </w:pPr>
            <w:r>
              <w:rPr>
                <w:color w:val="000000"/>
                <w:sz w:val="24"/>
                <w:szCs w:val="24"/>
              </w:rPr>
              <w:t>绝味食品</w:t>
            </w:r>
          </w:p>
        </w:tc>
        <w:tc>
          <w:tcPr>
            <w:tcW w:w="1334" w:type="dxa"/>
            <w:vAlign w:val="center"/>
          </w:tcPr>
          <w:p w:rsidR="000A3EC2" w:rsidRDefault="00F61BD7">
            <w:pPr>
              <w:jc w:val="right"/>
            </w:pPr>
            <w:r>
              <w:rPr>
                <w:color w:val="000000"/>
                <w:sz w:val="24"/>
                <w:szCs w:val="24"/>
              </w:rPr>
              <w:t>3,413,289</w:t>
            </w:r>
          </w:p>
        </w:tc>
        <w:tc>
          <w:tcPr>
            <w:tcW w:w="1924" w:type="dxa"/>
            <w:vAlign w:val="center"/>
          </w:tcPr>
          <w:p w:rsidR="000A3EC2" w:rsidRDefault="00F61BD7">
            <w:pPr>
              <w:jc w:val="right"/>
            </w:pPr>
            <w:r>
              <w:rPr>
                <w:color w:val="000000"/>
                <w:sz w:val="24"/>
                <w:szCs w:val="24"/>
              </w:rPr>
              <w:t>279,957,963.78</w:t>
            </w:r>
          </w:p>
        </w:tc>
        <w:tc>
          <w:tcPr>
            <w:tcW w:w="1644" w:type="dxa"/>
            <w:vAlign w:val="center"/>
          </w:tcPr>
          <w:p w:rsidR="000A3EC2" w:rsidRDefault="00F61BD7">
            <w:pPr>
              <w:jc w:val="right"/>
            </w:pPr>
            <w:r>
              <w:rPr>
                <w:color w:val="000000"/>
                <w:sz w:val="24"/>
                <w:szCs w:val="24"/>
              </w:rPr>
              <w:t>5.41</w:t>
            </w:r>
          </w:p>
        </w:tc>
      </w:tr>
      <w:tr w:rsidR="000A3EC2">
        <w:trPr>
          <w:jc w:val="center"/>
        </w:trPr>
        <w:tc>
          <w:tcPr>
            <w:tcW w:w="855" w:type="dxa"/>
            <w:vAlign w:val="center"/>
          </w:tcPr>
          <w:p w:rsidR="000A3EC2" w:rsidRDefault="00F61BD7">
            <w:pPr>
              <w:jc w:val="center"/>
            </w:pPr>
            <w:r>
              <w:rPr>
                <w:color w:val="000000"/>
                <w:sz w:val="24"/>
                <w:szCs w:val="24"/>
              </w:rPr>
              <w:t>5</w:t>
            </w:r>
          </w:p>
        </w:tc>
        <w:tc>
          <w:tcPr>
            <w:tcW w:w="1334" w:type="dxa"/>
            <w:vAlign w:val="center"/>
          </w:tcPr>
          <w:p w:rsidR="000A3EC2" w:rsidRDefault="00F61BD7">
            <w:pPr>
              <w:jc w:val="center"/>
            </w:pPr>
            <w:r>
              <w:rPr>
                <w:color w:val="000000"/>
                <w:sz w:val="24"/>
                <w:szCs w:val="24"/>
              </w:rPr>
              <w:t>300413</w:t>
            </w:r>
          </w:p>
        </w:tc>
        <w:tc>
          <w:tcPr>
            <w:tcW w:w="1777" w:type="dxa"/>
            <w:vAlign w:val="center"/>
          </w:tcPr>
          <w:p w:rsidR="000A3EC2" w:rsidRDefault="00F61BD7">
            <w:pPr>
              <w:jc w:val="center"/>
            </w:pPr>
            <w:r>
              <w:rPr>
                <w:color w:val="000000"/>
                <w:sz w:val="24"/>
                <w:szCs w:val="24"/>
              </w:rPr>
              <w:t>芒果超媒</w:t>
            </w:r>
          </w:p>
        </w:tc>
        <w:tc>
          <w:tcPr>
            <w:tcW w:w="1334" w:type="dxa"/>
            <w:vAlign w:val="center"/>
          </w:tcPr>
          <w:p w:rsidR="000A3EC2" w:rsidRDefault="00F61BD7">
            <w:pPr>
              <w:jc w:val="right"/>
            </w:pPr>
            <w:r>
              <w:rPr>
                <w:color w:val="000000"/>
                <w:sz w:val="24"/>
                <w:szCs w:val="24"/>
              </w:rPr>
              <w:t>4,112,892</w:t>
            </w:r>
          </w:p>
        </w:tc>
        <w:tc>
          <w:tcPr>
            <w:tcW w:w="1924" w:type="dxa"/>
            <w:vAlign w:val="center"/>
          </w:tcPr>
          <w:p w:rsidR="000A3EC2" w:rsidRDefault="00F61BD7">
            <w:pPr>
              <w:jc w:val="right"/>
            </w:pPr>
            <w:r>
              <w:rPr>
                <w:color w:val="000000"/>
                <w:sz w:val="24"/>
                <w:szCs w:val="24"/>
              </w:rPr>
              <w:t>277,208,920.80</w:t>
            </w:r>
          </w:p>
        </w:tc>
        <w:tc>
          <w:tcPr>
            <w:tcW w:w="1644" w:type="dxa"/>
            <w:vAlign w:val="center"/>
          </w:tcPr>
          <w:p w:rsidR="000A3EC2" w:rsidRDefault="00F61BD7">
            <w:pPr>
              <w:jc w:val="right"/>
            </w:pPr>
            <w:r>
              <w:rPr>
                <w:color w:val="000000"/>
                <w:sz w:val="24"/>
                <w:szCs w:val="24"/>
              </w:rPr>
              <w:t>5.36</w:t>
            </w:r>
          </w:p>
        </w:tc>
      </w:tr>
      <w:tr w:rsidR="000A3EC2">
        <w:trPr>
          <w:jc w:val="center"/>
        </w:trPr>
        <w:tc>
          <w:tcPr>
            <w:tcW w:w="855" w:type="dxa"/>
            <w:vAlign w:val="center"/>
          </w:tcPr>
          <w:p w:rsidR="000A3EC2" w:rsidRDefault="00F61BD7">
            <w:pPr>
              <w:jc w:val="center"/>
            </w:pPr>
            <w:r>
              <w:rPr>
                <w:color w:val="000000"/>
                <w:sz w:val="24"/>
                <w:szCs w:val="24"/>
              </w:rPr>
              <w:t>6</w:t>
            </w:r>
          </w:p>
        </w:tc>
        <w:tc>
          <w:tcPr>
            <w:tcW w:w="1334" w:type="dxa"/>
            <w:vAlign w:val="center"/>
          </w:tcPr>
          <w:p w:rsidR="000A3EC2" w:rsidRDefault="00F61BD7">
            <w:pPr>
              <w:jc w:val="center"/>
            </w:pPr>
            <w:r>
              <w:rPr>
                <w:color w:val="000000"/>
                <w:sz w:val="24"/>
                <w:szCs w:val="24"/>
              </w:rPr>
              <w:t>002050</w:t>
            </w:r>
          </w:p>
        </w:tc>
        <w:tc>
          <w:tcPr>
            <w:tcW w:w="1777" w:type="dxa"/>
            <w:vAlign w:val="center"/>
          </w:tcPr>
          <w:p w:rsidR="000A3EC2" w:rsidRDefault="00F61BD7">
            <w:pPr>
              <w:jc w:val="center"/>
            </w:pPr>
            <w:r>
              <w:rPr>
                <w:color w:val="000000"/>
                <w:sz w:val="24"/>
                <w:szCs w:val="24"/>
              </w:rPr>
              <w:t>三花智控</w:t>
            </w:r>
          </w:p>
        </w:tc>
        <w:tc>
          <w:tcPr>
            <w:tcW w:w="1334" w:type="dxa"/>
            <w:vAlign w:val="center"/>
          </w:tcPr>
          <w:p w:rsidR="000A3EC2" w:rsidRDefault="00F61BD7">
            <w:pPr>
              <w:jc w:val="right"/>
            </w:pPr>
            <w:r>
              <w:rPr>
                <w:color w:val="000000"/>
                <w:sz w:val="24"/>
                <w:szCs w:val="24"/>
              </w:rPr>
              <w:t>12,451,125</w:t>
            </w:r>
          </w:p>
        </w:tc>
        <w:tc>
          <w:tcPr>
            <w:tcW w:w="1924" w:type="dxa"/>
            <w:vAlign w:val="center"/>
          </w:tcPr>
          <w:p w:rsidR="000A3EC2" w:rsidRDefault="00F61BD7">
            <w:pPr>
              <w:jc w:val="right"/>
            </w:pPr>
            <w:r>
              <w:rPr>
                <w:color w:val="000000"/>
                <w:sz w:val="24"/>
                <w:szCs w:val="24"/>
              </w:rPr>
              <w:t>276,414,975.00</w:t>
            </w:r>
          </w:p>
        </w:tc>
        <w:tc>
          <w:tcPr>
            <w:tcW w:w="1644" w:type="dxa"/>
            <w:vAlign w:val="center"/>
          </w:tcPr>
          <w:p w:rsidR="000A3EC2" w:rsidRDefault="00F61BD7">
            <w:pPr>
              <w:jc w:val="right"/>
            </w:pPr>
            <w:r>
              <w:rPr>
                <w:color w:val="000000"/>
                <w:sz w:val="24"/>
                <w:szCs w:val="24"/>
              </w:rPr>
              <w:t>5.35</w:t>
            </w:r>
          </w:p>
        </w:tc>
      </w:tr>
      <w:tr w:rsidR="000A3EC2">
        <w:trPr>
          <w:jc w:val="center"/>
        </w:trPr>
        <w:tc>
          <w:tcPr>
            <w:tcW w:w="855" w:type="dxa"/>
            <w:vAlign w:val="center"/>
          </w:tcPr>
          <w:p w:rsidR="000A3EC2" w:rsidRDefault="00F61BD7">
            <w:pPr>
              <w:jc w:val="center"/>
            </w:pPr>
            <w:r>
              <w:rPr>
                <w:color w:val="000000"/>
                <w:sz w:val="24"/>
                <w:szCs w:val="24"/>
              </w:rPr>
              <w:t>7</w:t>
            </w:r>
          </w:p>
        </w:tc>
        <w:tc>
          <w:tcPr>
            <w:tcW w:w="1334" w:type="dxa"/>
            <w:vAlign w:val="center"/>
          </w:tcPr>
          <w:p w:rsidR="000A3EC2" w:rsidRDefault="00F61BD7">
            <w:pPr>
              <w:jc w:val="center"/>
            </w:pPr>
            <w:r>
              <w:rPr>
                <w:color w:val="000000"/>
                <w:sz w:val="24"/>
                <w:szCs w:val="24"/>
              </w:rPr>
              <w:t>002475</w:t>
            </w:r>
          </w:p>
        </w:tc>
        <w:tc>
          <w:tcPr>
            <w:tcW w:w="1777" w:type="dxa"/>
            <w:vAlign w:val="center"/>
          </w:tcPr>
          <w:p w:rsidR="000A3EC2" w:rsidRDefault="00F61BD7">
            <w:pPr>
              <w:jc w:val="center"/>
            </w:pPr>
            <w:r>
              <w:rPr>
                <w:color w:val="000000"/>
                <w:sz w:val="24"/>
                <w:szCs w:val="24"/>
              </w:rPr>
              <w:t>立讯精密</w:t>
            </w:r>
          </w:p>
        </w:tc>
        <w:tc>
          <w:tcPr>
            <w:tcW w:w="1334" w:type="dxa"/>
            <w:vAlign w:val="center"/>
          </w:tcPr>
          <w:p w:rsidR="000A3EC2" w:rsidRDefault="00F61BD7">
            <w:pPr>
              <w:jc w:val="right"/>
            </w:pPr>
            <w:r>
              <w:rPr>
                <w:color w:val="000000"/>
                <w:sz w:val="24"/>
                <w:szCs w:val="24"/>
              </w:rPr>
              <w:t>4,421,232</w:t>
            </w:r>
          </w:p>
        </w:tc>
        <w:tc>
          <w:tcPr>
            <w:tcW w:w="1924" w:type="dxa"/>
            <w:vAlign w:val="center"/>
          </w:tcPr>
          <w:p w:rsidR="000A3EC2" w:rsidRDefault="00F61BD7">
            <w:pPr>
              <w:jc w:val="right"/>
            </w:pPr>
            <w:r>
              <w:rPr>
                <w:color w:val="000000"/>
                <w:sz w:val="24"/>
                <w:szCs w:val="24"/>
              </w:rPr>
              <w:t>252,584,984.16</w:t>
            </w:r>
          </w:p>
        </w:tc>
        <w:tc>
          <w:tcPr>
            <w:tcW w:w="1644" w:type="dxa"/>
            <w:vAlign w:val="center"/>
          </w:tcPr>
          <w:p w:rsidR="000A3EC2" w:rsidRDefault="00F61BD7">
            <w:pPr>
              <w:jc w:val="right"/>
            </w:pPr>
            <w:r>
              <w:rPr>
                <w:color w:val="000000"/>
                <w:sz w:val="24"/>
                <w:szCs w:val="24"/>
              </w:rPr>
              <w:t>4.88</w:t>
            </w:r>
          </w:p>
        </w:tc>
      </w:tr>
      <w:tr w:rsidR="000A3EC2">
        <w:trPr>
          <w:jc w:val="center"/>
        </w:trPr>
        <w:tc>
          <w:tcPr>
            <w:tcW w:w="855" w:type="dxa"/>
            <w:vAlign w:val="center"/>
          </w:tcPr>
          <w:p w:rsidR="000A3EC2" w:rsidRDefault="00F61BD7">
            <w:pPr>
              <w:jc w:val="center"/>
            </w:pPr>
            <w:r>
              <w:rPr>
                <w:color w:val="000000"/>
                <w:sz w:val="24"/>
                <w:szCs w:val="24"/>
              </w:rPr>
              <w:t>8</w:t>
            </w:r>
          </w:p>
        </w:tc>
        <w:tc>
          <w:tcPr>
            <w:tcW w:w="1334" w:type="dxa"/>
            <w:vAlign w:val="center"/>
          </w:tcPr>
          <w:p w:rsidR="000A3EC2" w:rsidRDefault="00F61BD7">
            <w:pPr>
              <w:jc w:val="center"/>
            </w:pPr>
            <w:r>
              <w:rPr>
                <w:color w:val="000000"/>
                <w:sz w:val="24"/>
                <w:szCs w:val="24"/>
              </w:rPr>
              <w:t>002555</w:t>
            </w:r>
          </w:p>
        </w:tc>
        <w:tc>
          <w:tcPr>
            <w:tcW w:w="1777" w:type="dxa"/>
            <w:vAlign w:val="center"/>
          </w:tcPr>
          <w:p w:rsidR="000A3EC2" w:rsidRDefault="00F61BD7">
            <w:pPr>
              <w:jc w:val="center"/>
            </w:pPr>
            <w:r>
              <w:rPr>
                <w:color w:val="000000"/>
                <w:sz w:val="24"/>
                <w:szCs w:val="24"/>
              </w:rPr>
              <w:t>三七互娱</w:t>
            </w:r>
          </w:p>
        </w:tc>
        <w:tc>
          <w:tcPr>
            <w:tcW w:w="1334" w:type="dxa"/>
            <w:vAlign w:val="center"/>
          </w:tcPr>
          <w:p w:rsidR="000A3EC2" w:rsidRDefault="00F61BD7">
            <w:pPr>
              <w:jc w:val="right"/>
            </w:pPr>
            <w:r>
              <w:rPr>
                <w:color w:val="000000"/>
                <w:sz w:val="24"/>
                <w:szCs w:val="24"/>
              </w:rPr>
              <w:t>5,658,590</w:t>
            </w:r>
          </w:p>
        </w:tc>
        <w:tc>
          <w:tcPr>
            <w:tcW w:w="1924" w:type="dxa"/>
            <w:vAlign w:val="center"/>
          </w:tcPr>
          <w:p w:rsidR="000A3EC2" w:rsidRDefault="00F61BD7">
            <w:pPr>
              <w:jc w:val="right"/>
            </w:pPr>
            <w:r>
              <w:rPr>
                <w:color w:val="000000"/>
                <w:sz w:val="24"/>
                <w:szCs w:val="24"/>
              </w:rPr>
              <w:t>224,589,437.10</w:t>
            </w:r>
          </w:p>
        </w:tc>
        <w:tc>
          <w:tcPr>
            <w:tcW w:w="1644" w:type="dxa"/>
            <w:vAlign w:val="center"/>
          </w:tcPr>
          <w:p w:rsidR="000A3EC2" w:rsidRDefault="00F61BD7">
            <w:pPr>
              <w:jc w:val="right"/>
            </w:pPr>
            <w:r>
              <w:rPr>
                <w:color w:val="000000"/>
                <w:sz w:val="24"/>
                <w:szCs w:val="24"/>
              </w:rPr>
              <w:t>4.34</w:t>
            </w:r>
          </w:p>
        </w:tc>
      </w:tr>
      <w:tr w:rsidR="000A3EC2">
        <w:trPr>
          <w:jc w:val="center"/>
        </w:trPr>
        <w:tc>
          <w:tcPr>
            <w:tcW w:w="855" w:type="dxa"/>
            <w:vAlign w:val="center"/>
          </w:tcPr>
          <w:p w:rsidR="000A3EC2" w:rsidRDefault="00F61BD7">
            <w:pPr>
              <w:jc w:val="center"/>
            </w:pPr>
            <w:r>
              <w:rPr>
                <w:color w:val="000000"/>
                <w:sz w:val="24"/>
                <w:szCs w:val="24"/>
              </w:rPr>
              <w:t>9</w:t>
            </w:r>
          </w:p>
        </w:tc>
        <w:tc>
          <w:tcPr>
            <w:tcW w:w="1334" w:type="dxa"/>
            <w:vAlign w:val="center"/>
          </w:tcPr>
          <w:p w:rsidR="000A3EC2" w:rsidRDefault="00F61BD7">
            <w:pPr>
              <w:jc w:val="center"/>
            </w:pPr>
            <w:r>
              <w:rPr>
                <w:color w:val="000000"/>
                <w:sz w:val="24"/>
                <w:szCs w:val="24"/>
              </w:rPr>
              <w:t>688188</w:t>
            </w:r>
          </w:p>
        </w:tc>
        <w:tc>
          <w:tcPr>
            <w:tcW w:w="1777" w:type="dxa"/>
            <w:vAlign w:val="center"/>
          </w:tcPr>
          <w:p w:rsidR="000A3EC2" w:rsidRDefault="00F61BD7">
            <w:pPr>
              <w:jc w:val="center"/>
            </w:pPr>
            <w:r>
              <w:rPr>
                <w:color w:val="000000"/>
                <w:sz w:val="24"/>
                <w:szCs w:val="24"/>
              </w:rPr>
              <w:t>柏楚电子</w:t>
            </w:r>
          </w:p>
        </w:tc>
        <w:tc>
          <w:tcPr>
            <w:tcW w:w="1334" w:type="dxa"/>
            <w:vAlign w:val="center"/>
          </w:tcPr>
          <w:p w:rsidR="000A3EC2" w:rsidRDefault="00F61BD7">
            <w:pPr>
              <w:jc w:val="right"/>
            </w:pPr>
            <w:r>
              <w:rPr>
                <w:color w:val="000000"/>
                <w:sz w:val="24"/>
                <w:szCs w:val="24"/>
              </w:rPr>
              <w:t>831,136</w:t>
            </w:r>
          </w:p>
        </w:tc>
        <w:tc>
          <w:tcPr>
            <w:tcW w:w="1924" w:type="dxa"/>
            <w:vAlign w:val="center"/>
          </w:tcPr>
          <w:p w:rsidR="000A3EC2" w:rsidRDefault="00F61BD7">
            <w:pPr>
              <w:jc w:val="right"/>
            </w:pPr>
            <w:r>
              <w:rPr>
                <w:color w:val="000000"/>
                <w:sz w:val="24"/>
                <w:szCs w:val="24"/>
              </w:rPr>
              <w:t>197,577,649.92</w:t>
            </w:r>
          </w:p>
        </w:tc>
        <w:tc>
          <w:tcPr>
            <w:tcW w:w="1644" w:type="dxa"/>
            <w:vAlign w:val="center"/>
          </w:tcPr>
          <w:p w:rsidR="000A3EC2" w:rsidRDefault="00F61BD7">
            <w:pPr>
              <w:jc w:val="right"/>
            </w:pPr>
            <w:r>
              <w:rPr>
                <w:color w:val="000000"/>
                <w:sz w:val="24"/>
                <w:szCs w:val="24"/>
              </w:rPr>
              <w:t>3.82</w:t>
            </w:r>
          </w:p>
        </w:tc>
      </w:tr>
      <w:tr w:rsidR="000A3EC2">
        <w:trPr>
          <w:jc w:val="center"/>
        </w:trPr>
        <w:tc>
          <w:tcPr>
            <w:tcW w:w="855" w:type="dxa"/>
            <w:vAlign w:val="center"/>
          </w:tcPr>
          <w:p w:rsidR="000A3EC2" w:rsidRDefault="00F61BD7">
            <w:pPr>
              <w:jc w:val="center"/>
            </w:pPr>
            <w:r>
              <w:rPr>
                <w:color w:val="000000"/>
                <w:sz w:val="24"/>
                <w:szCs w:val="24"/>
              </w:rPr>
              <w:t>10</w:t>
            </w:r>
          </w:p>
        </w:tc>
        <w:tc>
          <w:tcPr>
            <w:tcW w:w="1334" w:type="dxa"/>
            <w:vAlign w:val="center"/>
          </w:tcPr>
          <w:p w:rsidR="000A3EC2" w:rsidRDefault="00F61BD7">
            <w:pPr>
              <w:jc w:val="center"/>
            </w:pPr>
            <w:r>
              <w:rPr>
                <w:color w:val="000000"/>
                <w:sz w:val="24"/>
                <w:szCs w:val="24"/>
              </w:rPr>
              <w:t>000725</w:t>
            </w:r>
          </w:p>
        </w:tc>
        <w:tc>
          <w:tcPr>
            <w:tcW w:w="1777" w:type="dxa"/>
            <w:vAlign w:val="center"/>
          </w:tcPr>
          <w:p w:rsidR="000A3EC2" w:rsidRDefault="00F61BD7">
            <w:pPr>
              <w:jc w:val="center"/>
            </w:pPr>
            <w:r>
              <w:rPr>
                <w:color w:val="000000"/>
                <w:sz w:val="24"/>
                <w:szCs w:val="24"/>
              </w:rPr>
              <w:t>京东方</w:t>
            </w:r>
            <w:r>
              <w:rPr>
                <w:color w:val="000000"/>
                <w:sz w:val="24"/>
                <w:szCs w:val="24"/>
              </w:rPr>
              <w:t>A</w:t>
            </w:r>
          </w:p>
        </w:tc>
        <w:tc>
          <w:tcPr>
            <w:tcW w:w="1334" w:type="dxa"/>
            <w:vAlign w:val="center"/>
          </w:tcPr>
          <w:p w:rsidR="000A3EC2" w:rsidRDefault="00F61BD7">
            <w:pPr>
              <w:jc w:val="right"/>
            </w:pPr>
            <w:r>
              <w:rPr>
                <w:color w:val="000000"/>
                <w:sz w:val="24"/>
                <w:szCs w:val="24"/>
              </w:rPr>
              <w:t>29,812,545</w:t>
            </w:r>
          </w:p>
        </w:tc>
        <w:tc>
          <w:tcPr>
            <w:tcW w:w="1924" w:type="dxa"/>
            <w:vAlign w:val="center"/>
          </w:tcPr>
          <w:p w:rsidR="000A3EC2" w:rsidRDefault="00F61BD7">
            <w:pPr>
              <w:jc w:val="right"/>
            </w:pPr>
            <w:r>
              <w:rPr>
                <w:color w:val="000000"/>
                <w:sz w:val="24"/>
                <w:szCs w:val="24"/>
              </w:rPr>
              <w:t>146,379,595.95</w:t>
            </w:r>
          </w:p>
        </w:tc>
        <w:tc>
          <w:tcPr>
            <w:tcW w:w="1644" w:type="dxa"/>
            <w:vAlign w:val="center"/>
          </w:tcPr>
          <w:p w:rsidR="000A3EC2" w:rsidRDefault="00F61BD7">
            <w:pPr>
              <w:jc w:val="right"/>
            </w:pPr>
            <w:r>
              <w:rPr>
                <w:color w:val="000000"/>
                <w:sz w:val="24"/>
                <w:szCs w:val="24"/>
              </w:rPr>
              <w:t>2.83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258,976,000.00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258,976,000.00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258,976,000.00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A3EC2">
        <w:trPr>
          <w:jc w:val="center"/>
        </w:trPr>
        <w:tc>
          <w:tcPr>
            <w:tcW w:w="850" w:type="dxa"/>
            <w:vAlign w:val="center"/>
          </w:tcPr>
          <w:p w:rsidR="000A3EC2" w:rsidRDefault="00F61BD7">
            <w:pPr>
              <w:jc w:val="center"/>
            </w:pPr>
            <w:r>
              <w:rPr>
                <w:color w:val="000000"/>
                <w:sz w:val="24"/>
                <w:szCs w:val="24"/>
              </w:rPr>
              <w:t>1</w:t>
            </w:r>
          </w:p>
        </w:tc>
        <w:tc>
          <w:tcPr>
            <w:tcW w:w="1475" w:type="dxa"/>
            <w:vAlign w:val="center"/>
          </w:tcPr>
          <w:p w:rsidR="000A3EC2" w:rsidRDefault="00F61BD7">
            <w:pPr>
              <w:jc w:val="center"/>
            </w:pPr>
            <w:r>
              <w:rPr>
                <w:color w:val="000000"/>
                <w:sz w:val="24"/>
                <w:szCs w:val="24"/>
              </w:rPr>
              <w:t>190307</w:t>
            </w:r>
          </w:p>
        </w:tc>
        <w:tc>
          <w:tcPr>
            <w:tcW w:w="1769" w:type="dxa"/>
            <w:vAlign w:val="center"/>
          </w:tcPr>
          <w:p w:rsidR="000A3EC2" w:rsidRDefault="00F61BD7">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0A3EC2" w:rsidRDefault="00F61BD7">
            <w:pPr>
              <w:jc w:val="right"/>
            </w:pPr>
            <w:r>
              <w:rPr>
                <w:color w:val="000000"/>
                <w:sz w:val="24"/>
                <w:szCs w:val="24"/>
              </w:rPr>
              <w:t>1,000,000</w:t>
            </w:r>
          </w:p>
        </w:tc>
        <w:tc>
          <w:tcPr>
            <w:tcW w:w="2150" w:type="dxa"/>
            <w:vAlign w:val="center"/>
          </w:tcPr>
          <w:p w:rsidR="000A3EC2" w:rsidRDefault="00F61BD7">
            <w:pPr>
              <w:jc w:val="right"/>
            </w:pPr>
            <w:r>
              <w:rPr>
                <w:color w:val="000000"/>
                <w:sz w:val="24"/>
                <w:szCs w:val="24"/>
              </w:rPr>
              <w:t>100,030,000.00</w:t>
            </w:r>
          </w:p>
        </w:tc>
        <w:tc>
          <w:tcPr>
            <w:tcW w:w="1237" w:type="dxa"/>
            <w:vAlign w:val="center"/>
          </w:tcPr>
          <w:p w:rsidR="000A3EC2" w:rsidRDefault="00F61BD7">
            <w:pPr>
              <w:jc w:val="right"/>
            </w:pPr>
            <w:r>
              <w:rPr>
                <w:color w:val="000000"/>
                <w:sz w:val="24"/>
                <w:szCs w:val="24"/>
              </w:rPr>
              <w:t>1.93</w:t>
            </w:r>
          </w:p>
        </w:tc>
      </w:tr>
      <w:tr w:rsidR="000A3EC2">
        <w:trPr>
          <w:jc w:val="center"/>
        </w:trPr>
        <w:tc>
          <w:tcPr>
            <w:tcW w:w="850" w:type="dxa"/>
            <w:vAlign w:val="center"/>
          </w:tcPr>
          <w:p w:rsidR="000A3EC2" w:rsidRDefault="00F61BD7">
            <w:pPr>
              <w:jc w:val="center"/>
            </w:pPr>
            <w:r>
              <w:rPr>
                <w:color w:val="000000"/>
                <w:sz w:val="24"/>
                <w:szCs w:val="24"/>
              </w:rPr>
              <w:t>2</w:t>
            </w:r>
          </w:p>
        </w:tc>
        <w:tc>
          <w:tcPr>
            <w:tcW w:w="1475" w:type="dxa"/>
            <w:vAlign w:val="center"/>
          </w:tcPr>
          <w:p w:rsidR="000A3EC2" w:rsidRDefault="00F61BD7">
            <w:pPr>
              <w:jc w:val="center"/>
            </w:pPr>
            <w:r>
              <w:rPr>
                <w:color w:val="000000"/>
                <w:sz w:val="24"/>
                <w:szCs w:val="24"/>
              </w:rPr>
              <w:t>200211</w:t>
            </w:r>
          </w:p>
        </w:tc>
        <w:tc>
          <w:tcPr>
            <w:tcW w:w="1769" w:type="dxa"/>
            <w:vAlign w:val="center"/>
          </w:tcPr>
          <w:p w:rsidR="000A3EC2" w:rsidRDefault="00F61BD7">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0A3EC2" w:rsidRDefault="00F61BD7">
            <w:pPr>
              <w:jc w:val="right"/>
            </w:pPr>
            <w:r>
              <w:rPr>
                <w:color w:val="000000"/>
                <w:sz w:val="24"/>
                <w:szCs w:val="24"/>
              </w:rPr>
              <w:t>900,000</w:t>
            </w:r>
          </w:p>
        </w:tc>
        <w:tc>
          <w:tcPr>
            <w:tcW w:w="2150" w:type="dxa"/>
            <w:vAlign w:val="center"/>
          </w:tcPr>
          <w:p w:rsidR="000A3EC2" w:rsidRDefault="00F61BD7">
            <w:pPr>
              <w:jc w:val="right"/>
            </w:pPr>
            <w:r>
              <w:rPr>
                <w:color w:val="000000"/>
                <w:sz w:val="24"/>
                <w:szCs w:val="24"/>
              </w:rPr>
              <w:t>89,163,000.00</w:t>
            </w:r>
          </w:p>
        </w:tc>
        <w:tc>
          <w:tcPr>
            <w:tcW w:w="1237" w:type="dxa"/>
            <w:vAlign w:val="center"/>
          </w:tcPr>
          <w:p w:rsidR="000A3EC2" w:rsidRDefault="00F61BD7">
            <w:pPr>
              <w:jc w:val="right"/>
            </w:pPr>
            <w:r>
              <w:rPr>
                <w:color w:val="000000"/>
                <w:sz w:val="24"/>
                <w:szCs w:val="24"/>
              </w:rPr>
              <w:t>1.72</w:t>
            </w:r>
          </w:p>
        </w:tc>
      </w:tr>
      <w:tr w:rsidR="000A3EC2">
        <w:trPr>
          <w:jc w:val="center"/>
        </w:trPr>
        <w:tc>
          <w:tcPr>
            <w:tcW w:w="850" w:type="dxa"/>
            <w:vAlign w:val="center"/>
          </w:tcPr>
          <w:p w:rsidR="000A3EC2" w:rsidRDefault="00F61BD7">
            <w:pPr>
              <w:jc w:val="center"/>
            </w:pPr>
            <w:r>
              <w:rPr>
                <w:color w:val="000000"/>
                <w:sz w:val="24"/>
                <w:szCs w:val="24"/>
              </w:rPr>
              <w:t>3</w:t>
            </w:r>
          </w:p>
        </w:tc>
        <w:tc>
          <w:tcPr>
            <w:tcW w:w="1475" w:type="dxa"/>
            <w:vAlign w:val="center"/>
          </w:tcPr>
          <w:p w:rsidR="000A3EC2" w:rsidRDefault="00F61BD7">
            <w:pPr>
              <w:jc w:val="center"/>
            </w:pPr>
            <w:r>
              <w:rPr>
                <w:color w:val="000000"/>
                <w:sz w:val="24"/>
                <w:szCs w:val="24"/>
              </w:rPr>
              <w:t>200304</w:t>
            </w:r>
          </w:p>
        </w:tc>
        <w:tc>
          <w:tcPr>
            <w:tcW w:w="1769" w:type="dxa"/>
            <w:vAlign w:val="center"/>
          </w:tcPr>
          <w:p w:rsidR="000A3EC2" w:rsidRDefault="00F61BD7">
            <w:pPr>
              <w:jc w:val="center"/>
            </w:pPr>
            <w:r>
              <w:rPr>
                <w:color w:val="000000"/>
                <w:sz w:val="24"/>
                <w:szCs w:val="24"/>
              </w:rPr>
              <w:t>20</w:t>
            </w:r>
            <w:r>
              <w:rPr>
                <w:color w:val="000000"/>
                <w:sz w:val="24"/>
                <w:szCs w:val="24"/>
              </w:rPr>
              <w:t>进出</w:t>
            </w:r>
            <w:r>
              <w:rPr>
                <w:color w:val="000000"/>
                <w:sz w:val="24"/>
                <w:szCs w:val="24"/>
              </w:rPr>
              <w:t>04</w:t>
            </w:r>
          </w:p>
        </w:tc>
        <w:tc>
          <w:tcPr>
            <w:tcW w:w="1387" w:type="dxa"/>
            <w:vAlign w:val="center"/>
          </w:tcPr>
          <w:p w:rsidR="000A3EC2" w:rsidRDefault="00F61BD7">
            <w:pPr>
              <w:jc w:val="right"/>
            </w:pPr>
            <w:r>
              <w:rPr>
                <w:color w:val="000000"/>
                <w:sz w:val="24"/>
                <w:szCs w:val="24"/>
              </w:rPr>
              <w:t>700,000</w:t>
            </w:r>
          </w:p>
        </w:tc>
        <w:tc>
          <w:tcPr>
            <w:tcW w:w="2150" w:type="dxa"/>
            <w:vAlign w:val="center"/>
          </w:tcPr>
          <w:p w:rsidR="000A3EC2" w:rsidRDefault="00F61BD7">
            <w:pPr>
              <w:jc w:val="right"/>
            </w:pPr>
            <w:r>
              <w:rPr>
                <w:color w:val="000000"/>
                <w:sz w:val="24"/>
                <w:szCs w:val="24"/>
              </w:rPr>
              <w:t>69,783,000.00</w:t>
            </w:r>
          </w:p>
        </w:tc>
        <w:tc>
          <w:tcPr>
            <w:tcW w:w="1237" w:type="dxa"/>
            <w:vAlign w:val="center"/>
          </w:tcPr>
          <w:p w:rsidR="000A3EC2" w:rsidRDefault="00F61BD7">
            <w:pPr>
              <w:jc w:val="right"/>
            </w:pPr>
            <w:r>
              <w:rPr>
                <w:color w:val="000000"/>
                <w:sz w:val="24"/>
                <w:szCs w:val="24"/>
              </w:rPr>
              <w:t>1.35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1,603,209.01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42,225,451.67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3,750,212.01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10,934,457.90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58,513,330.59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2,938,697,898.56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658,188,369.02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887,392,993.32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2,709,493,274.26</w:t>
            </w:r>
          </w:p>
        </w:tc>
      </w:tr>
    </w:tbl>
    <w:p w:rsidR="000A3EC2" w:rsidRDefault="00F61B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A3EC2" w:rsidRDefault="00F61BD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A3EC2" w:rsidRDefault="00F61BD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A3EC2" w:rsidRDefault="00F61BD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6229C">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F6229C">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3EC2"/>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1BD7"/>
    <w:rsid w:val="00F6229C"/>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8AA6-1C84-455C-9B12-6B16C52E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12</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2020-10-26T02:44:00Z</dcterms:modified>
</cp:coreProperties>
</file>