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2014年1月28日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7,463,897.95</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交银强化回报债券A/B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交银强化回报债券C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519733</w:t>
            </w:r>
            <w:r w:rsidRPr="007F52FA">
              <w:rPr>
                <w:color w:themeColor="text1" w:val="000000"/>
                <w:sz w:val="24"/>
              </w:rPr>
              <w:t>（前端）、</w:t>
            </w:r>
            <w:r w:rsidRPr="007F52FA">
              <w:rPr>
                <w:color w:themeColor="text1" w:val="000000"/>
                <w:sz w:val="24"/>
              </w:rPr>
              <w:t>519734</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519735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4,893,124.18</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2,570,773.77</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注：本基金A类基金份额采用前端收费模式，B类基金份额采用后端收费模式，前端交易代码即为A类基金份额交易代码，后端交易代码即为B类基金份额交易代码。</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(2020年7月1日-2020年9月30日)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交银强化回报债券A/B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交银强化回报债券C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-174,098.71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-92,423.15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-175,566.43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-101,177.64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-0.0319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-0.0436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5,315,554.95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2,742,952.80</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1.0863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1.0670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交银强化回报债券A/B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-3.10%</w:t>
            </w:r>
          </w:p>
        </w:tc>
        <w:tc>
          <w:tcPr>
            <w:vAlign w:val="center"/>
          </w:tcPr>
          <w:p>
            <w:pPr>
              <w:jc w:val="center"/>
            </w:pPr>
            <w:r>
              <w:rPr>
                <w:color w:val="000000"/>
                <w:sz w:val="24"/>
              </w:rPr>
              <w:t>0.76%</w:t>
            </w:r>
          </w:p>
        </w:tc>
        <w:tc>
          <w:tcPr>
            <w:vAlign w:val="center"/>
          </w:tcPr>
          <w:p>
            <w:pPr>
              <w:jc w:val="center"/>
            </w:pPr>
            <w:r>
              <w:rPr>
                <w:color w:val="000000"/>
                <w:sz w:val="24"/>
              </w:rPr>
              <w:t>-1.48%</w:t>
            </w:r>
          </w:p>
        </w:tc>
        <w:tc>
          <w:tcPr>
            <w:vAlign w:val="center"/>
          </w:tcPr>
          <w:p>
            <w:pPr>
              <w:jc w:val="center"/>
            </w:pPr>
            <w:r>
              <w:rPr>
                <w:color w:val="000000"/>
                <w:sz w:val="24"/>
              </w:rPr>
              <w:t>0.08%</w:t>
            </w:r>
          </w:p>
        </w:tc>
        <w:tc>
          <w:tcPr>
            <w:vAlign w:val="center"/>
          </w:tcPr>
          <w:p>
            <w:pPr>
              <w:jc w:val="center"/>
            </w:pPr>
            <w:r>
              <w:rPr>
                <w:color w:val="000000"/>
                <w:sz w:val="24"/>
              </w:rPr>
              <w:t>-1.62%</w:t>
            </w:r>
          </w:p>
        </w:tc>
        <w:tc>
          <w:tcPr>
            <w:vAlign w:val="center"/>
          </w:tcPr>
          <w:p>
            <w:pPr>
              <w:jc w:val="center"/>
            </w:pPr>
            <w:r>
              <w:rPr>
                <w:color w:val="000000"/>
                <w:sz w:val="24"/>
              </w:rPr>
              <w:t>0.68%</w:t>
            </w:r>
          </w:p>
        </w:tc>
      </w:tr>
      <w:tr>
        <w:tc>
          <w:tcPr>
            <w:vAlign w:val="center"/>
          </w:tcPr>
          <w:p>
            <w:pPr>
              <w:jc w:val="left"/>
            </w:pPr>
            <w:r>
              <w:rPr>
                <w:color w:val="000000"/>
                <w:sz w:val="24"/>
              </w:rPr>
              <w:t>过去六个月</w:t>
            </w:r>
          </w:p>
        </w:tc>
        <w:tc>
          <w:tcPr>
            <w:vAlign w:val="center"/>
          </w:tcPr>
          <w:p>
            <w:pPr>
              <w:jc w:val="center"/>
            </w:pPr>
            <w:r>
              <w:rPr>
                <w:color w:val="000000"/>
                <w:sz w:val="24"/>
              </w:rPr>
              <w:t>-2.05%</w:t>
            </w:r>
          </w:p>
        </w:tc>
        <w:tc>
          <w:tcPr>
            <w:vAlign w:val="center"/>
          </w:tcPr>
          <w:p>
            <w:pPr>
              <w:jc w:val="center"/>
            </w:pPr>
            <w:r>
              <w:rPr>
                <w:color w:val="000000"/>
                <w:sz w:val="24"/>
              </w:rPr>
              <w:t>0.57%</w:t>
            </w:r>
          </w:p>
        </w:tc>
        <w:tc>
          <w:tcPr>
            <w:vAlign w:val="center"/>
          </w:tcPr>
          <w:p>
            <w:pPr>
              <w:jc w:val="center"/>
            </w:pPr>
            <w:r>
              <w:rPr>
                <w:color w:val="000000"/>
                <w:sz w:val="24"/>
              </w:rPr>
              <w:t>-2.50%</w:t>
            </w:r>
          </w:p>
        </w:tc>
        <w:tc>
          <w:tcPr>
            <w:vAlign w:val="center"/>
          </w:tcPr>
          <w:p>
            <w:pPr>
              <w:jc w:val="center"/>
            </w:pPr>
            <w:r>
              <w:rPr>
                <w:color w:val="000000"/>
                <w:sz w:val="24"/>
              </w:rPr>
              <w:t>0.10%</w:t>
            </w:r>
          </w:p>
        </w:tc>
        <w:tc>
          <w:tcPr>
            <w:vAlign w:val="center"/>
          </w:tcPr>
          <w:p>
            <w:pPr>
              <w:jc w:val="center"/>
            </w:pPr>
            <w:r>
              <w:rPr>
                <w:color w:val="000000"/>
                <w:sz w:val="24"/>
              </w:rPr>
              <w:t>0.45%</w:t>
            </w:r>
          </w:p>
        </w:tc>
        <w:tc>
          <w:tcPr>
            <w:vAlign w:val="center"/>
          </w:tcPr>
          <w:p>
            <w:pPr>
              <w:jc w:val="center"/>
            </w:pPr>
            <w:r>
              <w:rPr>
                <w:color w:val="000000"/>
                <w:sz w:val="24"/>
              </w:rPr>
              <w:t>0.47%</w:t>
            </w:r>
          </w:p>
        </w:tc>
      </w:tr>
      <w:tr>
        <w:tc>
          <w:tcPr>
            <w:vAlign w:val="center"/>
          </w:tcPr>
          <w:p>
            <w:pPr>
              <w:jc w:val="left"/>
            </w:pPr>
            <w:r>
              <w:rPr>
                <w:color w:val="000000"/>
                <w:sz w:val="24"/>
              </w:rPr>
              <w:t>过去一年</w:t>
            </w:r>
          </w:p>
        </w:tc>
        <w:tc>
          <w:tcPr>
            <w:vAlign w:val="center"/>
          </w:tcPr>
          <w:p>
            <w:pPr>
              <w:jc w:val="center"/>
            </w:pPr>
            <w:r>
              <w:rPr>
                <w:color w:val="000000"/>
                <w:sz w:val="24"/>
              </w:rPr>
              <w:t>2.38%</w:t>
            </w:r>
          </w:p>
        </w:tc>
        <w:tc>
          <w:tcPr>
            <w:vAlign w:val="center"/>
          </w:tcPr>
          <w:p>
            <w:pPr>
              <w:jc w:val="center"/>
            </w:pPr>
            <w:r>
              <w:rPr>
                <w:color w:val="000000"/>
                <w:sz w:val="24"/>
              </w:rPr>
              <w:t>0.44%</w:t>
            </w:r>
          </w:p>
        </w:tc>
        <w:tc>
          <w:tcPr>
            <w:vAlign w:val="center"/>
          </w:tcPr>
          <w:p>
            <w:pPr>
              <w:jc w:val="center"/>
            </w:pPr>
            <w:r>
              <w:rPr>
                <w:color w:val="000000"/>
                <w:sz w:val="24"/>
              </w:rPr>
              <w:t>-0.08%</w:t>
            </w:r>
          </w:p>
        </w:tc>
        <w:tc>
          <w:tcPr>
            <w:vAlign w:val="center"/>
          </w:tcPr>
          <w:p>
            <w:pPr>
              <w:jc w:val="center"/>
            </w:pPr>
            <w:r>
              <w:rPr>
                <w:color w:val="000000"/>
                <w:sz w:val="24"/>
              </w:rPr>
              <w:t>0.09%</w:t>
            </w:r>
          </w:p>
        </w:tc>
        <w:tc>
          <w:tcPr>
            <w:vAlign w:val="center"/>
          </w:tcPr>
          <w:p>
            <w:pPr>
              <w:jc w:val="center"/>
            </w:pPr>
            <w:r>
              <w:rPr>
                <w:color w:val="000000"/>
                <w:sz w:val="24"/>
              </w:rPr>
              <w:t>2.46%</w:t>
            </w:r>
          </w:p>
        </w:tc>
        <w:tc>
          <w:tcPr>
            <w:vAlign w:val="center"/>
          </w:tcPr>
          <w:p>
            <w:pPr>
              <w:jc w:val="center"/>
            </w:pPr>
            <w:r>
              <w:rPr>
                <w:color w:val="000000"/>
                <w:sz w:val="24"/>
              </w:rPr>
              <w:t>0.35%</w:t>
            </w:r>
          </w:p>
        </w:tc>
      </w:tr>
      <w:tr>
        <w:tc>
          <w:tcPr>
            <w:vAlign w:val="center"/>
          </w:tcPr>
          <w:p>
            <w:pPr>
              <w:jc w:val="left"/>
            </w:pPr>
            <w:r>
              <w:rPr>
                <w:color w:val="000000"/>
                <w:sz w:val="24"/>
              </w:rPr>
              <w:t>过去三年</w:t>
            </w:r>
          </w:p>
        </w:tc>
        <w:tc>
          <w:tcPr>
            <w:vAlign w:val="center"/>
          </w:tcPr>
          <w:p>
            <w:pPr>
              <w:jc w:val="center"/>
            </w:pPr>
            <w:r>
              <w:rPr>
                <w:color w:val="000000"/>
                <w:sz w:val="24"/>
              </w:rPr>
              <w:t>7.98%</w:t>
            </w:r>
          </w:p>
        </w:tc>
        <w:tc>
          <w:tcPr>
            <w:vAlign w:val="center"/>
          </w:tcPr>
          <w:p>
            <w:pPr>
              <w:jc w:val="center"/>
            </w:pPr>
            <w:r>
              <w:rPr>
                <w:color w:val="000000"/>
                <w:sz w:val="24"/>
              </w:rPr>
              <w:t>0.34%</w:t>
            </w:r>
          </w:p>
        </w:tc>
        <w:tc>
          <w:tcPr>
            <w:vAlign w:val="center"/>
          </w:tcPr>
          <w:p>
            <w:pPr>
              <w:jc w:val="center"/>
            </w:pPr>
            <w:r>
              <w:rPr>
                <w:color w:val="000000"/>
                <w:sz w:val="24"/>
              </w:rPr>
              <w:t>4.21%</w:t>
            </w:r>
          </w:p>
        </w:tc>
        <w:tc>
          <w:tcPr>
            <w:vAlign w:val="center"/>
          </w:tcPr>
          <w:p>
            <w:pPr>
              <w:jc w:val="center"/>
            </w:pPr>
            <w:r>
              <w:rPr>
                <w:color w:val="000000"/>
                <w:sz w:val="24"/>
              </w:rPr>
              <w:t>0.07%</w:t>
            </w:r>
          </w:p>
        </w:tc>
        <w:tc>
          <w:tcPr>
            <w:vAlign w:val="center"/>
          </w:tcPr>
          <w:p>
            <w:pPr>
              <w:jc w:val="center"/>
            </w:pPr>
            <w:r>
              <w:rPr>
                <w:color w:val="000000"/>
                <w:sz w:val="24"/>
              </w:rPr>
              <w:t>3.77%</w:t>
            </w:r>
          </w:p>
        </w:tc>
        <w:tc>
          <w:tcPr>
            <w:vAlign w:val="center"/>
          </w:tcPr>
          <w:p>
            <w:pPr>
              <w:jc w:val="center"/>
            </w:pPr>
            <w:r>
              <w:rPr>
                <w:color w:val="000000"/>
                <w:sz w:val="24"/>
              </w:rPr>
              <w:t>0.27%</w:t>
            </w:r>
          </w:p>
        </w:tc>
      </w:tr>
      <w:tr>
        <w:tc>
          <w:tcPr>
            <w:vAlign w:val="center"/>
          </w:tcPr>
          <w:p>
            <w:pPr>
              <w:jc w:val="left"/>
            </w:pPr>
            <w:r>
              <w:rPr>
                <w:color w:val="000000"/>
                <w:sz w:val="24"/>
              </w:rPr>
              <w:t>过去五年</w:t>
            </w:r>
          </w:p>
        </w:tc>
        <w:tc>
          <w:tcPr>
            <w:vAlign w:val="center"/>
          </w:tcPr>
          <w:p>
            <w:pPr>
              <w:jc w:val="center"/>
            </w:pPr>
            <w:r>
              <w:rPr>
                <w:color w:val="000000"/>
                <w:sz w:val="24"/>
              </w:rPr>
              <w:t>8.64%</w:t>
            </w:r>
          </w:p>
        </w:tc>
        <w:tc>
          <w:tcPr>
            <w:vAlign w:val="center"/>
          </w:tcPr>
          <w:p>
            <w:pPr>
              <w:jc w:val="center"/>
            </w:pPr>
            <w:r>
              <w:rPr>
                <w:color w:val="000000"/>
                <w:sz w:val="24"/>
              </w:rPr>
              <w:t>0.32%</w:t>
            </w:r>
          </w:p>
        </w:tc>
        <w:tc>
          <w:tcPr>
            <w:vAlign w:val="center"/>
          </w:tcPr>
          <w:p>
            <w:pPr>
              <w:jc w:val="center"/>
            </w:pPr>
            <w:r>
              <w:rPr>
                <w:color w:val="000000"/>
                <w:sz w:val="24"/>
              </w:rPr>
              <w:t>2.00%</w:t>
            </w:r>
          </w:p>
        </w:tc>
        <w:tc>
          <w:tcPr>
            <w:vAlign w:val="center"/>
          </w:tcPr>
          <w:p>
            <w:pPr>
              <w:jc w:val="center"/>
            </w:pPr>
            <w:r>
              <w:rPr>
                <w:color w:val="000000"/>
                <w:sz w:val="24"/>
              </w:rPr>
              <w:t>0.08%</w:t>
            </w:r>
          </w:p>
        </w:tc>
        <w:tc>
          <w:tcPr>
            <w:vAlign w:val="center"/>
          </w:tcPr>
          <w:p>
            <w:pPr>
              <w:jc w:val="center"/>
            </w:pPr>
            <w:r>
              <w:rPr>
                <w:color w:val="000000"/>
                <w:sz w:val="24"/>
              </w:rPr>
              <w:t>6.64%</w:t>
            </w:r>
          </w:p>
        </w:tc>
        <w:tc>
          <w:tcPr>
            <w:vAlign w:val="center"/>
          </w:tcPr>
          <w:p>
            <w:pPr>
              <w:jc w:val="center"/>
            </w:pPr>
            <w:r>
              <w:rPr>
                <w:color w:val="000000"/>
                <w:sz w:val="24"/>
              </w:rPr>
              <w:t>0.24%</w:t>
            </w:r>
          </w:p>
        </w:tc>
      </w:tr>
      <w:tr>
        <w:tc>
          <w:tcPr>
            <w:vAlign w:val="center"/>
          </w:tcPr>
          <w:p>
            <w:pPr>
              <w:jc w:val="left"/>
            </w:pPr>
            <w:r>
              <w:rPr>
                <w:color w:val="000000"/>
                <w:sz w:val="24"/>
              </w:rPr>
              <w:t>自基金合同生效至今</w:t>
            </w:r>
          </w:p>
        </w:tc>
        <w:tc>
          <w:tcPr>
            <w:vAlign w:val="center"/>
          </w:tcPr>
          <w:p>
            <w:pPr>
              <w:jc w:val="center"/>
            </w:pPr>
            <w:r>
              <w:rPr>
                <w:color w:val="000000"/>
                <w:sz w:val="24"/>
              </w:rPr>
              <w:t>31.09%</w:t>
            </w:r>
          </w:p>
        </w:tc>
        <w:tc>
          <w:tcPr>
            <w:vAlign w:val="center"/>
          </w:tcPr>
          <w:p>
            <w:pPr>
              <w:jc w:val="center"/>
            </w:pPr>
            <w:r>
              <w:rPr>
                <w:color w:val="000000"/>
                <w:sz w:val="24"/>
              </w:rPr>
              <w:t>0.32%</w:t>
            </w:r>
          </w:p>
        </w:tc>
        <w:tc>
          <w:tcPr>
            <w:vAlign w:val="center"/>
          </w:tcPr>
          <w:p>
            <w:pPr>
              <w:jc w:val="center"/>
            </w:pPr>
            <w:r>
              <w:rPr>
                <w:color w:val="000000"/>
                <w:sz w:val="24"/>
              </w:rPr>
              <w:t>10.35%</w:t>
            </w:r>
          </w:p>
        </w:tc>
        <w:tc>
          <w:tcPr>
            <w:vAlign w:val="center"/>
          </w:tcPr>
          <w:p>
            <w:pPr>
              <w:jc w:val="center"/>
            </w:pPr>
            <w:r>
              <w:rPr>
                <w:color w:val="000000"/>
                <w:sz w:val="24"/>
              </w:rPr>
              <w:t>0.08%</w:t>
            </w:r>
          </w:p>
        </w:tc>
        <w:tc>
          <w:tcPr>
            <w:vAlign w:val="center"/>
          </w:tcPr>
          <w:p>
            <w:pPr>
              <w:jc w:val="center"/>
            </w:pPr>
            <w:r>
              <w:rPr>
                <w:color w:val="000000"/>
                <w:sz w:val="24"/>
              </w:rPr>
              <w:t>20.74%</w:t>
            </w:r>
          </w:p>
        </w:tc>
        <w:tc>
          <w:tcPr>
            <w:vAlign w:val="center"/>
          </w:tcPr>
          <w:p>
            <w:pPr>
              <w:jc w:val="center"/>
            </w:pPr>
            <w:r>
              <w:rPr>
                <w:color w:val="000000"/>
                <w:sz w:val="24"/>
              </w:rPr>
              <w:t>0.24%</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交银强化回报债券C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-3.18%</w:t>
            </w:r>
          </w:p>
        </w:tc>
        <w:tc>
          <w:tcPr>
            <w:vAlign w:val="center"/>
          </w:tcPr>
          <w:p>
            <w:pPr>
              <w:jc w:val="center"/>
            </w:pPr>
            <w:r>
              <w:rPr>
                <w:color w:val="000000"/>
                <w:sz w:val="24"/>
              </w:rPr>
              <w:t>0.76%</w:t>
            </w:r>
          </w:p>
        </w:tc>
        <w:tc>
          <w:tcPr>
            <w:vAlign w:val="center"/>
          </w:tcPr>
          <w:p>
            <w:pPr>
              <w:jc w:val="center"/>
            </w:pPr>
            <w:r>
              <w:rPr>
                <w:color w:val="000000"/>
                <w:sz w:val="24"/>
              </w:rPr>
              <w:t>-1.48%</w:t>
            </w:r>
          </w:p>
        </w:tc>
        <w:tc>
          <w:tcPr>
            <w:vAlign w:val="center"/>
          </w:tcPr>
          <w:p>
            <w:pPr>
              <w:jc w:val="center"/>
            </w:pPr>
            <w:r>
              <w:rPr>
                <w:color w:val="000000"/>
                <w:sz w:val="24"/>
              </w:rPr>
              <w:t>0.08%</w:t>
            </w:r>
          </w:p>
        </w:tc>
        <w:tc>
          <w:tcPr>
            <w:vAlign w:val="center"/>
          </w:tcPr>
          <w:p>
            <w:pPr>
              <w:jc w:val="center"/>
            </w:pPr>
            <w:r>
              <w:rPr>
                <w:color w:val="000000"/>
                <w:sz w:val="24"/>
              </w:rPr>
              <w:t>-1.70%</w:t>
            </w:r>
          </w:p>
        </w:tc>
        <w:tc>
          <w:tcPr>
            <w:vAlign w:val="center"/>
          </w:tcPr>
          <w:p>
            <w:pPr>
              <w:jc w:val="center"/>
            </w:pPr>
            <w:r>
              <w:rPr>
                <w:color w:val="000000"/>
                <w:sz w:val="24"/>
              </w:rPr>
              <w:t>0.68%</w:t>
            </w:r>
          </w:p>
        </w:tc>
      </w:tr>
      <w:tr>
        <w:tc>
          <w:tcPr>
            <w:vAlign w:val="center"/>
          </w:tcPr>
          <w:p>
            <w:pPr>
              <w:jc w:val="left"/>
            </w:pPr>
            <w:r>
              <w:rPr>
                <w:color w:val="000000"/>
                <w:sz w:val="24"/>
              </w:rPr>
              <w:t>过去六个月</w:t>
            </w:r>
          </w:p>
        </w:tc>
        <w:tc>
          <w:tcPr>
            <w:vAlign w:val="center"/>
          </w:tcPr>
          <w:p>
            <w:pPr>
              <w:jc w:val="center"/>
            </w:pPr>
            <w:r>
              <w:rPr>
                <w:color w:val="000000"/>
                <w:sz w:val="24"/>
              </w:rPr>
              <w:t>-2.20%</w:t>
            </w:r>
          </w:p>
        </w:tc>
        <w:tc>
          <w:tcPr>
            <w:vAlign w:val="center"/>
          </w:tcPr>
          <w:p>
            <w:pPr>
              <w:jc w:val="center"/>
            </w:pPr>
            <w:r>
              <w:rPr>
                <w:color w:val="000000"/>
                <w:sz w:val="24"/>
              </w:rPr>
              <w:t>0.56%</w:t>
            </w:r>
          </w:p>
        </w:tc>
        <w:tc>
          <w:tcPr>
            <w:vAlign w:val="center"/>
          </w:tcPr>
          <w:p>
            <w:pPr>
              <w:jc w:val="center"/>
            </w:pPr>
            <w:r>
              <w:rPr>
                <w:color w:val="000000"/>
                <w:sz w:val="24"/>
              </w:rPr>
              <w:t>-2.50%</w:t>
            </w:r>
          </w:p>
        </w:tc>
        <w:tc>
          <w:tcPr>
            <w:vAlign w:val="center"/>
          </w:tcPr>
          <w:p>
            <w:pPr>
              <w:jc w:val="center"/>
            </w:pPr>
            <w:r>
              <w:rPr>
                <w:color w:val="000000"/>
                <w:sz w:val="24"/>
              </w:rPr>
              <w:t>0.10%</w:t>
            </w:r>
          </w:p>
        </w:tc>
        <w:tc>
          <w:tcPr>
            <w:vAlign w:val="center"/>
          </w:tcPr>
          <w:p>
            <w:pPr>
              <w:jc w:val="center"/>
            </w:pPr>
            <w:r>
              <w:rPr>
                <w:color w:val="000000"/>
                <w:sz w:val="24"/>
              </w:rPr>
              <w:t>0.30%</w:t>
            </w:r>
          </w:p>
        </w:tc>
        <w:tc>
          <w:tcPr>
            <w:vAlign w:val="center"/>
          </w:tcPr>
          <w:p>
            <w:pPr>
              <w:jc w:val="center"/>
            </w:pPr>
            <w:r>
              <w:rPr>
                <w:color w:val="000000"/>
                <w:sz w:val="24"/>
              </w:rPr>
              <w:t>0.46%</w:t>
            </w:r>
          </w:p>
        </w:tc>
      </w:tr>
      <w:tr>
        <w:tc>
          <w:tcPr>
            <w:vAlign w:val="center"/>
          </w:tcPr>
          <w:p>
            <w:pPr>
              <w:jc w:val="left"/>
            </w:pPr>
            <w:r>
              <w:rPr>
                <w:color w:val="000000"/>
                <w:sz w:val="24"/>
              </w:rPr>
              <w:t>过去一年</w:t>
            </w:r>
          </w:p>
        </w:tc>
        <w:tc>
          <w:tcPr>
            <w:vAlign w:val="center"/>
          </w:tcPr>
          <w:p>
            <w:pPr>
              <w:jc w:val="center"/>
            </w:pPr>
            <w:r>
              <w:rPr>
                <w:color w:val="000000"/>
                <w:sz w:val="24"/>
              </w:rPr>
              <w:t>2.01%</w:t>
            </w:r>
          </w:p>
        </w:tc>
        <w:tc>
          <w:tcPr>
            <w:vAlign w:val="center"/>
          </w:tcPr>
          <w:p>
            <w:pPr>
              <w:jc w:val="center"/>
            </w:pPr>
            <w:r>
              <w:rPr>
                <w:color w:val="000000"/>
                <w:sz w:val="24"/>
              </w:rPr>
              <w:t>0.43%</w:t>
            </w:r>
          </w:p>
        </w:tc>
        <w:tc>
          <w:tcPr>
            <w:vAlign w:val="center"/>
          </w:tcPr>
          <w:p>
            <w:pPr>
              <w:jc w:val="center"/>
            </w:pPr>
            <w:r>
              <w:rPr>
                <w:color w:val="000000"/>
                <w:sz w:val="24"/>
              </w:rPr>
              <w:t>-0.08%</w:t>
            </w:r>
          </w:p>
        </w:tc>
        <w:tc>
          <w:tcPr>
            <w:vAlign w:val="center"/>
          </w:tcPr>
          <w:p>
            <w:pPr>
              <w:jc w:val="center"/>
            </w:pPr>
            <w:r>
              <w:rPr>
                <w:color w:val="000000"/>
                <w:sz w:val="24"/>
              </w:rPr>
              <w:t>0.09%</w:t>
            </w:r>
          </w:p>
        </w:tc>
        <w:tc>
          <w:tcPr>
            <w:vAlign w:val="center"/>
          </w:tcPr>
          <w:p>
            <w:pPr>
              <w:jc w:val="center"/>
            </w:pPr>
            <w:r>
              <w:rPr>
                <w:color w:val="000000"/>
                <w:sz w:val="24"/>
              </w:rPr>
              <w:t>2.09%</w:t>
            </w:r>
          </w:p>
        </w:tc>
        <w:tc>
          <w:tcPr>
            <w:vAlign w:val="center"/>
          </w:tcPr>
          <w:p>
            <w:pPr>
              <w:jc w:val="center"/>
            </w:pPr>
            <w:r>
              <w:rPr>
                <w:color w:val="000000"/>
                <w:sz w:val="24"/>
              </w:rPr>
              <w:t>0.34%</w:t>
            </w:r>
          </w:p>
        </w:tc>
      </w:tr>
      <w:tr>
        <w:tc>
          <w:tcPr>
            <w:vAlign w:val="center"/>
          </w:tcPr>
          <w:p>
            <w:pPr>
              <w:jc w:val="left"/>
            </w:pPr>
            <w:r>
              <w:rPr>
                <w:color w:val="000000"/>
                <w:sz w:val="24"/>
              </w:rPr>
              <w:t>过去三年</w:t>
            </w:r>
          </w:p>
        </w:tc>
        <w:tc>
          <w:tcPr>
            <w:vAlign w:val="center"/>
          </w:tcPr>
          <w:p>
            <w:pPr>
              <w:jc w:val="center"/>
            </w:pPr>
            <w:r>
              <w:rPr>
                <w:color w:val="000000"/>
                <w:sz w:val="24"/>
              </w:rPr>
              <w:t>6.59%</w:t>
            </w:r>
          </w:p>
        </w:tc>
        <w:tc>
          <w:tcPr>
            <w:vAlign w:val="center"/>
          </w:tcPr>
          <w:p>
            <w:pPr>
              <w:jc w:val="center"/>
            </w:pPr>
            <w:r>
              <w:rPr>
                <w:color w:val="000000"/>
                <w:sz w:val="24"/>
              </w:rPr>
              <w:t>0.34%</w:t>
            </w:r>
          </w:p>
        </w:tc>
        <w:tc>
          <w:tcPr>
            <w:vAlign w:val="center"/>
          </w:tcPr>
          <w:p>
            <w:pPr>
              <w:jc w:val="center"/>
            </w:pPr>
            <w:r>
              <w:rPr>
                <w:color w:val="000000"/>
                <w:sz w:val="24"/>
              </w:rPr>
              <w:t>4.21%</w:t>
            </w:r>
          </w:p>
        </w:tc>
        <w:tc>
          <w:tcPr>
            <w:vAlign w:val="center"/>
          </w:tcPr>
          <w:p>
            <w:pPr>
              <w:jc w:val="center"/>
            </w:pPr>
            <w:r>
              <w:rPr>
                <w:color w:val="000000"/>
                <w:sz w:val="24"/>
              </w:rPr>
              <w:t>0.07%</w:t>
            </w:r>
          </w:p>
        </w:tc>
        <w:tc>
          <w:tcPr>
            <w:vAlign w:val="center"/>
          </w:tcPr>
          <w:p>
            <w:pPr>
              <w:jc w:val="center"/>
            </w:pPr>
            <w:r>
              <w:rPr>
                <w:color w:val="000000"/>
                <w:sz w:val="24"/>
              </w:rPr>
              <w:t>2.38%</w:t>
            </w:r>
          </w:p>
        </w:tc>
        <w:tc>
          <w:tcPr>
            <w:vAlign w:val="center"/>
          </w:tcPr>
          <w:p>
            <w:pPr>
              <w:jc w:val="center"/>
            </w:pPr>
            <w:r>
              <w:rPr>
                <w:color w:val="000000"/>
                <w:sz w:val="24"/>
              </w:rPr>
              <w:t>0.27%</w:t>
            </w:r>
          </w:p>
        </w:tc>
      </w:tr>
      <w:tr>
        <w:tc>
          <w:tcPr>
            <w:vAlign w:val="center"/>
          </w:tcPr>
          <w:p>
            <w:pPr>
              <w:jc w:val="left"/>
            </w:pPr>
            <w:r>
              <w:rPr>
                <w:color w:val="000000"/>
                <w:sz w:val="24"/>
              </w:rPr>
              <w:t>过去五年</w:t>
            </w:r>
          </w:p>
        </w:tc>
        <w:tc>
          <w:tcPr>
            <w:vAlign w:val="center"/>
          </w:tcPr>
          <w:p>
            <w:pPr>
              <w:jc w:val="center"/>
            </w:pPr>
            <w:r>
              <w:rPr>
                <w:color w:val="000000"/>
                <w:sz w:val="24"/>
              </w:rPr>
              <w:t>6.21%</w:t>
            </w:r>
          </w:p>
        </w:tc>
        <w:tc>
          <w:tcPr>
            <w:vAlign w:val="center"/>
          </w:tcPr>
          <w:p>
            <w:pPr>
              <w:jc w:val="center"/>
            </w:pPr>
            <w:r>
              <w:rPr>
                <w:color w:val="000000"/>
                <w:sz w:val="24"/>
              </w:rPr>
              <w:t>0.31%</w:t>
            </w:r>
          </w:p>
        </w:tc>
        <w:tc>
          <w:tcPr>
            <w:vAlign w:val="center"/>
          </w:tcPr>
          <w:p>
            <w:pPr>
              <w:jc w:val="center"/>
            </w:pPr>
            <w:r>
              <w:rPr>
                <w:color w:val="000000"/>
                <w:sz w:val="24"/>
              </w:rPr>
              <w:t>2.00%</w:t>
            </w:r>
          </w:p>
        </w:tc>
        <w:tc>
          <w:tcPr>
            <w:vAlign w:val="center"/>
          </w:tcPr>
          <w:p>
            <w:pPr>
              <w:jc w:val="center"/>
            </w:pPr>
            <w:r>
              <w:rPr>
                <w:color w:val="000000"/>
                <w:sz w:val="24"/>
              </w:rPr>
              <w:t>0.08%</w:t>
            </w:r>
          </w:p>
        </w:tc>
        <w:tc>
          <w:tcPr>
            <w:vAlign w:val="center"/>
          </w:tcPr>
          <w:p>
            <w:pPr>
              <w:jc w:val="center"/>
            </w:pPr>
            <w:r>
              <w:rPr>
                <w:color w:val="000000"/>
                <w:sz w:val="24"/>
              </w:rPr>
              <w:t>4.21%</w:t>
            </w:r>
          </w:p>
        </w:tc>
        <w:tc>
          <w:tcPr>
            <w:vAlign w:val="center"/>
          </w:tcPr>
          <w:p>
            <w:pPr>
              <w:jc w:val="center"/>
            </w:pPr>
            <w:r>
              <w:rPr>
                <w:color w:val="000000"/>
                <w:sz w:val="24"/>
              </w:rPr>
              <w:t>0.23%</w:t>
            </w:r>
          </w:p>
        </w:tc>
      </w:tr>
      <w:tr>
        <w:tc>
          <w:tcPr>
            <w:vAlign w:val="center"/>
          </w:tcPr>
          <w:p>
            <w:pPr>
              <w:jc w:val="left"/>
            </w:pPr>
            <w:r>
              <w:rPr>
                <w:color w:val="000000"/>
                <w:sz w:val="24"/>
              </w:rPr>
              <w:t>自基金合同生效至今</w:t>
            </w:r>
          </w:p>
        </w:tc>
        <w:tc>
          <w:tcPr>
            <w:vAlign w:val="center"/>
          </w:tcPr>
          <w:p>
            <w:pPr>
              <w:jc w:val="center"/>
            </w:pPr>
            <w:r>
              <w:rPr>
                <w:color w:val="000000"/>
                <w:sz w:val="24"/>
              </w:rPr>
              <w:t>27.62%</w:t>
            </w:r>
          </w:p>
        </w:tc>
        <w:tc>
          <w:tcPr>
            <w:vAlign w:val="center"/>
          </w:tcPr>
          <w:p>
            <w:pPr>
              <w:jc w:val="center"/>
            </w:pPr>
            <w:r>
              <w:rPr>
                <w:color w:val="000000"/>
                <w:sz w:val="24"/>
              </w:rPr>
              <w:t>0.32%</w:t>
            </w:r>
          </w:p>
        </w:tc>
        <w:tc>
          <w:tcPr>
            <w:vAlign w:val="center"/>
          </w:tcPr>
          <w:p>
            <w:pPr>
              <w:jc w:val="center"/>
            </w:pPr>
            <w:r>
              <w:rPr>
                <w:color w:val="000000"/>
                <w:sz w:val="24"/>
              </w:rPr>
              <w:t>10.35%</w:t>
            </w:r>
          </w:p>
        </w:tc>
        <w:tc>
          <w:tcPr>
            <w:vAlign w:val="center"/>
          </w:tcPr>
          <w:p>
            <w:pPr>
              <w:jc w:val="center"/>
            </w:pPr>
            <w:r>
              <w:rPr>
                <w:color w:val="000000"/>
                <w:sz w:val="24"/>
              </w:rPr>
              <w:t>0.08%</w:t>
            </w:r>
          </w:p>
        </w:tc>
        <w:tc>
          <w:tcPr>
            <w:vAlign w:val="center"/>
          </w:tcPr>
          <w:p>
            <w:pPr>
              <w:jc w:val="center"/>
            </w:pPr>
            <w:r>
              <w:rPr>
                <w:color w:val="000000"/>
                <w:sz w:val="24"/>
              </w:rPr>
              <w:t>17.27%</w:t>
            </w:r>
          </w:p>
        </w:tc>
        <w:tc>
          <w:tcPr>
            <w:vAlign w:val="center"/>
          </w:tcPr>
          <w:p>
            <w:pPr>
              <w:jc w:val="center"/>
            </w:pPr>
            <w:r>
              <w:rPr>
                <w:color w:val="000000"/>
                <w:sz w:val="24"/>
              </w:rPr>
              <w:t>0.24%</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交银施罗德强化回报债券型证券投资基金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2014年1月28日</w:t>
      </w:r>
      <w:r w:rsidR="009A045B" w:rsidRPr="007F52FA">
        <w:rPr>
          <w:rFonts w:ascii="Times New Roman" w:hAnsi="Times New Roman"/>
          <w:sz w:val="24"/>
          <w:szCs w:val="24"/>
        </w:rPr>
        <w:t>至</w:t>
      </w:r>
      <w:r w:rsidRPr="007F52FA">
        <w:rPr>
          <w:rFonts w:ascii="Times New Roman" w:hAnsi="Times New Roman"/>
          <w:sz w:val="24"/>
          <w:szCs w:val="24"/>
        </w:rPr>
        <w:t>2020年9月30日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交银强化回报债券C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2018-02-13</w:t>
            </w:r>
          </w:p>
        </w:tc>
        <w:tc>
          <w:tcPr>
            <w:vAlign w:val="center"/>
          </w:tcPr>
          <w:p>
            <w:pPr>
              <w:jc w:val="center"/>
            </w:pPr>
            <w:r>
              <w:rPr>
                <w:color w:val="000000"/>
                <w:sz w:val="24"/>
              </w:rPr>
              <w:t>2020-07-23</w:t>
            </w:r>
          </w:p>
        </w:tc>
        <w:tc>
          <w:tcPr>
            <w:vAlign w:val="center"/>
          </w:tcPr>
          <w:p>
            <w:pPr>
              <w:jc w:val="center"/>
            </w:pPr>
            <w:r>
              <w:rPr>
                <w:color w:val="000000"/>
                <w:sz w:val="24"/>
              </w:rPr>
              <w:t>14年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2018年2月13日至2020年7月22日担任交银施罗德定期支付月月丰债券型证券投资基金、交银施罗德增强收益债券型证券投资基金（原交银荣泰保本）、交银施罗德强化回报债券型证券投资基金、交银施罗德增利增强债券型证券投资基金的基金经理。2019年2月28日至2020年7月22日担任交银施罗德稳固收益债券型证券投资基金（原交银荣祥保本)的基金经理。2019年7月20日至2020年7月22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r>
        <w:tc>
          <w:tcPr>
            <w:vAlign w:val="center"/>
          </w:tcPr>
          <w:p>
            <w:pPr>
              <w:jc w:val="center"/>
            </w:pPr>
            <w:r>
              <w:rPr>
                <w:color w:val="000000"/>
                <w:sz w:val="24"/>
              </w:rPr>
              <w:t>唐赟</w:t>
            </w:r>
          </w:p>
        </w:tc>
        <w:tc>
          <w:tcPr>
            <w:vAlign w:val="center"/>
          </w:tcPr>
          <w:p>
            <w:pPr>
              <w:jc w:val="center"/>
            </w:pPr>
            <w:r>
              <w:rPr>
                <w:color w:val="000000"/>
                <w:sz w:val="24"/>
              </w:rPr>
              <w:t>交银信用添利债券(LOF)、交银双利债券、交银双轮动债券、交银定期支付月月丰债券、交银增强收益债券、交银强化回报债券、交银荣鑫灵活配置混合、交银稳固收益债券的基金经理</w:t>
            </w:r>
          </w:p>
        </w:tc>
        <w:tc>
          <w:tcPr>
            <w:vAlign w:val="center"/>
          </w:tcPr>
          <w:p>
            <w:pPr>
              <w:jc w:val="center"/>
            </w:pPr>
            <w:r>
              <w:rPr>
                <w:color w:val="000000"/>
                <w:sz w:val="24"/>
              </w:rPr>
              <w:t>2020-07-14</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2017年3月31日至2019年10月23日担任交银施罗德裕通纯债债券型证券投资基金的基金经理。2018年6月2日至2019年12月13日担任交银施罗德安心收益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三季度债券市场在震荡中逐步下跌。首先，从七月开始，央行在公开市场净回笼资金，叠加MLF大量到期、企业集中缴税等因素，银行间流动性出现持续收紧状态，资金利率中枢边际抬升，进入八月央行开展14天逆回购操作，引导DR007向2.2%收敛。其次，利率债供给方面，七月到九月供给压力不减，政府债券净融资量维持在高位。同时，三季度经济基本面呈现出平稳恢复的态势，出口改善带动了制造业投资修复，工业生产平稳运行，经济增长的支撑力较为充足。在以上因素的综合影响下，三季度债券市场在震荡中收益率大幅向上调整，同时收益率曲线呈现出平坦化的趋势。权益市场三季度先是经历了一波快速上涨拉升行情，但从七月中旬之后，转为震荡下跌，伴随着前期表现较好的科技、医药以及食品饮料等行业相继出现大幅的回调。</w:t>
      </w:r>
    </w:p>
    <w:p>
      <w:pPr>
        <w:spacing w:before="29" w:line="288" w:lineRule="auto"/>
        <w:ind w:firstLine="480" w:firstLineChars="200"/>
        <w:rPr>
          <w:color w:val="000000"/>
          <w:sz w:val="24"/>
        </w:rPr>
      </w:pPr>
      <w:r>
        <w:rPr>
          <w:color w:val="000000"/>
          <w:sz w:val="24"/>
        </w:rPr>
        <w:t>报告期内，我们的债券资产维持短久期低仓位配置。权益资产方面，七月中旬之前保持了中高仓位的配置。七月中旬之后科技、医药等行业的相继回调给组合净值带来了一定的回撤，我们相应地把仓位降低到了中性仓位附近，以控制组合回撤，并在配置的行业上做了一定的切换。</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四季度，一方面随着企业库存回升和通胀预期抬升，国内经济或从复苏期进入扩张期，宏观环境对权益类资产可能相对有利；另一方面预期四季度利率债的供给压力将明显减弱，叠加美国大选临近中美摩擦可能升级，海外疫情或不断反复，情绪方面可能对避险资产偏利好。组合策略方面，我们将保持债券资产相对偏低的杠杆和久期，并积极关注长端利率的波段交易机会；权益资产方面，等待优质资产过高的估值修复过程，并在控制组合回撤的前提下，积极把握权益类资产可能带来的增厚组合收益的机会。</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本基金本报告期内连续六十个工作日以上出现基金资产净值低于5000万元的情形，截至本报告期末，本基金基金资产净值仍低于5000万元。</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602,170.16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7.31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602,170.16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7.31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6,519,693.80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79.20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6,519,693.80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79.20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928,547.72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11.28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81,984.61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8,232,396.29</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477,514.16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5.93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81,200.00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1.01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43,456.00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0.54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602,170.16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7.47</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300587</w:t>
            </w:r>
          </w:p>
        </w:tc>
        <w:tc>
          <w:tcPr>
            <w:vAlign w:val="center"/>
          </w:tcPr>
          <w:p>
            <w:pPr>
              <w:jc w:val="center"/>
            </w:pPr>
            <w:r>
              <w:rPr>
                <w:color w:val="000000"/>
                <w:sz w:val="24"/>
              </w:rPr>
              <w:t>天铁股份</w:t>
            </w:r>
          </w:p>
        </w:tc>
        <w:tc>
          <w:tcPr>
            <w:vAlign w:val="center"/>
          </w:tcPr>
          <w:p>
            <w:pPr>
              <w:jc w:val="right"/>
            </w:pPr>
            <w:r>
              <w:rPr>
                <w:color w:val="000000"/>
                <w:sz w:val="24"/>
              </w:rPr>
              <w:t>14,822</w:t>
            </w:r>
          </w:p>
        </w:tc>
        <w:tc>
          <w:tcPr>
            <w:vAlign w:val="center"/>
          </w:tcPr>
          <w:p>
            <w:pPr>
              <w:jc w:val="right"/>
            </w:pPr>
            <w:r>
              <w:rPr>
                <w:color w:val="000000"/>
                <w:sz w:val="24"/>
              </w:rPr>
              <w:t>233,891.16</w:t>
            </w:r>
          </w:p>
        </w:tc>
        <w:tc>
          <w:tcPr>
            <w:vAlign w:val="center"/>
          </w:tcPr>
          <w:p>
            <w:pPr>
              <w:jc w:val="right"/>
            </w:pPr>
            <w:r>
              <w:rPr>
                <w:color w:val="000000"/>
                <w:sz w:val="24"/>
              </w:rPr>
              <w:t>2.90</w:t>
            </w:r>
          </w:p>
        </w:tc>
      </w:tr>
      <w:tr>
        <w:tc>
          <w:tcPr>
            <w:vAlign w:val="center"/>
          </w:tcPr>
          <w:p>
            <w:pPr>
              <w:jc w:val="center"/>
            </w:pPr>
            <w:r>
              <w:rPr>
                <w:color w:val="000000"/>
                <w:sz w:val="24"/>
              </w:rPr>
              <w:t>2</w:t>
            </w:r>
          </w:p>
        </w:tc>
        <w:tc>
          <w:tcPr>
            <w:vAlign w:val="center"/>
          </w:tcPr>
          <w:p>
            <w:pPr>
              <w:jc w:val="center"/>
            </w:pPr>
            <w:r>
              <w:rPr>
                <w:color w:val="000000"/>
                <w:sz w:val="24"/>
              </w:rPr>
              <w:t>688169</w:t>
            </w:r>
          </w:p>
        </w:tc>
        <w:tc>
          <w:tcPr>
            <w:vAlign w:val="center"/>
          </w:tcPr>
          <w:p>
            <w:pPr>
              <w:jc w:val="center"/>
            </w:pPr>
            <w:r>
              <w:rPr>
                <w:color w:val="000000"/>
                <w:sz w:val="24"/>
              </w:rPr>
              <w:t>石头科技</w:t>
            </w:r>
          </w:p>
        </w:tc>
        <w:tc>
          <w:tcPr>
            <w:vAlign w:val="center"/>
          </w:tcPr>
          <w:p>
            <w:pPr>
              <w:jc w:val="right"/>
            </w:pPr>
            <w:r>
              <w:rPr>
                <w:color w:val="000000"/>
                <w:sz w:val="24"/>
              </w:rPr>
              <w:t>200</w:t>
            </w:r>
          </w:p>
        </w:tc>
        <w:tc>
          <w:tcPr>
            <w:vAlign w:val="center"/>
          </w:tcPr>
          <w:p>
            <w:pPr>
              <w:jc w:val="right"/>
            </w:pPr>
            <w:r>
              <w:rPr>
                <w:color w:val="000000"/>
                <w:sz w:val="24"/>
              </w:rPr>
              <w:t>119,880.00</w:t>
            </w:r>
          </w:p>
        </w:tc>
        <w:tc>
          <w:tcPr>
            <w:vAlign w:val="center"/>
          </w:tcPr>
          <w:p>
            <w:pPr>
              <w:jc w:val="right"/>
            </w:pPr>
            <w:r>
              <w:rPr>
                <w:color w:val="000000"/>
                <w:sz w:val="24"/>
              </w:rPr>
              <w:t>1.49</w:t>
            </w:r>
          </w:p>
        </w:tc>
      </w:tr>
      <w:tr>
        <w:tc>
          <w:tcPr>
            <w:vAlign w:val="center"/>
          </w:tcPr>
          <w:p>
            <w:pPr>
              <w:jc w:val="center"/>
            </w:pPr>
            <w:r>
              <w:rPr>
                <w:color w:val="000000"/>
                <w:sz w:val="24"/>
              </w:rPr>
              <w:t>3</w:t>
            </w:r>
          </w:p>
        </w:tc>
        <w:tc>
          <w:tcPr>
            <w:vAlign w:val="center"/>
          </w:tcPr>
          <w:p>
            <w:pPr>
              <w:jc w:val="center"/>
            </w:pPr>
            <w:r>
              <w:rPr>
                <w:color w:val="000000"/>
                <w:sz w:val="24"/>
              </w:rPr>
              <w:t>002430</w:t>
            </w:r>
          </w:p>
        </w:tc>
        <w:tc>
          <w:tcPr>
            <w:vAlign w:val="center"/>
          </w:tcPr>
          <w:p>
            <w:pPr>
              <w:jc w:val="center"/>
            </w:pPr>
            <w:r>
              <w:rPr>
                <w:color w:val="000000"/>
                <w:sz w:val="24"/>
              </w:rPr>
              <w:t>杭氧股份</w:t>
            </w:r>
          </w:p>
        </w:tc>
        <w:tc>
          <w:tcPr>
            <w:vAlign w:val="center"/>
          </w:tcPr>
          <w:p>
            <w:pPr>
              <w:jc w:val="right"/>
            </w:pPr>
            <w:r>
              <w:rPr>
                <w:color w:val="000000"/>
                <w:sz w:val="24"/>
              </w:rPr>
              <w:t>3,700</w:t>
            </w:r>
          </w:p>
        </w:tc>
        <w:tc>
          <w:tcPr>
            <w:vAlign w:val="center"/>
          </w:tcPr>
          <w:p>
            <w:pPr>
              <w:jc w:val="right"/>
            </w:pPr>
            <w:r>
              <w:rPr>
                <w:color w:val="000000"/>
                <w:sz w:val="24"/>
              </w:rPr>
              <w:t>83,213.00</w:t>
            </w:r>
          </w:p>
        </w:tc>
        <w:tc>
          <w:tcPr>
            <w:vAlign w:val="center"/>
          </w:tcPr>
          <w:p>
            <w:pPr>
              <w:jc w:val="right"/>
            </w:pPr>
            <w:r>
              <w:rPr>
                <w:color w:val="000000"/>
                <w:sz w:val="24"/>
              </w:rPr>
              <w:t>1.03</w:t>
            </w:r>
          </w:p>
        </w:tc>
      </w:tr>
      <w:tr>
        <w:tc>
          <w:tcPr>
            <w:vAlign w:val="center"/>
          </w:tcPr>
          <w:p>
            <w:pPr>
              <w:jc w:val="center"/>
            </w:pPr>
            <w:r>
              <w:rPr>
                <w:color w:val="000000"/>
                <w:sz w:val="24"/>
              </w:rPr>
              <w:t>4</w:t>
            </w:r>
          </w:p>
        </w:tc>
        <w:tc>
          <w:tcPr>
            <w:vAlign w:val="center"/>
          </w:tcPr>
          <w:p>
            <w:pPr>
              <w:jc w:val="center"/>
            </w:pPr>
            <w:r>
              <w:rPr>
                <w:color w:val="000000"/>
                <w:sz w:val="24"/>
              </w:rPr>
              <w:t>002352</w:t>
            </w:r>
          </w:p>
        </w:tc>
        <w:tc>
          <w:tcPr>
            <w:vAlign w:val="center"/>
          </w:tcPr>
          <w:p>
            <w:pPr>
              <w:jc w:val="center"/>
            </w:pPr>
            <w:r>
              <w:rPr>
                <w:color w:val="000000"/>
                <w:sz w:val="24"/>
              </w:rPr>
              <w:t>顺丰控股</w:t>
            </w:r>
          </w:p>
        </w:tc>
        <w:tc>
          <w:tcPr>
            <w:vAlign w:val="center"/>
          </w:tcPr>
          <w:p>
            <w:pPr>
              <w:jc w:val="right"/>
            </w:pPr>
            <w:r>
              <w:rPr>
                <w:color w:val="000000"/>
                <w:sz w:val="24"/>
              </w:rPr>
              <w:t>1,000</w:t>
            </w:r>
          </w:p>
        </w:tc>
        <w:tc>
          <w:tcPr>
            <w:vAlign w:val="center"/>
          </w:tcPr>
          <w:p>
            <w:pPr>
              <w:jc w:val="right"/>
            </w:pPr>
            <w:r>
              <w:rPr>
                <w:color w:val="000000"/>
                <w:sz w:val="24"/>
              </w:rPr>
              <w:t>81,200.00</w:t>
            </w:r>
          </w:p>
        </w:tc>
        <w:tc>
          <w:tcPr>
            <w:vAlign w:val="center"/>
          </w:tcPr>
          <w:p>
            <w:pPr>
              <w:jc w:val="right"/>
            </w:pPr>
            <w:r>
              <w:rPr>
                <w:color w:val="000000"/>
                <w:sz w:val="24"/>
              </w:rPr>
              <w:t>1.01</w:t>
            </w:r>
          </w:p>
        </w:tc>
      </w:tr>
      <w:tr>
        <w:tc>
          <w:tcPr>
            <w:vAlign w:val="center"/>
          </w:tcPr>
          <w:p>
            <w:pPr>
              <w:jc w:val="center"/>
            </w:pPr>
            <w:r>
              <w:rPr>
                <w:color w:val="000000"/>
                <w:sz w:val="24"/>
              </w:rPr>
              <w:t>5</w:t>
            </w:r>
          </w:p>
        </w:tc>
        <w:tc>
          <w:tcPr>
            <w:vAlign w:val="center"/>
          </w:tcPr>
          <w:p>
            <w:pPr>
              <w:jc w:val="center"/>
            </w:pPr>
            <w:r>
              <w:rPr>
                <w:color w:val="000000"/>
                <w:sz w:val="24"/>
              </w:rPr>
              <w:t>601336</w:t>
            </w:r>
          </w:p>
        </w:tc>
        <w:tc>
          <w:tcPr>
            <w:vAlign w:val="center"/>
          </w:tcPr>
          <w:p>
            <w:pPr>
              <w:jc w:val="center"/>
            </w:pPr>
            <w:r>
              <w:rPr>
                <w:color w:val="000000"/>
                <w:sz w:val="24"/>
              </w:rPr>
              <w:t>新华保险</w:t>
            </w:r>
          </w:p>
        </w:tc>
        <w:tc>
          <w:tcPr>
            <w:vAlign w:val="center"/>
          </w:tcPr>
          <w:p>
            <w:pPr>
              <w:jc w:val="right"/>
            </w:pPr>
            <w:r>
              <w:rPr>
                <w:color w:val="000000"/>
                <w:sz w:val="24"/>
              </w:rPr>
              <w:t>700</w:t>
            </w:r>
          </w:p>
        </w:tc>
        <w:tc>
          <w:tcPr>
            <w:vAlign w:val="center"/>
          </w:tcPr>
          <w:p>
            <w:pPr>
              <w:jc w:val="right"/>
            </w:pPr>
            <w:r>
              <w:rPr>
                <w:color w:val="000000"/>
                <w:sz w:val="24"/>
              </w:rPr>
              <w:t>43,456.00</w:t>
            </w:r>
          </w:p>
        </w:tc>
        <w:tc>
          <w:tcPr>
            <w:vAlign w:val="center"/>
          </w:tcPr>
          <w:p>
            <w:pPr>
              <w:jc w:val="right"/>
            </w:pPr>
            <w:r>
              <w:rPr>
                <w:color w:val="000000"/>
                <w:sz w:val="24"/>
              </w:rPr>
              <w:t>0.54</w:t>
            </w:r>
          </w:p>
        </w:tc>
      </w:tr>
      <w:tr>
        <w:tc>
          <w:tcPr>
            <w:vAlign w:val="center"/>
          </w:tcPr>
          <w:p>
            <w:pPr>
              <w:jc w:val="center"/>
            </w:pPr>
            <w:r>
              <w:rPr>
                <w:color w:val="000000"/>
                <w:sz w:val="24"/>
              </w:rPr>
              <w:t>6</w:t>
            </w:r>
          </w:p>
        </w:tc>
        <w:tc>
          <w:tcPr>
            <w:vAlign w:val="center"/>
          </w:tcPr>
          <w:p>
            <w:pPr>
              <w:jc w:val="center"/>
            </w:pPr>
            <w:r>
              <w:rPr>
                <w:color w:val="000000"/>
                <w:sz w:val="24"/>
              </w:rPr>
              <w:t>300124</w:t>
            </w:r>
          </w:p>
        </w:tc>
        <w:tc>
          <w:tcPr>
            <w:vAlign w:val="center"/>
          </w:tcPr>
          <w:p>
            <w:pPr>
              <w:jc w:val="center"/>
            </w:pPr>
            <w:r>
              <w:rPr>
                <w:color w:val="000000"/>
                <w:sz w:val="24"/>
              </w:rPr>
              <w:t>汇川技术</w:t>
            </w:r>
          </w:p>
        </w:tc>
        <w:tc>
          <w:tcPr>
            <w:vAlign w:val="center"/>
          </w:tcPr>
          <w:p>
            <w:pPr>
              <w:jc w:val="right"/>
            </w:pPr>
            <w:r>
              <w:rPr>
                <w:color w:val="000000"/>
                <w:sz w:val="24"/>
              </w:rPr>
              <w:t>700</w:t>
            </w:r>
          </w:p>
        </w:tc>
        <w:tc>
          <w:tcPr>
            <w:vAlign w:val="center"/>
          </w:tcPr>
          <w:p>
            <w:pPr>
              <w:jc w:val="right"/>
            </w:pPr>
            <w:r>
              <w:rPr>
                <w:color w:val="000000"/>
                <w:sz w:val="24"/>
              </w:rPr>
              <w:t>40,530.00</w:t>
            </w:r>
          </w:p>
        </w:tc>
        <w:tc>
          <w:tcPr>
            <w:vAlign w:val="center"/>
          </w:tcPr>
          <w:p>
            <w:pPr>
              <w:jc w:val="right"/>
            </w:pPr>
            <w:r>
              <w:rPr>
                <w:color w:val="000000"/>
                <w:sz w:val="24"/>
              </w:rPr>
              <w:t>0.50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3,964,201.20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49.19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187,514.40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2.33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187,514.40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2.33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2,367,978.20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29.38</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6,519,693.80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80.90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019627</w:t>
            </w:r>
          </w:p>
        </w:tc>
        <w:tc>
          <w:tcPr>
            <w:vAlign w:val="center"/>
          </w:tcPr>
          <w:p>
            <w:pPr>
              <w:jc w:val="center"/>
            </w:pPr>
            <w:r>
              <w:rPr>
                <w:color w:val="000000"/>
                <w:sz w:val="24"/>
              </w:rPr>
              <w:t>20国债01</w:t>
            </w:r>
          </w:p>
        </w:tc>
        <w:tc>
          <w:tcPr>
            <w:vAlign w:val="center"/>
          </w:tcPr>
          <w:p>
            <w:pPr>
              <w:jc w:val="right"/>
            </w:pPr>
            <w:r>
              <w:rPr>
                <w:color w:val="000000"/>
                <w:sz w:val="24"/>
              </w:rPr>
              <w:t>22,820</w:t>
            </w:r>
          </w:p>
        </w:tc>
        <w:tc>
          <w:tcPr>
            <w:vAlign w:val="center"/>
          </w:tcPr>
          <w:p>
            <w:pPr>
              <w:jc w:val="right"/>
            </w:pPr>
            <w:r>
              <w:rPr>
                <w:color w:val="000000"/>
                <w:sz w:val="24"/>
              </w:rPr>
              <w:t>2,279,718.00</w:t>
            </w:r>
          </w:p>
        </w:tc>
        <w:tc>
          <w:tcPr>
            <w:vAlign w:val="center"/>
          </w:tcPr>
          <w:p>
            <w:pPr>
              <w:jc w:val="right"/>
            </w:pPr>
            <w:r>
              <w:rPr>
                <w:color w:val="000000"/>
                <w:sz w:val="24"/>
              </w:rPr>
              <w:t>28.29</w:t>
            </w:r>
          </w:p>
        </w:tc>
      </w:tr>
      <w:tr>
        <w:tc>
          <w:tcPr>
            <w:vAlign w:val="center"/>
          </w:tcPr>
          <w:p>
            <w:pPr>
              <w:jc w:val="center"/>
            </w:pPr>
            <w:r>
              <w:rPr>
                <w:color w:val="000000"/>
                <w:sz w:val="24"/>
              </w:rPr>
              <w:t>2</w:t>
            </w:r>
          </w:p>
        </w:tc>
        <w:tc>
          <w:tcPr>
            <w:vAlign w:val="center"/>
          </w:tcPr>
          <w:p>
            <w:pPr>
              <w:jc w:val="center"/>
            </w:pPr>
            <w:r>
              <w:rPr>
                <w:color w:val="000000"/>
                <w:sz w:val="24"/>
              </w:rPr>
              <w:t>010107</w:t>
            </w:r>
          </w:p>
        </w:tc>
        <w:tc>
          <w:tcPr>
            <w:vAlign w:val="center"/>
          </w:tcPr>
          <w:p>
            <w:pPr>
              <w:jc w:val="center"/>
            </w:pPr>
            <w:r>
              <w:rPr>
                <w:color w:val="000000"/>
                <w:sz w:val="24"/>
              </w:rPr>
              <w:t>21国债⑺</w:t>
            </w:r>
          </w:p>
        </w:tc>
        <w:tc>
          <w:tcPr>
            <w:vAlign w:val="center"/>
          </w:tcPr>
          <w:p>
            <w:pPr>
              <w:jc w:val="right"/>
            </w:pPr>
            <w:r>
              <w:rPr>
                <w:color w:val="000000"/>
                <w:sz w:val="24"/>
              </w:rPr>
              <w:t>16,560</w:t>
            </w:r>
          </w:p>
        </w:tc>
        <w:tc>
          <w:tcPr>
            <w:vAlign w:val="center"/>
          </w:tcPr>
          <w:p>
            <w:pPr>
              <w:jc w:val="right"/>
            </w:pPr>
            <w:r>
              <w:rPr>
                <w:color w:val="000000"/>
                <w:sz w:val="24"/>
              </w:rPr>
              <w:t>1,684,483.20</w:t>
            </w:r>
          </w:p>
        </w:tc>
        <w:tc>
          <w:tcPr>
            <w:vAlign w:val="center"/>
          </w:tcPr>
          <w:p>
            <w:pPr>
              <w:jc w:val="right"/>
            </w:pPr>
            <w:r>
              <w:rPr>
                <w:color w:val="000000"/>
                <w:sz w:val="24"/>
              </w:rPr>
              <w:t>20.90</w:t>
            </w:r>
          </w:p>
        </w:tc>
      </w:tr>
      <w:tr>
        <w:tc>
          <w:tcPr>
            <w:vAlign w:val="center"/>
          </w:tcPr>
          <w:p>
            <w:pPr>
              <w:jc w:val="center"/>
            </w:pPr>
            <w:r>
              <w:rPr>
                <w:color w:val="000000"/>
                <w:sz w:val="24"/>
              </w:rPr>
              <w:t>3</w:t>
            </w:r>
          </w:p>
        </w:tc>
        <w:tc>
          <w:tcPr>
            <w:vAlign w:val="center"/>
          </w:tcPr>
          <w:p>
            <w:pPr>
              <w:jc w:val="center"/>
            </w:pPr>
            <w:r>
              <w:rPr>
                <w:color w:val="000000"/>
                <w:sz w:val="24"/>
              </w:rPr>
              <w:t>132005</w:t>
            </w:r>
          </w:p>
        </w:tc>
        <w:tc>
          <w:tcPr>
            <w:vAlign w:val="center"/>
          </w:tcPr>
          <w:p>
            <w:pPr>
              <w:jc w:val="center"/>
            </w:pPr>
            <w:r>
              <w:rPr>
                <w:color w:val="000000"/>
                <w:sz w:val="24"/>
              </w:rPr>
              <w:t>15国资EB</w:t>
            </w:r>
          </w:p>
        </w:tc>
        <w:tc>
          <w:tcPr>
            <w:vAlign w:val="center"/>
          </w:tcPr>
          <w:p>
            <w:pPr>
              <w:jc w:val="right"/>
            </w:pPr>
            <w:r>
              <w:rPr>
                <w:color w:val="000000"/>
                <w:sz w:val="24"/>
              </w:rPr>
              <w:t>6,070</w:t>
            </w:r>
          </w:p>
        </w:tc>
        <w:tc>
          <w:tcPr>
            <w:vAlign w:val="center"/>
          </w:tcPr>
          <w:p>
            <w:pPr>
              <w:jc w:val="right"/>
            </w:pPr>
            <w:r>
              <w:rPr>
                <w:color w:val="000000"/>
                <w:sz w:val="24"/>
              </w:rPr>
              <w:t>659,505.50</w:t>
            </w:r>
          </w:p>
        </w:tc>
        <w:tc>
          <w:tcPr>
            <w:vAlign w:val="center"/>
          </w:tcPr>
          <w:p>
            <w:pPr>
              <w:jc w:val="right"/>
            </w:pPr>
            <w:r>
              <w:rPr>
                <w:color w:val="000000"/>
                <w:sz w:val="24"/>
              </w:rPr>
              <w:t>8.18</w:t>
            </w:r>
          </w:p>
        </w:tc>
      </w:tr>
      <w:tr>
        <w:tc>
          <w:tcPr>
            <w:vAlign w:val="center"/>
          </w:tcPr>
          <w:p>
            <w:pPr>
              <w:jc w:val="center"/>
            </w:pPr>
            <w:r>
              <w:rPr>
                <w:color w:val="000000"/>
                <w:sz w:val="24"/>
              </w:rPr>
              <w:t>4</w:t>
            </w:r>
          </w:p>
        </w:tc>
        <w:tc>
          <w:tcPr>
            <w:vAlign w:val="center"/>
          </w:tcPr>
          <w:p>
            <w:pPr>
              <w:jc w:val="center"/>
            </w:pPr>
            <w:r>
              <w:rPr>
                <w:color w:val="000000"/>
                <w:sz w:val="24"/>
              </w:rPr>
              <w:t>113582</w:t>
            </w:r>
          </w:p>
        </w:tc>
        <w:tc>
          <w:tcPr>
            <w:vAlign w:val="center"/>
          </w:tcPr>
          <w:p>
            <w:pPr>
              <w:jc w:val="center"/>
            </w:pPr>
            <w:r>
              <w:rPr>
                <w:color w:val="000000"/>
                <w:sz w:val="24"/>
              </w:rPr>
              <w:t>火炬转债</w:t>
            </w:r>
          </w:p>
        </w:tc>
        <w:tc>
          <w:tcPr>
            <w:vAlign w:val="center"/>
          </w:tcPr>
          <w:p>
            <w:pPr>
              <w:jc w:val="right"/>
            </w:pPr>
            <w:r>
              <w:rPr>
                <w:color w:val="000000"/>
                <w:sz w:val="24"/>
              </w:rPr>
              <w:t>1,510</w:t>
            </w:r>
          </w:p>
        </w:tc>
        <w:tc>
          <w:tcPr>
            <w:vAlign w:val="center"/>
          </w:tcPr>
          <w:p>
            <w:pPr>
              <w:jc w:val="right"/>
            </w:pPr>
            <w:r>
              <w:rPr>
                <w:color w:val="000000"/>
                <w:sz w:val="24"/>
              </w:rPr>
              <w:t>269,293.40</w:t>
            </w:r>
          </w:p>
        </w:tc>
        <w:tc>
          <w:tcPr>
            <w:vAlign w:val="center"/>
          </w:tcPr>
          <w:p>
            <w:pPr>
              <w:jc w:val="right"/>
            </w:pPr>
            <w:r>
              <w:rPr>
                <w:color w:val="000000"/>
                <w:sz w:val="24"/>
              </w:rPr>
              <w:t>3.34</w:t>
            </w:r>
          </w:p>
        </w:tc>
      </w:tr>
      <w:tr>
        <w:tc>
          <w:tcPr>
            <w:vAlign w:val="center"/>
          </w:tcPr>
          <w:p>
            <w:pPr>
              <w:jc w:val="center"/>
            </w:pPr>
            <w:r>
              <w:rPr>
                <w:color w:val="000000"/>
                <w:sz w:val="24"/>
              </w:rPr>
              <w:t>5</w:t>
            </w:r>
          </w:p>
        </w:tc>
        <w:tc>
          <w:tcPr>
            <w:vAlign w:val="center"/>
          </w:tcPr>
          <w:p>
            <w:pPr>
              <w:jc w:val="center"/>
            </w:pPr>
            <w:r>
              <w:rPr>
                <w:color w:val="000000"/>
                <w:sz w:val="24"/>
              </w:rPr>
              <w:t>128112</w:t>
            </w:r>
          </w:p>
        </w:tc>
        <w:tc>
          <w:tcPr>
            <w:vAlign w:val="center"/>
          </w:tcPr>
          <w:p>
            <w:pPr>
              <w:jc w:val="center"/>
            </w:pPr>
            <w:r>
              <w:rPr>
                <w:color w:val="000000"/>
                <w:sz w:val="24"/>
              </w:rPr>
              <w:t>歌尔转2</w:t>
            </w:r>
          </w:p>
        </w:tc>
        <w:tc>
          <w:tcPr>
            <w:vAlign w:val="center"/>
          </w:tcPr>
          <w:p>
            <w:pPr>
              <w:jc w:val="right"/>
            </w:pPr>
            <w:r>
              <w:rPr>
                <w:color w:val="000000"/>
                <w:sz w:val="24"/>
              </w:rPr>
              <w:t>1,430</w:t>
            </w:r>
          </w:p>
        </w:tc>
        <w:tc>
          <w:tcPr>
            <w:vAlign w:val="center"/>
          </w:tcPr>
          <w:p>
            <w:pPr>
              <w:jc w:val="right"/>
            </w:pPr>
            <w:r>
              <w:rPr>
                <w:color w:val="000000"/>
                <w:sz w:val="24"/>
              </w:rPr>
              <w:t>252,109.00</w:t>
            </w:r>
          </w:p>
        </w:tc>
        <w:tc>
          <w:tcPr>
            <w:vAlign w:val="center"/>
          </w:tcPr>
          <w:p>
            <w:pPr>
              <w:jc w:val="right"/>
            </w:pPr>
            <w:r>
              <w:rPr>
                <w:color w:val="000000"/>
                <w:sz w:val="24"/>
              </w:rPr>
              <w:t>3.13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16,792.02</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60,887.93</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4,304.66</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81,984.61</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9765C1" w:rsidR="009765C1" w:rsidRDefault="009765C1" w:rsidRPr="007F52FA">
      <w:pPr>
        <w:autoSpaceDE w:val="0"/>
        <w:autoSpaceDN w:val="0"/>
        <w:adjustRightInd w:val="0"/>
        <w:spacing w:before="29" w:line="288" w:lineRule="auto"/>
        <w:jc w:val="right"/>
        <w:rPr>
          <w:kern w:val="0"/>
          <w:sz w:val="24"/>
        </w:rPr>
      </w:pPr>
      <w:r w:rsidRPr="009765C1">
        <w:rPr>
          <w:rFonts w:hint="eastAsia"/>
          <w:kern w:val="0"/>
          <w:sz w:val="24"/>
        </w:rPr>
        <w:t/>
      </w:r>
      <w:r w:rsidRPr="009765C1">
        <w:rPr>
          <w:rFonts w:hint="eastAsia"/>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162"/>
        <w:gridCol w:w="2639"/>
        <w:gridCol w:w="1813"/>
        <w:gridCol w:w="1783"/>
        <w:gridCol w:w="1845"/>
      </w:tblGrid>
      <w:tr w:rsidR="001D5CD0" w:rsidRPr="007F52FA" w:rsidTr="00837861">
        <w:trPr>
          <w:jc w:val="center"/>
        </w:trPr>
        <w:tc>
          <w:tcPr>
            <w:tcW w:type="dxa" w:w="944"/>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2568"/>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type="dxa" w:w="166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type="dxa" w:w="172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type="dxa" w:w="1609"/>
            <w:vAlign w:val="center"/>
          </w:tcPr>
          <w:p w:rsidP="007C14DF" w:rsidR="001D5CD0" w:rsidRDefault="001D5CD0" w:rsidRPr="007F52FA">
            <w:pPr>
              <w:spacing w:before="29" w:line="288" w:lineRule="auto"/>
              <w:ind w:left="17"/>
              <w:jc w:val="center"/>
              <w:rPr>
                <w:rFonts w:eastAsiaTheme="minorEastAsia"/>
                <w:color w:val="000000"/>
                <w:sz w:val="24"/>
              </w:rPr>
            </w:pPr>
            <w:bookmarkStart w:id="2" w:name="_GoBack"/>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bookmarkEnd w:id="2"/>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110065</w:t>
            </w:r>
          </w:p>
        </w:tc>
        <w:tc>
          <w:tcPr>
            <w:vAlign w:val="center"/>
          </w:tcPr>
          <w:p>
            <w:pPr>
              <w:jc w:val="center"/>
            </w:pPr>
            <w:r>
              <w:rPr>
                <w:rFonts w:eastAsiaTheme="minorEastAsia"/>
                <w:color w:val="000000"/>
                <w:sz w:val="24"/>
              </w:rPr>
              <w:t>淮矿转债</w:t>
            </w:r>
          </w:p>
        </w:tc>
        <w:tc>
          <w:tcPr>
            <w:vAlign w:val="center"/>
          </w:tcPr>
          <w:p>
            <w:pPr>
              <w:jc w:val="right"/>
            </w:pPr>
            <w:r>
              <w:rPr>
                <w:rFonts w:eastAsiaTheme="minorEastAsia"/>
                <w:color w:val="000000"/>
                <w:sz w:val="24"/>
              </w:rPr>
              <w:t>239,168.00</w:t>
            </w:r>
          </w:p>
        </w:tc>
        <w:tc>
          <w:tcPr>
            <w:vAlign w:val="center"/>
          </w:tcPr>
          <w:p>
            <w:pPr>
              <w:jc w:val="right"/>
            </w:pPr>
            <w:r>
              <w:rPr>
                <w:rFonts w:eastAsiaTheme="minorEastAsia"/>
                <w:color w:val="000000"/>
                <w:sz w:val="24"/>
              </w:rPr>
              <w:t>2.97</w:t>
            </w:r>
          </w:p>
        </w:tc>
      </w:tr>
      <w:tr>
        <w:tc>
          <w:tcPr>
            <w:vAlign w:val="center"/>
          </w:tcPr>
          <w:p>
            <w:pPr>
              <w:jc w:val="center"/>
            </w:pPr>
            <w:r>
              <w:rPr>
                <w:rFonts w:eastAsiaTheme="minorEastAsia"/>
                <w:color w:val="000000"/>
                <w:sz w:val="24"/>
              </w:rPr>
              <w:t>2</w:t>
            </w:r>
          </w:p>
        </w:tc>
        <w:tc>
          <w:tcPr>
            <w:vAlign w:val="center"/>
          </w:tcPr>
          <w:p>
            <w:pPr>
              <w:jc w:val="center"/>
            </w:pPr>
            <w:r>
              <w:rPr>
                <w:rFonts w:eastAsiaTheme="minorEastAsia"/>
                <w:color w:val="000000"/>
                <w:sz w:val="24"/>
              </w:rPr>
              <w:t>123027</w:t>
            </w:r>
          </w:p>
        </w:tc>
        <w:tc>
          <w:tcPr>
            <w:vAlign w:val="center"/>
          </w:tcPr>
          <w:p>
            <w:pPr>
              <w:jc w:val="center"/>
            </w:pPr>
            <w:r>
              <w:rPr>
                <w:rFonts w:eastAsiaTheme="minorEastAsia"/>
                <w:color w:val="000000"/>
                <w:sz w:val="24"/>
              </w:rPr>
              <w:t>蓝晓转债</w:t>
            </w:r>
          </w:p>
        </w:tc>
        <w:tc>
          <w:tcPr>
            <w:vAlign w:val="center"/>
          </w:tcPr>
          <w:p>
            <w:pPr>
              <w:jc w:val="right"/>
            </w:pPr>
            <w:r>
              <w:rPr>
                <w:rFonts w:eastAsiaTheme="minorEastAsia"/>
                <w:color w:val="000000"/>
                <w:sz w:val="24"/>
              </w:rPr>
              <w:t>230,365.80</w:t>
            </w:r>
          </w:p>
        </w:tc>
        <w:tc>
          <w:tcPr>
            <w:vAlign w:val="center"/>
          </w:tcPr>
          <w:p>
            <w:pPr>
              <w:jc w:val="right"/>
            </w:pPr>
            <w:r>
              <w:rPr>
                <w:rFonts w:eastAsiaTheme="minorEastAsia"/>
                <w:color w:val="000000"/>
                <w:sz w:val="24"/>
              </w:rPr>
              <w:t>2.86</w:t>
            </w:r>
          </w:p>
        </w:tc>
      </w:tr>
      <w:tr>
        <w:tc>
          <w:tcPr>
            <w:vAlign w:val="center"/>
          </w:tcPr>
          <w:p>
            <w:pPr>
              <w:jc w:val="center"/>
            </w:pPr>
            <w:r>
              <w:rPr>
                <w:rFonts w:eastAsiaTheme="minorEastAsia"/>
                <w:color w:val="000000"/>
                <w:sz w:val="24"/>
              </w:rPr>
              <w:t>3</w:t>
            </w:r>
          </w:p>
        </w:tc>
        <w:tc>
          <w:tcPr>
            <w:vAlign w:val="center"/>
          </w:tcPr>
          <w:p>
            <w:pPr>
              <w:jc w:val="center"/>
            </w:pPr>
            <w:r>
              <w:rPr>
                <w:rFonts w:eastAsiaTheme="minorEastAsia"/>
                <w:color w:val="000000"/>
                <w:sz w:val="24"/>
              </w:rPr>
              <w:t>123046</w:t>
            </w:r>
          </w:p>
        </w:tc>
        <w:tc>
          <w:tcPr>
            <w:vAlign w:val="center"/>
          </w:tcPr>
          <w:p>
            <w:pPr>
              <w:jc w:val="center"/>
            </w:pPr>
            <w:r>
              <w:rPr>
                <w:rFonts w:eastAsiaTheme="minorEastAsia"/>
                <w:color w:val="000000"/>
                <w:sz w:val="24"/>
              </w:rPr>
              <w:t>天铁转债</w:t>
            </w:r>
          </w:p>
        </w:tc>
        <w:tc>
          <w:tcPr>
            <w:vAlign w:val="center"/>
          </w:tcPr>
          <w:p>
            <w:pPr>
              <w:jc w:val="right"/>
            </w:pPr>
            <w:r>
              <w:rPr>
                <w:rFonts w:eastAsiaTheme="minorEastAsia"/>
                <w:color w:val="000000"/>
                <w:sz w:val="24"/>
              </w:rPr>
              <w:t>186,085.90</w:t>
            </w:r>
          </w:p>
        </w:tc>
        <w:tc>
          <w:tcPr>
            <w:vAlign w:val="center"/>
          </w:tcPr>
          <w:p>
            <w:pPr>
              <w:jc w:val="right"/>
            </w:pPr>
            <w:r>
              <w:rPr>
                <w:rFonts w:eastAsiaTheme="minorEastAsia"/>
                <w:color w:val="000000"/>
                <w:sz w:val="24"/>
              </w:rPr>
              <w:t>2.31</w:t>
            </w:r>
          </w:p>
        </w:tc>
      </w:tr>
      <w:tr>
        <w:tc>
          <w:tcPr>
            <w:vAlign w:val="center"/>
          </w:tcPr>
          <w:p>
            <w:pPr>
              <w:jc w:val="center"/>
            </w:pPr>
            <w:r>
              <w:rPr>
                <w:rFonts w:eastAsiaTheme="minorEastAsia"/>
                <w:color w:val="000000"/>
                <w:sz w:val="24"/>
              </w:rPr>
              <w:t>4</w:t>
            </w:r>
          </w:p>
        </w:tc>
        <w:tc>
          <w:tcPr>
            <w:vAlign w:val="center"/>
          </w:tcPr>
          <w:p>
            <w:pPr>
              <w:jc w:val="center"/>
            </w:pPr>
            <w:r>
              <w:rPr>
                <w:rFonts w:eastAsiaTheme="minorEastAsia"/>
                <w:color w:val="000000"/>
                <w:sz w:val="24"/>
              </w:rPr>
              <w:t>113543</w:t>
            </w:r>
          </w:p>
        </w:tc>
        <w:tc>
          <w:tcPr>
            <w:vAlign w:val="center"/>
          </w:tcPr>
          <w:p>
            <w:pPr>
              <w:jc w:val="center"/>
            </w:pPr>
            <w:r>
              <w:rPr>
                <w:rFonts w:eastAsiaTheme="minorEastAsia"/>
                <w:color w:val="000000"/>
                <w:sz w:val="24"/>
              </w:rPr>
              <w:t>欧派转债</w:t>
            </w:r>
          </w:p>
        </w:tc>
        <w:tc>
          <w:tcPr>
            <w:vAlign w:val="center"/>
          </w:tcPr>
          <w:p>
            <w:pPr>
              <w:jc w:val="right"/>
            </w:pPr>
            <w:r>
              <w:rPr>
                <w:rFonts w:eastAsiaTheme="minorEastAsia"/>
                <w:color w:val="000000"/>
                <w:sz w:val="24"/>
              </w:rPr>
              <w:t>163,303.80</w:t>
            </w:r>
          </w:p>
        </w:tc>
        <w:tc>
          <w:tcPr>
            <w:vAlign w:val="center"/>
          </w:tcPr>
          <w:p>
            <w:pPr>
              <w:jc w:val="right"/>
            </w:pPr>
            <w:r>
              <w:rPr>
                <w:rFonts w:eastAsiaTheme="minorEastAsia"/>
                <w:color w:val="000000"/>
                <w:sz w:val="24"/>
              </w:rPr>
              <w:t>2.03</w:t>
            </w:r>
          </w:p>
        </w:tc>
      </w:tr>
      <w:tr>
        <w:tc>
          <w:tcPr>
            <w:vAlign w:val="center"/>
          </w:tcPr>
          <w:p>
            <w:pPr>
              <w:jc w:val="center"/>
            </w:pPr>
            <w:r>
              <w:rPr>
                <w:rFonts w:eastAsiaTheme="minorEastAsia"/>
                <w:color w:val="000000"/>
                <w:sz w:val="24"/>
              </w:rPr>
              <w:t>5</w:t>
            </w:r>
          </w:p>
        </w:tc>
        <w:tc>
          <w:tcPr>
            <w:vAlign w:val="center"/>
          </w:tcPr>
          <w:p>
            <w:pPr>
              <w:jc w:val="center"/>
            </w:pPr>
            <w:r>
              <w:rPr>
                <w:rFonts w:eastAsiaTheme="minorEastAsia"/>
                <w:color w:val="000000"/>
                <w:sz w:val="24"/>
              </w:rPr>
              <w:t>132005</w:t>
            </w:r>
          </w:p>
        </w:tc>
        <w:tc>
          <w:tcPr>
            <w:vAlign w:val="center"/>
          </w:tcPr>
          <w:p>
            <w:pPr>
              <w:jc w:val="center"/>
            </w:pPr>
            <w:r>
              <w:rPr>
                <w:rFonts w:eastAsiaTheme="minorEastAsia"/>
                <w:color w:val="000000"/>
                <w:sz w:val="24"/>
              </w:rPr>
              <w:t>15国资EB</w:t>
            </w:r>
          </w:p>
        </w:tc>
        <w:tc>
          <w:tcPr>
            <w:vAlign w:val="center"/>
          </w:tcPr>
          <w:p>
            <w:pPr>
              <w:jc w:val="right"/>
            </w:pPr>
            <w:r>
              <w:rPr>
                <w:rFonts w:eastAsiaTheme="minorEastAsia"/>
                <w:color w:val="000000"/>
                <w:sz w:val="24"/>
              </w:rPr>
              <w:t>659,505.50</w:t>
            </w:r>
          </w:p>
        </w:tc>
        <w:tc>
          <w:tcPr>
            <w:vAlign w:val="center"/>
          </w:tcPr>
          <w:p>
            <w:pPr>
              <w:jc w:val="right"/>
            </w:pPr>
            <w:r>
              <w:rPr>
                <w:rFonts w:eastAsiaTheme="minorEastAsia"/>
                <w:color w:val="000000"/>
                <w:sz w:val="24"/>
              </w:rPr>
              <w:t>8.18</w:t>
            </w:r>
          </w:p>
        </w:tc>
      </w:tr>
    </w:tbl>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交银强化回报债券A/B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交银强化回报债券C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7,202,885.67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2,059,392.01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1,028,860.96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1,352,356.38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3,338,622.45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840,974.62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4,893,124.18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2,570,773.77</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1、中国证监会准予交银施罗德强化回报债券型证券投资基金募集注册的文件；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2、《交银施罗德强化回报债券型证券投资基金基金合同》；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3、《交银施罗德强化回报债券型证券投资基金招募说明书》；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4、《交银施罗德强化回报债券型证券投资基金托管协议》；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5、关于募集交银施罗德强化回报债券型证券投资基金之法律意见书；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8、报告期内交银施罗德强化回报债券型证券投资基金在指定报刊上各项公告的原稿。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00E04">
      <w:rPr>
        <w:noProof/>
        <w:kern w:val="0"/>
        <w:szCs w:val="21"/>
      </w:rPr>
      <w:t>20</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00E04">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86B1A" w:rsidRDefault="00B86B1A">
      <w:r>
        <w:separator/>
      </w:r>
    </w:p>
  </w:footnote>
  <w:footnote w:id="0" w:type="continuationSeparator">
    <w:p w:rsidR="00B86B1A" w:rsidRDefault="00B86B1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交银施罗德强化回报债券型证券投资基金2020年第3季度报告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8FC-C285-488F-ADBD-197F096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241</TotalTime>
  <Pages>1</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2020-03-05T08:02:00Z</dcterms:modified>
  <cp:revision>404</cp:revision>
</cp:coreProperties>
</file>