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交银施罗德主题优选灵活配置混合型证券投资基金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2020年第3季度报告</w:t>
      </w:r>
    </w:p>
    <w:p w:rsidP="00C15CAC" w:rsidR="004061AC" w:rsidRDefault="00655CD8" w:rsidRPr="0081286B">
      <w:pPr>
        <w:spacing w:before="29" w:line="288" w:lineRule="auto"/>
        <w:jc w:val="center"/>
        <w:rPr>
          <w:b/>
          <w:sz w:val="36"/>
          <w:szCs w:val="36"/>
        </w:rPr>
      </w:pPr>
      <w:r w:rsidRPr="0081286B">
        <w:rPr>
          <w:b/>
          <w:sz w:val="36"/>
          <w:szCs w:val="36"/>
        </w:rPr>
        <w:t>2020年9月30日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二〇二〇年十月二十八日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2010年6月30日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1,599,553,005.13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(2020年7月1日-2020年9月30日)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464,797,960.91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450,876,299.71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0.2928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3,069,931,774.01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1.919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16.21%</w:t>
            </w:r>
          </w:p>
        </w:tc>
        <w:tc>
          <w:tcPr>
            <w:vAlign w:val="center"/>
          </w:tcPr>
          <w:p>
            <w:pPr>
              <w:jc w:val="center"/>
            </w:pPr>
            <w:r>
              <w:rPr>
                <w:color w:val="000000"/>
                <w:sz w:val="24"/>
                <w:szCs w:val="24"/>
              </w:rPr>
              <w:t>1.28%</w:t>
            </w:r>
          </w:p>
        </w:tc>
        <w:tc>
          <w:tcPr>
            <w:vAlign w:val="center"/>
          </w:tcPr>
          <w:p>
            <w:pPr>
              <w:jc w:val="center"/>
            </w:pPr>
            <w:r>
              <w:rPr>
                <w:color w:val="000000"/>
                <w:sz w:val="24"/>
                <w:szCs w:val="24"/>
              </w:rPr>
              <w:t>5.96%</w:t>
            </w:r>
          </w:p>
        </w:tc>
        <w:tc>
          <w:tcPr>
            <w:vAlign w:val="center"/>
          </w:tcPr>
          <w:p>
            <w:pPr>
              <w:jc w:val="center"/>
            </w:pPr>
            <w:r>
              <w:rPr>
                <w:color w:val="000000"/>
                <w:sz w:val="24"/>
                <w:szCs w:val="24"/>
              </w:rPr>
              <w:t>0.96%</w:t>
            </w:r>
          </w:p>
        </w:tc>
        <w:tc>
          <w:tcPr>
            <w:vAlign w:val="center"/>
          </w:tcPr>
          <w:p>
            <w:pPr>
              <w:jc w:val="center"/>
            </w:pPr>
            <w:r>
              <w:rPr>
                <w:color w:val="000000"/>
                <w:sz w:val="24"/>
                <w:szCs w:val="24"/>
              </w:rPr>
              <w:t>10.25%</w:t>
            </w:r>
          </w:p>
        </w:tc>
        <w:tc>
          <w:tcPr>
            <w:vAlign w:val="center"/>
          </w:tcPr>
          <w:p>
            <w:pPr>
              <w:jc w:val="center"/>
            </w:pPr>
            <w:r>
              <w:rPr>
                <w:color w:val="000000"/>
                <w:sz w:val="24"/>
                <w:szCs w:val="24"/>
              </w:rPr>
              <w:t>0.32%</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28.08%</w:t>
            </w:r>
          </w:p>
        </w:tc>
        <w:tc>
          <w:tcPr>
            <w:vAlign w:val="center"/>
          </w:tcPr>
          <w:p>
            <w:pPr>
              <w:jc w:val="center"/>
            </w:pPr>
            <w:r>
              <w:rPr>
                <w:color w:val="000000"/>
                <w:sz w:val="24"/>
                <w:szCs w:val="24"/>
              </w:rPr>
              <w:t>1.07%</w:t>
            </w:r>
          </w:p>
        </w:tc>
        <w:tc>
          <w:tcPr>
            <w:vAlign w:val="center"/>
          </w:tcPr>
          <w:p>
            <w:pPr>
              <w:jc w:val="center"/>
            </w:pPr>
            <w:r>
              <w:rPr>
                <w:color w:val="000000"/>
                <w:sz w:val="24"/>
                <w:szCs w:val="24"/>
              </w:rPr>
              <w:t>13.95%</w:t>
            </w:r>
          </w:p>
        </w:tc>
        <w:tc>
          <w:tcPr>
            <w:vAlign w:val="center"/>
          </w:tcPr>
          <w:p>
            <w:pPr>
              <w:jc w:val="center"/>
            </w:pPr>
            <w:r>
              <w:rPr>
                <w:color w:val="000000"/>
                <w:sz w:val="24"/>
                <w:szCs w:val="24"/>
              </w:rPr>
              <w:t>0.79%</w:t>
            </w:r>
          </w:p>
        </w:tc>
        <w:tc>
          <w:tcPr>
            <w:vAlign w:val="center"/>
          </w:tcPr>
          <w:p>
            <w:pPr>
              <w:jc w:val="center"/>
            </w:pPr>
            <w:r>
              <w:rPr>
                <w:color w:val="000000"/>
                <w:sz w:val="24"/>
                <w:szCs w:val="24"/>
              </w:rPr>
              <w:t>14.13%</w:t>
            </w:r>
          </w:p>
        </w:tc>
        <w:tc>
          <w:tcPr>
            <w:vAlign w:val="center"/>
          </w:tcPr>
          <w:p>
            <w:pPr>
              <w:jc w:val="center"/>
            </w:pPr>
            <w:r>
              <w:rPr>
                <w:color w:val="000000"/>
                <w:sz w:val="24"/>
                <w:szCs w:val="24"/>
              </w:rPr>
              <w:t>0.28%</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47.87%</w:t>
            </w:r>
          </w:p>
        </w:tc>
        <w:tc>
          <w:tcPr>
            <w:vAlign w:val="center"/>
          </w:tcPr>
          <w:p>
            <w:pPr>
              <w:jc w:val="center"/>
            </w:pPr>
            <w:r>
              <w:rPr>
                <w:color w:val="000000"/>
                <w:sz w:val="24"/>
                <w:szCs w:val="24"/>
              </w:rPr>
              <w:t>1.16%</w:t>
            </w:r>
          </w:p>
        </w:tc>
        <w:tc>
          <w:tcPr>
            <w:vAlign w:val="center"/>
          </w:tcPr>
          <w:p>
            <w:pPr>
              <w:jc w:val="center"/>
            </w:pPr>
            <w:r>
              <w:rPr>
                <w:color w:val="000000"/>
                <w:sz w:val="24"/>
                <w:szCs w:val="24"/>
              </w:rPr>
              <w:t>13.70%</w:t>
            </w:r>
          </w:p>
        </w:tc>
        <w:tc>
          <w:tcPr>
            <w:vAlign w:val="center"/>
          </w:tcPr>
          <w:p>
            <w:pPr>
              <w:jc w:val="center"/>
            </w:pPr>
            <w:r>
              <w:rPr>
                <w:color w:val="000000"/>
                <w:sz w:val="24"/>
                <w:szCs w:val="24"/>
              </w:rPr>
              <w:t>0.83%</w:t>
            </w:r>
          </w:p>
        </w:tc>
        <w:tc>
          <w:tcPr>
            <w:vAlign w:val="center"/>
          </w:tcPr>
          <w:p>
            <w:pPr>
              <w:jc w:val="center"/>
            </w:pPr>
            <w:r>
              <w:rPr>
                <w:color w:val="000000"/>
                <w:sz w:val="24"/>
                <w:szCs w:val="24"/>
              </w:rPr>
              <w:t>34.17%</w:t>
            </w:r>
          </w:p>
        </w:tc>
        <w:tc>
          <w:tcPr>
            <w:vAlign w:val="center"/>
          </w:tcPr>
          <w:p>
            <w:pPr>
              <w:jc w:val="center"/>
            </w:pPr>
            <w:r>
              <w:rPr>
                <w:color w:val="000000"/>
                <w:sz w:val="24"/>
                <w:szCs w:val="24"/>
              </w:rPr>
              <w:t>0.33%</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88.73%</w:t>
            </w:r>
          </w:p>
        </w:tc>
        <w:tc>
          <w:tcPr>
            <w:vAlign w:val="center"/>
          </w:tcPr>
          <w:p>
            <w:pPr>
              <w:jc w:val="center"/>
            </w:pPr>
            <w:r>
              <w:rPr>
                <w:color w:val="000000"/>
                <w:sz w:val="24"/>
                <w:szCs w:val="24"/>
              </w:rPr>
              <w:t>1.16%</w:t>
            </w:r>
          </w:p>
        </w:tc>
        <w:tc>
          <w:tcPr>
            <w:vAlign w:val="center"/>
          </w:tcPr>
          <w:p>
            <w:pPr>
              <w:jc w:val="center"/>
            </w:pPr>
            <w:r>
              <w:rPr>
                <w:color w:val="000000"/>
                <w:sz w:val="24"/>
                <w:szCs w:val="24"/>
              </w:rPr>
              <w:t>19.47%</w:t>
            </w:r>
          </w:p>
        </w:tc>
        <w:tc>
          <w:tcPr>
            <w:vAlign w:val="center"/>
          </w:tcPr>
          <w:p>
            <w:pPr>
              <w:jc w:val="center"/>
            </w:pPr>
            <w:r>
              <w:rPr>
                <w:color w:val="000000"/>
                <w:sz w:val="24"/>
                <w:szCs w:val="24"/>
              </w:rPr>
              <w:t>0.79%</w:t>
            </w:r>
          </w:p>
        </w:tc>
        <w:tc>
          <w:tcPr>
            <w:vAlign w:val="center"/>
          </w:tcPr>
          <w:p>
            <w:pPr>
              <w:jc w:val="center"/>
            </w:pPr>
            <w:r>
              <w:rPr>
                <w:color w:val="000000"/>
                <w:sz w:val="24"/>
                <w:szCs w:val="24"/>
              </w:rPr>
              <w:t>69.26%</w:t>
            </w:r>
          </w:p>
        </w:tc>
        <w:tc>
          <w:tcPr>
            <w:vAlign w:val="center"/>
          </w:tcPr>
          <w:p>
            <w:pPr>
              <w:jc w:val="center"/>
            </w:pPr>
            <w:r>
              <w:rPr>
                <w:color w:val="000000"/>
                <w:sz w:val="24"/>
                <w:szCs w:val="24"/>
              </w:rPr>
              <w:t>0.37%</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167.91%</w:t>
            </w:r>
          </w:p>
        </w:tc>
        <w:tc>
          <w:tcPr>
            <w:vAlign w:val="center"/>
          </w:tcPr>
          <w:p>
            <w:pPr>
              <w:jc w:val="center"/>
            </w:pPr>
            <w:r>
              <w:rPr>
                <w:color w:val="000000"/>
                <w:sz w:val="24"/>
                <w:szCs w:val="24"/>
              </w:rPr>
              <w:t>1.22%</w:t>
            </w:r>
          </w:p>
        </w:tc>
        <w:tc>
          <w:tcPr>
            <w:vAlign w:val="center"/>
          </w:tcPr>
          <w:p>
            <w:pPr>
              <w:jc w:val="center"/>
            </w:pPr>
            <w:r>
              <w:rPr>
                <w:color w:val="000000"/>
                <w:sz w:val="24"/>
                <w:szCs w:val="24"/>
              </w:rPr>
              <w:t>37.13%</w:t>
            </w:r>
          </w:p>
        </w:tc>
        <w:tc>
          <w:tcPr>
            <w:vAlign w:val="center"/>
          </w:tcPr>
          <w:p>
            <w:pPr>
              <w:jc w:val="center"/>
            </w:pPr>
            <w:r>
              <w:rPr>
                <w:color w:val="000000"/>
                <w:sz w:val="24"/>
                <w:szCs w:val="24"/>
              </w:rPr>
              <w:t>0.77%</w:t>
            </w:r>
          </w:p>
        </w:tc>
        <w:tc>
          <w:tcPr>
            <w:vAlign w:val="center"/>
          </w:tcPr>
          <w:p>
            <w:pPr>
              <w:jc w:val="center"/>
            </w:pPr>
            <w:r>
              <w:rPr>
                <w:color w:val="000000"/>
                <w:sz w:val="24"/>
                <w:szCs w:val="24"/>
              </w:rPr>
              <w:t>130.78%</w:t>
            </w:r>
          </w:p>
        </w:tc>
        <w:tc>
          <w:tcPr>
            <w:vAlign w:val="center"/>
          </w:tcPr>
          <w:p>
            <w:pPr>
              <w:jc w:val="center"/>
            </w:pPr>
            <w:r>
              <w:rPr>
                <w:color w:val="000000"/>
                <w:sz w:val="24"/>
                <w:szCs w:val="24"/>
              </w:rPr>
              <w:t>0.45%</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307.46%</w:t>
            </w:r>
          </w:p>
        </w:tc>
        <w:tc>
          <w:tcPr>
            <w:vAlign w:val="center"/>
          </w:tcPr>
          <w:p>
            <w:pPr>
              <w:jc w:val="center"/>
            </w:pPr>
            <w:r>
              <w:rPr>
                <w:color w:val="000000"/>
                <w:sz w:val="24"/>
                <w:szCs w:val="24"/>
              </w:rPr>
              <w:t>1.37%</w:t>
            </w:r>
          </w:p>
        </w:tc>
        <w:tc>
          <w:tcPr>
            <w:vAlign w:val="center"/>
          </w:tcPr>
          <w:p>
            <w:pPr>
              <w:jc w:val="center"/>
            </w:pPr>
            <w:r>
              <w:rPr>
                <w:color w:val="000000"/>
                <w:sz w:val="24"/>
                <w:szCs w:val="24"/>
              </w:rPr>
              <w:t>76.17%</w:t>
            </w:r>
          </w:p>
        </w:tc>
        <w:tc>
          <w:tcPr>
            <w:vAlign w:val="center"/>
          </w:tcPr>
          <w:p>
            <w:pPr>
              <w:jc w:val="center"/>
            </w:pPr>
            <w:r>
              <w:rPr>
                <w:color w:val="000000"/>
                <w:sz w:val="24"/>
                <w:szCs w:val="24"/>
              </w:rPr>
              <w:t>0.87%</w:t>
            </w:r>
          </w:p>
        </w:tc>
        <w:tc>
          <w:tcPr>
            <w:vAlign w:val="center"/>
          </w:tcPr>
          <w:p>
            <w:pPr>
              <w:jc w:val="center"/>
            </w:pPr>
            <w:r>
              <w:rPr>
                <w:color w:val="000000"/>
                <w:sz w:val="24"/>
                <w:szCs w:val="24"/>
              </w:rPr>
              <w:t>231.29%</w:t>
            </w:r>
          </w:p>
        </w:tc>
        <w:tc>
          <w:tcPr>
            <w:vAlign w:val="center"/>
          </w:tcPr>
          <w:p>
            <w:pPr>
              <w:jc w:val="center"/>
            </w:pPr>
            <w:r>
              <w:rPr>
                <w:color w:val="000000"/>
                <w:sz w:val="24"/>
                <w:szCs w:val="24"/>
              </w:rPr>
              <w:t>0.50%</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收益率+40%×中信标普全债指数收益率”变更为“60%×沪深300指数收益率+40%×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交银施罗德主题优选灵活配置混合型证券投资基金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2010年6月30日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沈楠</w:t>
            </w:r>
          </w:p>
        </w:tc>
        <w:tc>
          <w:tcPr>
            <w:vAlign w:val="center"/>
          </w:tcPr>
          <w:p>
            <w:pPr>
              <w:jc w:val="center"/>
            </w:pPr>
            <w:r>
              <w:rPr>
                <w:color w:val="000000"/>
                <w:sz w:val="24"/>
                <w:szCs w:val="24"/>
              </w:rPr>
              <w:t>交银主题优选混合、交银国企改革灵活配置混合、交银瑞思混合的基金经理</w:t>
            </w:r>
          </w:p>
        </w:tc>
        <w:tc>
          <w:tcPr>
            <w:vAlign w:val="center"/>
          </w:tcPr>
          <w:p>
            <w:pPr>
              <w:jc w:val="center"/>
            </w:pPr>
            <w:r>
              <w:rPr>
                <w:color w:val="000000"/>
                <w:sz w:val="24"/>
                <w:szCs w:val="24"/>
              </w:rPr>
              <w:t>2015-05-05</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沈楠先生，复旦大学硕士。历任长江证券高级分析师，2011年加入交银施罗德基金管理有限公司，历任行业分析师、基金经理助理。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 xml:space="preserve">2020年三季度，受全球新冠疫情继续扩散和反复的影响，欧美实体经济在供给和需求层面均受到持续影响。国内疫情控制较好，反而受益全球相对宽松的货币政策和财政措施，对外出口形成一定拉动。我们认为国内政策在未来一段时间将逐渐回归常态，但伴随实体经济的复苏，市场有望继续呈现较强的结构性行情。 </w:t>
      </w:r>
    </w:p>
    <w:p>
      <w:pPr>
        <w:spacing w:before="29" w:line="288" w:lineRule="auto"/>
        <w:ind w:firstLine="480" w:firstLineChars="200"/>
        <w:rPr>
          <w:color w:val="000000"/>
          <w:sz w:val="24"/>
          <w:szCs w:val="24"/>
        </w:rPr>
      </w:pPr>
      <w:r>
        <w:rPr>
          <w:color w:val="000000"/>
          <w:sz w:val="24"/>
          <w:szCs w:val="24"/>
        </w:rPr>
        <w:t>报告期内，本基金整体维持中性偏高仓位，行业配置主要集中在金融地产及相关产业链、先进制造及国产替代产业链、食品农业、计算机传媒等行业。</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四季度，我们认为如果新冠疫情在全球得到有效控制，那无需对海外股市过分悲观，这对国内市场也将带来积极意义。伴随科创板及创业板中更多优质资产登陆资本市场，上市企业的分化会加大，拥有较好现金流以及商业壁垒的平台型企业是我们看好的主要方向，同时积极关注受益外需回暖的领域和上市企业。中长期来看，组合仍将聚焦受益于进口替代的高端制造业，受益于技术升级的计算机、传媒、通信电子等行业以及受益内循环的食品、医药等必须消费品，同时关注低估值蓝筹的修复性机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2,425,284,629.35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78.05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2,425,284,629.35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78.05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255,430,892.77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255,430,892.77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408,619,608.21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13.15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18,114,077.60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0.58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3,107,449,207.93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102,153,924.65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3.33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27,675,000.00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0.90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1,014,803,971.65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73,545,818.88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13,029.12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28,264.03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329,843,381.90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10.74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33,048,365.85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1.08</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227,598,127.37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182,031,130.65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305,319,577.59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9.95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180,995.16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40,255,458.36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41,730,000.00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47,057,584.14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2,425,284,629.35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79.00</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2,590,500</w:t>
            </w:r>
          </w:p>
        </w:tc>
        <w:tc>
          <w:tcPr>
            <w:vAlign w:val="center"/>
          </w:tcPr>
          <w:p>
            <w:pPr>
              <w:jc w:val="right"/>
            </w:pPr>
            <w:r>
              <w:rPr>
                <w:color w:val="000000"/>
                <w:sz w:val="24"/>
                <w:szCs w:val="24"/>
              </w:rPr>
              <w:t>210,348,600.00</w:t>
            </w:r>
          </w:p>
        </w:tc>
        <w:tc>
          <w:tcPr>
            <w:vAlign w:val="center"/>
          </w:tcPr>
          <w:p>
            <w:pPr>
              <w:jc w:val="right"/>
            </w:pPr>
            <w:r>
              <w:rPr>
                <w:color w:val="000000"/>
                <w:sz w:val="24"/>
                <w:szCs w:val="24"/>
              </w:rPr>
              <w:t>6.85</w:t>
            </w:r>
          </w:p>
        </w:tc>
      </w:tr>
      <w:tr>
        <w:tc>
          <w:tcPr>
            <w:vAlign w:val="center"/>
          </w:tcPr>
          <w:p>
            <w:pPr>
              <w:jc w:val="center"/>
            </w:pPr>
            <w:r>
              <w:rPr>
                <w:color w:val="000000"/>
                <w:sz w:val="24"/>
                <w:szCs w:val="24"/>
              </w:rPr>
              <w:t>2</w:t>
            </w:r>
          </w:p>
        </w:tc>
        <w:tc>
          <w:tcPr>
            <w:vAlign w:val="center"/>
          </w:tcPr>
          <w:p>
            <w:pPr>
              <w:jc w:val="center"/>
            </w:pPr>
            <w:r>
              <w:rPr>
                <w:color w:val="000000"/>
                <w:sz w:val="24"/>
                <w:szCs w:val="24"/>
              </w:rPr>
              <w:t>600690</w:t>
            </w:r>
          </w:p>
        </w:tc>
        <w:tc>
          <w:tcPr>
            <w:vAlign w:val="center"/>
          </w:tcPr>
          <w:p>
            <w:pPr>
              <w:jc w:val="center"/>
            </w:pPr>
            <w:r>
              <w:rPr>
                <w:color w:val="000000"/>
                <w:sz w:val="24"/>
                <w:szCs w:val="24"/>
              </w:rPr>
              <w:t>海尔智家</w:t>
            </w:r>
          </w:p>
        </w:tc>
        <w:tc>
          <w:tcPr>
            <w:vAlign w:val="center"/>
          </w:tcPr>
          <w:p>
            <w:pPr>
              <w:jc w:val="right"/>
            </w:pPr>
            <w:r>
              <w:rPr>
                <w:color w:val="000000"/>
                <w:sz w:val="24"/>
                <w:szCs w:val="24"/>
              </w:rPr>
              <w:t>4,959,276</w:t>
            </w:r>
          </w:p>
        </w:tc>
        <w:tc>
          <w:tcPr>
            <w:vAlign w:val="center"/>
          </w:tcPr>
          <w:p>
            <w:pPr>
              <w:jc w:val="right"/>
            </w:pPr>
            <w:r>
              <w:rPr>
                <w:color w:val="000000"/>
                <w:sz w:val="24"/>
                <w:szCs w:val="24"/>
              </w:rPr>
              <w:t>108,211,402.32</w:t>
            </w:r>
          </w:p>
        </w:tc>
        <w:tc>
          <w:tcPr>
            <w:vAlign w:val="center"/>
          </w:tcPr>
          <w:p>
            <w:pPr>
              <w:jc w:val="right"/>
            </w:pPr>
            <w:r>
              <w:rPr>
                <w:color w:val="000000"/>
                <w:sz w:val="24"/>
                <w:szCs w:val="24"/>
              </w:rPr>
              <w:t>3.52</w:t>
            </w:r>
          </w:p>
        </w:tc>
      </w:tr>
      <w:tr>
        <w:tc>
          <w:tcPr>
            <w:vAlign w:val="center"/>
          </w:tcPr>
          <w:p>
            <w:pPr>
              <w:jc w:val="center"/>
            </w:pPr>
            <w:r>
              <w:rPr>
                <w:color w:val="000000"/>
                <w:sz w:val="24"/>
                <w:szCs w:val="24"/>
              </w:rPr>
              <w:t>3</w:t>
            </w:r>
          </w:p>
        </w:tc>
        <w:tc>
          <w:tcPr>
            <w:vAlign w:val="center"/>
          </w:tcPr>
          <w:p>
            <w:pPr>
              <w:jc w:val="center"/>
            </w:pPr>
            <w:r>
              <w:rPr>
                <w:color w:val="000000"/>
                <w:sz w:val="24"/>
                <w:szCs w:val="24"/>
              </w:rPr>
              <w:t>600383</w:t>
            </w:r>
          </w:p>
        </w:tc>
        <w:tc>
          <w:tcPr>
            <w:vAlign w:val="center"/>
          </w:tcPr>
          <w:p>
            <w:pPr>
              <w:jc w:val="center"/>
            </w:pPr>
            <w:r>
              <w:rPr>
                <w:color w:val="000000"/>
                <w:sz w:val="24"/>
                <w:szCs w:val="24"/>
              </w:rPr>
              <w:t>金地集团</w:t>
            </w:r>
          </w:p>
        </w:tc>
        <w:tc>
          <w:tcPr>
            <w:vAlign w:val="center"/>
          </w:tcPr>
          <w:p>
            <w:pPr>
              <w:jc w:val="right"/>
            </w:pPr>
            <w:r>
              <w:rPr>
                <w:color w:val="000000"/>
                <w:sz w:val="24"/>
                <w:szCs w:val="24"/>
              </w:rPr>
              <w:t>7,153,779</w:t>
            </w:r>
          </w:p>
        </w:tc>
        <w:tc>
          <w:tcPr>
            <w:vAlign w:val="center"/>
          </w:tcPr>
          <w:p>
            <w:pPr>
              <w:jc w:val="right"/>
            </w:pPr>
            <w:r>
              <w:rPr>
                <w:color w:val="000000"/>
                <w:sz w:val="24"/>
                <w:szCs w:val="24"/>
              </w:rPr>
              <w:t>104,087,484.45</w:t>
            </w:r>
          </w:p>
        </w:tc>
        <w:tc>
          <w:tcPr>
            <w:vAlign w:val="center"/>
          </w:tcPr>
          <w:p>
            <w:pPr>
              <w:jc w:val="right"/>
            </w:pPr>
            <w:r>
              <w:rPr>
                <w:color w:val="000000"/>
                <w:sz w:val="24"/>
                <w:szCs w:val="24"/>
              </w:rPr>
              <w:t>3.39</w:t>
            </w:r>
          </w:p>
        </w:tc>
      </w:tr>
      <w:tr>
        <w:tc>
          <w:tcPr>
            <w:vAlign w:val="center"/>
          </w:tcPr>
          <w:p>
            <w:pPr>
              <w:jc w:val="center"/>
            </w:pPr>
            <w:r>
              <w:rPr>
                <w:color w:val="000000"/>
                <w:sz w:val="24"/>
                <w:szCs w:val="24"/>
              </w:rPr>
              <w:t>4</w:t>
            </w:r>
          </w:p>
        </w:tc>
        <w:tc>
          <w:tcPr>
            <w:vAlign w:val="center"/>
          </w:tcPr>
          <w:p>
            <w:pPr>
              <w:jc w:val="center"/>
            </w:pPr>
            <w:r>
              <w:rPr>
                <w:color w:val="000000"/>
                <w:sz w:val="24"/>
                <w:szCs w:val="24"/>
              </w:rPr>
              <w:t>600030</w:t>
            </w:r>
          </w:p>
        </w:tc>
        <w:tc>
          <w:tcPr>
            <w:vAlign w:val="center"/>
          </w:tcPr>
          <w:p>
            <w:pPr>
              <w:jc w:val="center"/>
            </w:pPr>
            <w:r>
              <w:rPr>
                <w:color w:val="000000"/>
                <w:sz w:val="24"/>
                <w:szCs w:val="24"/>
              </w:rPr>
              <w:t>中信证券</w:t>
            </w:r>
          </w:p>
        </w:tc>
        <w:tc>
          <w:tcPr>
            <w:vAlign w:val="center"/>
          </w:tcPr>
          <w:p>
            <w:pPr>
              <w:jc w:val="right"/>
            </w:pPr>
            <w:r>
              <w:rPr>
                <w:color w:val="000000"/>
                <w:sz w:val="24"/>
                <w:szCs w:val="24"/>
              </w:rPr>
              <w:t>3,460,700</w:t>
            </w:r>
          </w:p>
        </w:tc>
        <w:tc>
          <w:tcPr>
            <w:vAlign w:val="center"/>
          </w:tcPr>
          <w:p>
            <w:pPr>
              <w:jc w:val="right"/>
            </w:pPr>
            <w:r>
              <w:rPr>
                <w:color w:val="000000"/>
                <w:sz w:val="24"/>
                <w:szCs w:val="24"/>
              </w:rPr>
              <w:t>103,924,821.00</w:t>
            </w:r>
          </w:p>
        </w:tc>
        <w:tc>
          <w:tcPr>
            <w:vAlign w:val="center"/>
          </w:tcPr>
          <w:p>
            <w:pPr>
              <w:jc w:val="right"/>
            </w:pPr>
            <w:r>
              <w:rPr>
                <w:color w:val="000000"/>
                <w:sz w:val="24"/>
                <w:szCs w:val="24"/>
              </w:rPr>
              <w:t>3.39</w:t>
            </w:r>
          </w:p>
        </w:tc>
      </w:tr>
      <w:tr>
        <w:tc>
          <w:tcPr>
            <w:vAlign w:val="center"/>
          </w:tcPr>
          <w:p>
            <w:pPr>
              <w:jc w:val="center"/>
            </w:pPr>
            <w:r>
              <w:rPr>
                <w:color w:val="000000"/>
                <w:sz w:val="24"/>
                <w:szCs w:val="24"/>
              </w:rPr>
              <w:t>5</w:t>
            </w:r>
          </w:p>
        </w:tc>
        <w:tc>
          <w:tcPr>
            <w:vAlign w:val="center"/>
          </w:tcPr>
          <w:p>
            <w:pPr>
              <w:jc w:val="center"/>
            </w:pPr>
            <w:r>
              <w:rPr>
                <w:color w:val="000000"/>
                <w:sz w:val="24"/>
                <w:szCs w:val="24"/>
              </w:rPr>
              <w:t>002841</w:t>
            </w:r>
          </w:p>
        </w:tc>
        <w:tc>
          <w:tcPr>
            <w:vAlign w:val="center"/>
          </w:tcPr>
          <w:p>
            <w:pPr>
              <w:jc w:val="center"/>
            </w:pPr>
            <w:r>
              <w:rPr>
                <w:color w:val="000000"/>
                <w:sz w:val="24"/>
                <w:szCs w:val="24"/>
              </w:rPr>
              <w:t>视源股份</w:t>
            </w:r>
          </w:p>
        </w:tc>
        <w:tc>
          <w:tcPr>
            <w:vAlign w:val="center"/>
          </w:tcPr>
          <w:p>
            <w:pPr>
              <w:jc w:val="right"/>
            </w:pPr>
            <w:r>
              <w:rPr>
                <w:color w:val="000000"/>
                <w:sz w:val="24"/>
                <w:szCs w:val="24"/>
              </w:rPr>
              <w:t>904,786</w:t>
            </w:r>
          </w:p>
        </w:tc>
        <w:tc>
          <w:tcPr>
            <w:vAlign w:val="center"/>
          </w:tcPr>
          <w:p>
            <w:pPr>
              <w:jc w:val="right"/>
            </w:pPr>
            <w:r>
              <w:rPr>
                <w:color w:val="000000"/>
                <w:sz w:val="24"/>
                <w:szCs w:val="24"/>
              </w:rPr>
              <w:t>87,808,804.26</w:t>
            </w:r>
          </w:p>
        </w:tc>
        <w:tc>
          <w:tcPr>
            <w:vAlign w:val="center"/>
          </w:tcPr>
          <w:p>
            <w:pPr>
              <w:jc w:val="right"/>
            </w:pPr>
            <w:r>
              <w:rPr>
                <w:color w:val="000000"/>
                <w:sz w:val="24"/>
                <w:szCs w:val="24"/>
              </w:rPr>
              <w:t>2.86</w:t>
            </w:r>
          </w:p>
        </w:tc>
      </w:tr>
      <w:tr>
        <w:tc>
          <w:tcPr>
            <w:vAlign w:val="center"/>
          </w:tcPr>
          <w:p>
            <w:pPr>
              <w:jc w:val="center"/>
            </w:pPr>
            <w:r>
              <w:rPr>
                <w:color w:val="000000"/>
                <w:sz w:val="24"/>
                <w:szCs w:val="24"/>
              </w:rPr>
              <w:t>6</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3,708,280</w:t>
            </w:r>
          </w:p>
        </w:tc>
        <w:tc>
          <w:tcPr>
            <w:vAlign w:val="center"/>
          </w:tcPr>
          <w:p>
            <w:pPr>
              <w:jc w:val="right"/>
            </w:pPr>
            <w:r>
              <w:rPr>
                <w:color w:val="000000"/>
                <w:sz w:val="24"/>
                <w:szCs w:val="24"/>
              </w:rPr>
              <w:t>73,757,689.20</w:t>
            </w:r>
          </w:p>
        </w:tc>
        <w:tc>
          <w:tcPr>
            <w:vAlign w:val="center"/>
          </w:tcPr>
          <w:p>
            <w:pPr>
              <w:jc w:val="right"/>
            </w:pPr>
            <w:r>
              <w:rPr>
                <w:color w:val="000000"/>
                <w:sz w:val="24"/>
                <w:szCs w:val="24"/>
              </w:rPr>
              <w:t>2.40</w:t>
            </w:r>
          </w:p>
        </w:tc>
      </w:tr>
      <w:tr>
        <w:tc>
          <w:tcPr>
            <w:vAlign w:val="center"/>
          </w:tcPr>
          <w:p>
            <w:pPr>
              <w:jc w:val="center"/>
            </w:pPr>
            <w:r>
              <w:rPr>
                <w:color w:val="000000"/>
                <w:sz w:val="24"/>
                <w:szCs w:val="24"/>
              </w:rPr>
              <w:t>7</w:t>
            </w:r>
          </w:p>
        </w:tc>
        <w:tc>
          <w:tcPr>
            <w:vAlign w:val="center"/>
          </w:tcPr>
          <w:p>
            <w:pPr>
              <w:jc w:val="center"/>
            </w:pPr>
            <w:r>
              <w:rPr>
                <w:color w:val="000000"/>
                <w:sz w:val="24"/>
                <w:szCs w:val="24"/>
              </w:rPr>
              <w:t>002439</w:t>
            </w:r>
          </w:p>
        </w:tc>
        <w:tc>
          <w:tcPr>
            <w:vAlign w:val="center"/>
          </w:tcPr>
          <w:p>
            <w:pPr>
              <w:jc w:val="center"/>
            </w:pPr>
            <w:r>
              <w:rPr>
                <w:color w:val="000000"/>
                <w:sz w:val="24"/>
                <w:szCs w:val="24"/>
              </w:rPr>
              <w:t>启明星辰</w:t>
            </w:r>
          </w:p>
        </w:tc>
        <w:tc>
          <w:tcPr>
            <w:vAlign w:val="center"/>
          </w:tcPr>
          <w:p>
            <w:pPr>
              <w:jc w:val="right"/>
            </w:pPr>
            <w:r>
              <w:rPr>
                <w:color w:val="000000"/>
                <w:sz w:val="24"/>
                <w:szCs w:val="24"/>
              </w:rPr>
              <w:t>2,068,035</w:t>
            </w:r>
          </w:p>
        </w:tc>
        <w:tc>
          <w:tcPr>
            <w:vAlign w:val="center"/>
          </w:tcPr>
          <w:p>
            <w:pPr>
              <w:jc w:val="right"/>
            </w:pPr>
            <w:r>
              <w:rPr>
                <w:color w:val="000000"/>
                <w:sz w:val="24"/>
                <w:szCs w:val="24"/>
              </w:rPr>
              <w:t>71,409,248.55</w:t>
            </w:r>
          </w:p>
        </w:tc>
        <w:tc>
          <w:tcPr>
            <w:vAlign w:val="center"/>
          </w:tcPr>
          <w:p>
            <w:pPr>
              <w:jc w:val="right"/>
            </w:pPr>
            <w:r>
              <w:rPr>
                <w:color w:val="000000"/>
                <w:sz w:val="24"/>
                <w:szCs w:val="24"/>
              </w:rPr>
              <w:t>2.33</w:t>
            </w:r>
          </w:p>
        </w:tc>
      </w:tr>
      <w:tr>
        <w:tc>
          <w:tcPr>
            <w:vAlign w:val="center"/>
          </w:tcPr>
          <w:p>
            <w:pPr>
              <w:jc w:val="center"/>
            </w:pPr>
            <w:r>
              <w:rPr>
                <w:color w:val="000000"/>
                <w:sz w:val="24"/>
                <w:szCs w:val="24"/>
              </w:rPr>
              <w:t>8</w:t>
            </w:r>
          </w:p>
        </w:tc>
        <w:tc>
          <w:tcPr>
            <w:vAlign w:val="center"/>
          </w:tcPr>
          <w:p>
            <w:pPr>
              <w:jc w:val="center"/>
            </w:pPr>
            <w:r>
              <w:rPr>
                <w:color w:val="000000"/>
                <w:sz w:val="24"/>
                <w:szCs w:val="24"/>
              </w:rPr>
              <w:t>000998</w:t>
            </w:r>
          </w:p>
        </w:tc>
        <w:tc>
          <w:tcPr>
            <w:vAlign w:val="center"/>
          </w:tcPr>
          <w:p>
            <w:pPr>
              <w:jc w:val="center"/>
            </w:pPr>
            <w:r>
              <w:rPr>
                <w:color w:val="000000"/>
                <w:sz w:val="24"/>
                <w:szCs w:val="24"/>
              </w:rPr>
              <w:t>隆平高科</w:t>
            </w:r>
          </w:p>
        </w:tc>
        <w:tc>
          <w:tcPr>
            <w:vAlign w:val="center"/>
          </w:tcPr>
          <w:p>
            <w:pPr>
              <w:jc w:val="right"/>
            </w:pPr>
            <w:r>
              <w:rPr>
                <w:color w:val="000000"/>
                <w:sz w:val="24"/>
                <w:szCs w:val="24"/>
              </w:rPr>
              <w:t>3,699,700</w:t>
            </w:r>
          </w:p>
        </w:tc>
        <w:tc>
          <w:tcPr>
            <w:vAlign w:val="center"/>
          </w:tcPr>
          <w:p>
            <w:pPr>
              <w:jc w:val="right"/>
            </w:pPr>
            <w:r>
              <w:rPr>
                <w:color w:val="000000"/>
                <w:sz w:val="24"/>
                <w:szCs w:val="24"/>
              </w:rPr>
              <w:t>67,741,507.00</w:t>
            </w:r>
          </w:p>
        </w:tc>
        <w:tc>
          <w:tcPr>
            <w:vAlign w:val="center"/>
          </w:tcPr>
          <w:p>
            <w:pPr>
              <w:jc w:val="right"/>
            </w:pPr>
            <w:r>
              <w:rPr>
                <w:color w:val="000000"/>
                <w:sz w:val="24"/>
                <w:szCs w:val="24"/>
              </w:rPr>
              <w:t>2.21</w:t>
            </w:r>
          </w:p>
        </w:tc>
      </w:tr>
      <w:tr>
        <w:tc>
          <w:tcPr>
            <w:vAlign w:val="center"/>
          </w:tcPr>
          <w:p>
            <w:pPr>
              <w:jc w:val="center"/>
            </w:pPr>
            <w:r>
              <w:rPr>
                <w:color w:val="000000"/>
                <w:sz w:val="24"/>
                <w:szCs w:val="24"/>
              </w:rPr>
              <w:t>9</w:t>
            </w:r>
          </w:p>
        </w:tc>
        <w:tc>
          <w:tcPr>
            <w:vAlign w:val="center"/>
          </w:tcPr>
          <w:p>
            <w:pPr>
              <w:jc w:val="center"/>
            </w:pPr>
            <w:r>
              <w:rPr>
                <w:color w:val="000000"/>
                <w:sz w:val="24"/>
                <w:szCs w:val="24"/>
              </w:rPr>
              <w:t>002928</w:t>
            </w:r>
          </w:p>
        </w:tc>
        <w:tc>
          <w:tcPr>
            <w:vAlign w:val="center"/>
          </w:tcPr>
          <w:p>
            <w:pPr>
              <w:jc w:val="center"/>
            </w:pPr>
            <w:r>
              <w:rPr>
                <w:color w:val="000000"/>
                <w:sz w:val="24"/>
                <w:szCs w:val="24"/>
              </w:rPr>
              <w:t>华夏航空</w:t>
            </w:r>
          </w:p>
        </w:tc>
        <w:tc>
          <w:tcPr>
            <w:vAlign w:val="center"/>
          </w:tcPr>
          <w:p>
            <w:pPr>
              <w:jc w:val="right"/>
            </w:pPr>
            <w:r>
              <w:rPr>
                <w:color w:val="000000"/>
                <w:sz w:val="24"/>
                <w:szCs w:val="24"/>
              </w:rPr>
              <w:t>4,751,381</w:t>
            </w:r>
          </w:p>
        </w:tc>
        <w:tc>
          <w:tcPr>
            <w:vAlign w:val="center"/>
          </w:tcPr>
          <w:p>
            <w:pPr>
              <w:jc w:val="right"/>
            </w:pPr>
            <w:r>
              <w:rPr>
                <w:color w:val="000000"/>
                <w:sz w:val="24"/>
                <w:szCs w:val="24"/>
              </w:rPr>
              <w:t>65,283,974.94</w:t>
            </w:r>
          </w:p>
        </w:tc>
        <w:tc>
          <w:tcPr>
            <w:vAlign w:val="center"/>
          </w:tcPr>
          <w:p>
            <w:pPr>
              <w:jc w:val="right"/>
            </w:pPr>
            <w:r>
              <w:rPr>
                <w:color w:val="000000"/>
                <w:sz w:val="24"/>
                <w:szCs w:val="24"/>
              </w:rPr>
              <w:t>2.13</w:t>
            </w:r>
          </w:p>
        </w:tc>
      </w:tr>
      <w:tr>
        <w:tc>
          <w:tcPr>
            <w:vAlign w:val="center"/>
          </w:tcPr>
          <w:p>
            <w:pPr>
              <w:jc w:val="center"/>
            </w:pPr>
            <w:r>
              <w:rPr>
                <w:color w:val="000000"/>
                <w:sz w:val="24"/>
                <w:szCs w:val="24"/>
              </w:rPr>
              <w:t>10</w:t>
            </w:r>
          </w:p>
        </w:tc>
        <w:tc>
          <w:tcPr>
            <w:vAlign w:val="center"/>
          </w:tcPr>
          <w:p>
            <w:pPr>
              <w:jc w:val="center"/>
            </w:pPr>
            <w:r>
              <w:rPr>
                <w:color w:val="000000"/>
                <w:sz w:val="24"/>
                <w:szCs w:val="24"/>
              </w:rPr>
              <w:t>002230</w:t>
            </w:r>
          </w:p>
        </w:tc>
        <w:tc>
          <w:tcPr>
            <w:vAlign w:val="center"/>
          </w:tcPr>
          <w:p>
            <w:pPr>
              <w:jc w:val="center"/>
            </w:pPr>
            <w:r>
              <w:rPr>
                <w:color w:val="000000"/>
                <w:sz w:val="24"/>
                <w:szCs w:val="24"/>
              </w:rPr>
              <w:t>科大讯飞</w:t>
            </w:r>
          </w:p>
        </w:tc>
        <w:tc>
          <w:tcPr>
            <w:vAlign w:val="center"/>
          </w:tcPr>
          <w:p>
            <w:pPr>
              <w:jc w:val="right"/>
            </w:pPr>
            <w:r>
              <w:rPr>
                <w:color w:val="000000"/>
                <w:sz w:val="24"/>
                <w:szCs w:val="24"/>
              </w:rPr>
              <w:t>1,834,453</w:t>
            </w:r>
          </w:p>
        </w:tc>
        <w:tc>
          <w:tcPr>
            <w:vAlign w:val="center"/>
          </w:tcPr>
          <w:p>
            <w:pPr>
              <w:jc w:val="right"/>
            </w:pPr>
            <w:r>
              <w:rPr>
                <w:color w:val="000000"/>
                <w:sz w:val="24"/>
                <w:szCs w:val="24"/>
              </w:rPr>
              <w:t>62,866,704.31</w:t>
            </w:r>
          </w:p>
        </w:tc>
        <w:tc>
          <w:tcPr>
            <w:vAlign w:val="center"/>
          </w:tcPr>
          <w:p>
            <w:pPr>
              <w:jc w:val="right"/>
            </w:pPr>
            <w:r>
              <w:rPr>
                <w:color w:val="000000"/>
                <w:sz w:val="24"/>
                <w:szCs w:val="24"/>
              </w:rPr>
              <w:t>2.05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149,245,000.00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4.86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149,245,000.00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4.86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106,185,892.77</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3.46</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255,430,892.77</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8.32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207703</w:t>
            </w:r>
          </w:p>
        </w:tc>
        <w:tc>
          <w:tcPr>
            <w:vAlign w:val="center"/>
          </w:tcPr>
          <w:p>
            <w:pPr>
              <w:jc w:val="center"/>
            </w:pPr>
            <w:r>
              <w:rPr>
                <w:color w:val="000000"/>
                <w:sz w:val="24"/>
                <w:szCs w:val="24"/>
              </w:rPr>
              <w:t>20贴现国开03</w:t>
            </w:r>
          </w:p>
        </w:tc>
        <w:tc>
          <w:tcPr>
            <w:vAlign w:val="center"/>
          </w:tcPr>
          <w:p>
            <w:pPr>
              <w:jc w:val="right"/>
            </w:pPr>
            <w:r>
              <w:rPr>
                <w:color w:val="000000"/>
                <w:sz w:val="24"/>
                <w:szCs w:val="24"/>
              </w:rPr>
              <w:t>500,000</w:t>
            </w:r>
          </w:p>
        </w:tc>
        <w:tc>
          <w:tcPr>
            <w:vAlign w:val="center"/>
          </w:tcPr>
          <w:p>
            <w:pPr>
              <w:jc w:val="right"/>
            </w:pPr>
            <w:r>
              <w:rPr>
                <w:color w:val="000000"/>
                <w:sz w:val="24"/>
                <w:szCs w:val="24"/>
              </w:rPr>
              <w:t>49,725,000.00</w:t>
            </w:r>
          </w:p>
        </w:tc>
        <w:tc>
          <w:tcPr>
            <w:vAlign w:val="center"/>
          </w:tcPr>
          <w:p>
            <w:pPr>
              <w:jc w:val="right"/>
            </w:pPr>
            <w:r>
              <w:rPr>
                <w:color w:val="000000"/>
                <w:sz w:val="24"/>
                <w:szCs w:val="24"/>
              </w:rPr>
              <w:t>1.62</w:t>
            </w:r>
          </w:p>
        </w:tc>
      </w:tr>
      <w:tr>
        <w:tc>
          <w:tcPr>
            <w:vAlign w:val="center"/>
          </w:tcPr>
          <w:p>
            <w:pPr>
              <w:jc w:val="center"/>
            </w:pPr>
            <w:r>
              <w:rPr>
                <w:color w:val="000000"/>
                <w:sz w:val="24"/>
                <w:szCs w:val="24"/>
              </w:rPr>
              <w:t>2</w:t>
            </w:r>
          </w:p>
        </w:tc>
        <w:tc>
          <w:tcPr>
            <w:vAlign w:val="center"/>
          </w:tcPr>
          <w:p>
            <w:pPr>
              <w:jc w:val="center"/>
            </w:pPr>
            <w:r>
              <w:rPr>
                <w:color w:val="000000"/>
                <w:sz w:val="24"/>
                <w:szCs w:val="24"/>
              </w:rPr>
              <w:t>110051</w:t>
            </w:r>
          </w:p>
        </w:tc>
        <w:tc>
          <w:tcPr>
            <w:vAlign w:val="center"/>
          </w:tcPr>
          <w:p>
            <w:pPr>
              <w:jc w:val="center"/>
            </w:pPr>
            <w:r>
              <w:rPr>
                <w:color w:val="000000"/>
                <w:sz w:val="24"/>
                <w:szCs w:val="24"/>
              </w:rPr>
              <w:t>中天转债</w:t>
            </w:r>
          </w:p>
        </w:tc>
        <w:tc>
          <w:tcPr>
            <w:vAlign w:val="center"/>
          </w:tcPr>
          <w:p>
            <w:pPr>
              <w:jc w:val="right"/>
            </w:pPr>
            <w:r>
              <w:rPr>
                <w:color w:val="000000"/>
                <w:sz w:val="24"/>
                <w:szCs w:val="24"/>
              </w:rPr>
              <w:t>334,580</w:t>
            </w:r>
          </w:p>
        </w:tc>
        <w:tc>
          <w:tcPr>
            <w:vAlign w:val="center"/>
          </w:tcPr>
          <w:p>
            <w:pPr>
              <w:jc w:val="right"/>
            </w:pPr>
            <w:r>
              <w:rPr>
                <w:color w:val="000000"/>
                <w:sz w:val="24"/>
                <w:szCs w:val="24"/>
              </w:rPr>
              <w:t>40,022,459.60</w:t>
            </w:r>
          </w:p>
        </w:tc>
        <w:tc>
          <w:tcPr>
            <w:vAlign w:val="center"/>
          </w:tcPr>
          <w:p>
            <w:pPr>
              <w:jc w:val="right"/>
            </w:pPr>
            <w:r>
              <w:rPr>
                <w:color w:val="000000"/>
                <w:sz w:val="24"/>
                <w:szCs w:val="24"/>
              </w:rPr>
              <w:t>1.30</w:t>
            </w:r>
          </w:p>
        </w:tc>
      </w:tr>
      <w:tr>
        <w:tc>
          <w:tcPr>
            <w:vAlign w:val="center"/>
          </w:tcPr>
          <w:p>
            <w:pPr>
              <w:jc w:val="center"/>
            </w:pPr>
            <w:r>
              <w:rPr>
                <w:color w:val="000000"/>
                <w:sz w:val="24"/>
                <w:szCs w:val="24"/>
              </w:rPr>
              <w:t>3</w:t>
            </w:r>
          </w:p>
        </w:tc>
        <w:tc>
          <w:tcPr>
            <w:vAlign w:val="center"/>
          </w:tcPr>
          <w:p>
            <w:pPr>
              <w:jc w:val="center"/>
            </w:pPr>
            <w:r>
              <w:rPr>
                <w:color w:val="000000"/>
                <w:sz w:val="24"/>
                <w:szCs w:val="24"/>
              </w:rPr>
              <w:t>190307</w:t>
            </w:r>
          </w:p>
        </w:tc>
        <w:tc>
          <w:tcPr>
            <w:vAlign w:val="center"/>
          </w:tcPr>
          <w:p>
            <w:pPr>
              <w:jc w:val="center"/>
            </w:pPr>
            <w:r>
              <w:rPr>
                <w:color w:val="000000"/>
                <w:sz w:val="24"/>
                <w:szCs w:val="24"/>
              </w:rPr>
              <w:t>19进出07</w:t>
            </w:r>
          </w:p>
        </w:tc>
        <w:tc>
          <w:tcPr>
            <w:vAlign w:val="center"/>
          </w:tcPr>
          <w:p>
            <w:pPr>
              <w:jc w:val="right"/>
            </w:pPr>
            <w:r>
              <w:rPr>
                <w:color w:val="000000"/>
                <w:sz w:val="24"/>
                <w:szCs w:val="24"/>
              </w:rPr>
              <w:t>400,000</w:t>
            </w:r>
          </w:p>
        </w:tc>
        <w:tc>
          <w:tcPr>
            <w:vAlign w:val="center"/>
          </w:tcPr>
          <w:p>
            <w:pPr>
              <w:jc w:val="right"/>
            </w:pPr>
            <w:r>
              <w:rPr>
                <w:color w:val="000000"/>
                <w:sz w:val="24"/>
                <w:szCs w:val="24"/>
              </w:rPr>
              <w:t>40,012,000.00</w:t>
            </w:r>
          </w:p>
        </w:tc>
        <w:tc>
          <w:tcPr>
            <w:vAlign w:val="center"/>
          </w:tcPr>
          <w:p>
            <w:pPr>
              <w:jc w:val="right"/>
            </w:pPr>
            <w:r>
              <w:rPr>
                <w:color w:val="000000"/>
                <w:sz w:val="24"/>
                <w:szCs w:val="24"/>
              </w:rPr>
              <w:t>1.30</w:t>
            </w:r>
          </w:p>
        </w:tc>
      </w:tr>
      <w:tr>
        <w:tc>
          <w:tcPr>
            <w:vAlign w:val="center"/>
          </w:tcPr>
          <w:p>
            <w:pPr>
              <w:jc w:val="center"/>
            </w:pPr>
            <w:r>
              <w:rPr>
                <w:color w:val="000000"/>
                <w:sz w:val="24"/>
                <w:szCs w:val="24"/>
              </w:rPr>
              <w:t>4</w:t>
            </w:r>
          </w:p>
        </w:tc>
        <w:tc>
          <w:tcPr>
            <w:vAlign w:val="center"/>
          </w:tcPr>
          <w:p>
            <w:pPr>
              <w:jc w:val="center"/>
            </w:pPr>
            <w:r>
              <w:rPr>
                <w:color w:val="000000"/>
                <w:sz w:val="24"/>
                <w:szCs w:val="24"/>
              </w:rPr>
              <w:t>200211</w:t>
            </w:r>
          </w:p>
        </w:tc>
        <w:tc>
          <w:tcPr>
            <w:vAlign w:val="center"/>
          </w:tcPr>
          <w:p>
            <w:pPr>
              <w:jc w:val="center"/>
            </w:pPr>
            <w:r>
              <w:rPr>
                <w:color w:val="000000"/>
                <w:sz w:val="24"/>
                <w:szCs w:val="24"/>
              </w:rPr>
              <w:t>20国开11</w:t>
            </w:r>
          </w:p>
        </w:tc>
        <w:tc>
          <w:tcPr>
            <w:vAlign w:val="center"/>
          </w:tcPr>
          <w:p>
            <w:pPr>
              <w:jc w:val="right"/>
            </w:pPr>
            <w:r>
              <w:rPr>
                <w:color w:val="000000"/>
                <w:sz w:val="24"/>
                <w:szCs w:val="24"/>
              </w:rPr>
              <w:t>400,000</w:t>
            </w:r>
          </w:p>
        </w:tc>
        <w:tc>
          <w:tcPr>
            <w:vAlign w:val="center"/>
          </w:tcPr>
          <w:p>
            <w:pPr>
              <w:jc w:val="right"/>
            </w:pPr>
            <w:r>
              <w:rPr>
                <w:color w:val="000000"/>
                <w:sz w:val="24"/>
                <w:szCs w:val="24"/>
              </w:rPr>
              <w:t>39,628,000.00</w:t>
            </w:r>
          </w:p>
        </w:tc>
        <w:tc>
          <w:tcPr>
            <w:vAlign w:val="center"/>
          </w:tcPr>
          <w:p>
            <w:pPr>
              <w:jc w:val="right"/>
            </w:pPr>
            <w:r>
              <w:rPr>
                <w:color w:val="000000"/>
                <w:sz w:val="24"/>
                <w:szCs w:val="24"/>
              </w:rPr>
              <w:t>1.29</w:t>
            </w:r>
          </w:p>
        </w:tc>
      </w:tr>
      <w:tr>
        <w:tc>
          <w:tcPr>
            <w:vAlign w:val="center"/>
          </w:tcPr>
          <w:p>
            <w:pPr>
              <w:jc w:val="center"/>
            </w:pPr>
            <w:r>
              <w:rPr>
                <w:color w:val="000000"/>
                <w:sz w:val="24"/>
                <w:szCs w:val="24"/>
              </w:rPr>
              <w:t>5</w:t>
            </w:r>
          </w:p>
        </w:tc>
        <w:tc>
          <w:tcPr>
            <w:vAlign w:val="center"/>
          </w:tcPr>
          <w:p>
            <w:pPr>
              <w:jc w:val="center"/>
            </w:pPr>
            <w:r>
              <w:rPr>
                <w:color w:val="000000"/>
                <w:sz w:val="24"/>
                <w:szCs w:val="24"/>
              </w:rPr>
              <w:t>113013</w:t>
            </w:r>
          </w:p>
        </w:tc>
        <w:tc>
          <w:tcPr>
            <w:vAlign w:val="center"/>
          </w:tcPr>
          <w:p>
            <w:pPr>
              <w:jc w:val="center"/>
            </w:pPr>
            <w:r>
              <w:rPr>
                <w:color w:val="000000"/>
                <w:sz w:val="24"/>
                <w:szCs w:val="24"/>
              </w:rPr>
              <w:t>国君转债</w:t>
            </w:r>
          </w:p>
        </w:tc>
        <w:tc>
          <w:tcPr>
            <w:vAlign w:val="center"/>
          </w:tcPr>
          <w:p>
            <w:pPr>
              <w:jc w:val="right"/>
            </w:pPr>
            <w:r>
              <w:rPr>
                <w:color w:val="000000"/>
                <w:sz w:val="24"/>
                <w:szCs w:val="24"/>
              </w:rPr>
              <w:t>308,200</w:t>
            </w:r>
          </w:p>
        </w:tc>
        <w:tc>
          <w:tcPr>
            <w:vAlign w:val="center"/>
          </w:tcPr>
          <w:p>
            <w:pPr>
              <w:jc w:val="right"/>
            </w:pPr>
            <w:r>
              <w:rPr>
                <w:color w:val="000000"/>
                <w:sz w:val="24"/>
                <w:szCs w:val="24"/>
              </w:rPr>
              <w:t>37,714,434.00</w:t>
            </w:r>
          </w:p>
        </w:tc>
        <w:tc>
          <w:tcPr>
            <w:vAlign w:val="center"/>
          </w:tcPr>
          <w:p>
            <w:pPr>
              <w:jc w:val="right"/>
            </w:pPr>
            <w:r>
              <w:rPr>
                <w:color w:val="000000"/>
                <w:sz w:val="24"/>
                <w:szCs w:val="24"/>
              </w:rPr>
              <w:t>1.23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1,141,656.99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10,133,119.11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1,708,997.27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5,130,304.23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18,114,077.60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110051</w:t>
            </w:r>
          </w:p>
        </w:tc>
        <w:tc>
          <w:tcPr>
            <w:vAlign w:val="center"/>
          </w:tcPr>
          <w:p>
            <w:pPr>
              <w:jc w:val="center"/>
            </w:pPr>
            <w:r>
              <w:rPr>
                <w:color w:val="000000"/>
                <w:sz w:val="24"/>
                <w:szCs w:val="24"/>
              </w:rPr>
              <w:t>中天转债</w:t>
            </w:r>
          </w:p>
        </w:tc>
        <w:tc>
          <w:tcPr>
            <w:vAlign w:val="center"/>
          </w:tcPr>
          <w:p>
            <w:pPr>
              <w:jc w:val="right"/>
            </w:pPr>
            <w:r>
              <w:rPr>
                <w:color w:val="000000"/>
                <w:sz w:val="24"/>
                <w:szCs w:val="24"/>
              </w:rPr>
              <w:t>40,022,459.60</w:t>
            </w:r>
          </w:p>
        </w:tc>
        <w:tc>
          <w:tcPr>
            <w:vAlign w:val="center"/>
          </w:tcPr>
          <w:p>
            <w:pPr>
              <w:jc w:val="right"/>
            </w:pPr>
            <w:r>
              <w:rPr>
                <w:color w:val="000000"/>
                <w:sz w:val="24"/>
                <w:szCs w:val="24"/>
              </w:rPr>
              <w:t>1.30</w:t>
            </w:r>
          </w:p>
        </w:tc>
      </w:tr>
      <w:tr>
        <w:tc>
          <w:tcPr>
            <w:vAlign w:val="center"/>
          </w:tcPr>
          <w:p>
            <w:pPr>
              <w:jc w:val="center"/>
            </w:pPr>
            <w:r>
              <w:rPr>
                <w:color w:val="000000"/>
                <w:sz w:val="24"/>
                <w:szCs w:val="24"/>
              </w:rPr>
              <w:t>2</w:t>
            </w:r>
          </w:p>
        </w:tc>
        <w:tc>
          <w:tcPr>
            <w:vAlign w:val="center"/>
          </w:tcPr>
          <w:p>
            <w:pPr>
              <w:jc w:val="center"/>
            </w:pPr>
            <w:r>
              <w:rPr>
                <w:color w:val="000000"/>
                <w:sz w:val="24"/>
                <w:szCs w:val="24"/>
              </w:rPr>
              <w:t>113013</w:t>
            </w:r>
          </w:p>
        </w:tc>
        <w:tc>
          <w:tcPr>
            <w:vAlign w:val="center"/>
          </w:tcPr>
          <w:p>
            <w:pPr>
              <w:jc w:val="center"/>
            </w:pPr>
            <w:r>
              <w:rPr>
                <w:color w:val="000000"/>
                <w:sz w:val="24"/>
                <w:szCs w:val="24"/>
              </w:rPr>
              <w:t>国君转债</w:t>
            </w:r>
          </w:p>
        </w:tc>
        <w:tc>
          <w:tcPr>
            <w:vAlign w:val="center"/>
          </w:tcPr>
          <w:p>
            <w:pPr>
              <w:jc w:val="right"/>
            </w:pPr>
            <w:r>
              <w:rPr>
                <w:color w:val="000000"/>
                <w:sz w:val="24"/>
                <w:szCs w:val="24"/>
              </w:rPr>
              <w:t>37,714,434.00</w:t>
            </w:r>
          </w:p>
        </w:tc>
        <w:tc>
          <w:tcPr>
            <w:vAlign w:val="center"/>
          </w:tcPr>
          <w:p>
            <w:pPr>
              <w:jc w:val="right"/>
            </w:pPr>
            <w:r>
              <w:rPr>
                <w:color w:val="000000"/>
                <w:sz w:val="24"/>
                <w:szCs w:val="24"/>
              </w:rPr>
              <w:t>1.23</w:t>
            </w:r>
          </w:p>
        </w:tc>
      </w:tr>
      <w:tr>
        <w:tc>
          <w:tcPr>
            <w:vAlign w:val="center"/>
          </w:tcPr>
          <w:p>
            <w:pPr>
              <w:jc w:val="center"/>
            </w:pPr>
            <w:r>
              <w:rPr>
                <w:color w:val="000000"/>
                <w:sz w:val="24"/>
                <w:szCs w:val="24"/>
              </w:rPr>
              <w:t>3</w:t>
            </w:r>
          </w:p>
        </w:tc>
        <w:tc>
          <w:tcPr>
            <w:vAlign w:val="center"/>
          </w:tcPr>
          <w:p>
            <w:pPr>
              <w:jc w:val="center"/>
            </w:pPr>
            <w:r>
              <w:rPr>
                <w:color w:val="000000"/>
                <w:sz w:val="24"/>
                <w:szCs w:val="24"/>
              </w:rPr>
              <w:t>113563</w:t>
            </w:r>
          </w:p>
        </w:tc>
        <w:tc>
          <w:tcPr>
            <w:vAlign w:val="center"/>
          </w:tcPr>
          <w:p>
            <w:pPr>
              <w:jc w:val="center"/>
            </w:pPr>
            <w:r>
              <w:rPr>
                <w:color w:val="000000"/>
                <w:sz w:val="24"/>
                <w:szCs w:val="24"/>
              </w:rPr>
              <w:t>柳药转债</w:t>
            </w:r>
          </w:p>
        </w:tc>
        <w:tc>
          <w:tcPr>
            <w:vAlign w:val="center"/>
          </w:tcPr>
          <w:p>
            <w:pPr>
              <w:jc w:val="right"/>
            </w:pPr>
            <w:r>
              <w:rPr>
                <w:color w:val="000000"/>
                <w:sz w:val="24"/>
                <w:szCs w:val="24"/>
              </w:rPr>
              <w:t>13,014,100.00</w:t>
            </w:r>
          </w:p>
        </w:tc>
        <w:tc>
          <w:tcPr>
            <w:vAlign w:val="center"/>
          </w:tcPr>
          <w:p>
            <w:pPr>
              <w:jc w:val="right"/>
            </w:pPr>
            <w:r>
              <w:rPr>
                <w:color w:val="000000"/>
                <w:sz w:val="24"/>
                <w:szCs w:val="24"/>
              </w:rPr>
              <w:t>0.42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002841</w:t>
            </w:r>
          </w:p>
        </w:tc>
        <w:tc>
          <w:tcPr>
            <w:vAlign w:val="center"/>
          </w:tcPr>
          <w:p>
            <w:pPr>
              <w:jc w:val="center"/>
            </w:pPr>
            <w:r>
              <w:rPr>
                <w:color w:val="000000"/>
                <w:sz w:val="24"/>
                <w:szCs w:val="24"/>
              </w:rPr>
              <w:t>视源股份</w:t>
            </w:r>
          </w:p>
        </w:tc>
        <w:tc>
          <w:tcPr>
            <w:vAlign w:val="center"/>
          </w:tcPr>
          <w:p>
            <w:pPr>
              <w:jc w:val="right"/>
            </w:pPr>
            <w:r>
              <w:rPr>
                <w:color w:val="000000"/>
                <w:sz w:val="24"/>
                <w:szCs w:val="24"/>
              </w:rPr>
              <w:t>15,259,200.00</w:t>
            </w:r>
          </w:p>
        </w:tc>
        <w:tc>
          <w:tcPr>
            <w:vAlign w:val="center"/>
          </w:tcPr>
          <w:p>
            <w:pPr>
              <w:jc w:val="right"/>
            </w:pPr>
            <w:r>
              <w:rPr>
                <w:color w:val="000000"/>
                <w:sz w:val="24"/>
                <w:szCs w:val="24"/>
              </w:rPr>
              <w:t>0.50</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1,883,023,415.48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462,752,533.57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746,222,943.92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1,599,553,005.13</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1、中国证监会批准交银施罗德主题优选灵活配置混合型证券投资基金募集的文件；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2、《交银施罗德主题优选灵活配置混合型证券投资基金基金合同》； </w:t>
      </w:r>
    </w:p>
    <w:p>
      <w:pPr>
        <w:spacing w:before="29" w:line="288" w:lineRule="auto"/>
        <w:ind w:firstLine="480" w:firstLineChars="200"/>
        <w:rPr>
          <w:color w:val="000000"/>
          <w:sz w:val="24"/>
          <w:szCs w:val="24"/>
        </w:rPr>
      </w:pPr>
      <w:r>
        <w:rPr>
          <w:color w:val="000000"/>
          <w:sz w:val="24"/>
          <w:szCs w:val="24"/>
        </w:rPr>
        <w:t>3、《交银施罗德主题优选灵活配置混合型证券投资基金招募说明书》；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4、《交银施罗德主题优选灵活配置混合型证券投资基金托管协议》；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5、关于募集交银施罗德主题优选灵活配置混合型证券投资基金之法律意见书；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8、报告期内交银施罗德主题优选灵活配置混合型证券投资基金在指定报刊上各项公告的原稿。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交银施罗德主题优选灵活配置混合型证券投资基金2020年第3季度报告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