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交银施罗德趋势优先混合型证券投资基金</w:t>
      </w:r>
    </w:p>
    <w:p w:rsidP="00C15CAC" w:rsidR="002279D3" w:rsidRDefault="002279D3" w:rsidRPr="0081286B">
      <w:pPr>
        <w:spacing w:before="29" w:line="288" w:lineRule="auto"/>
        <w:jc w:val="center"/>
        <w:rPr>
          <w:b/>
          <w:sz w:val="36"/>
          <w:szCs w:val="36"/>
        </w:rPr>
      </w:pPr>
      <w:r w:rsidRPr="0081286B">
        <w:rPr>
          <w:b/>
          <w:sz w:val="36"/>
          <w:szCs w:val="36"/>
        </w:rPr>
        <w:t>2020年第3季度报告</w:t>
      </w:r>
    </w:p>
    <w:p w:rsidP="00C15CAC" w:rsidR="004061AC" w:rsidRDefault="00655CD8" w:rsidRPr="0081286B">
      <w:pPr>
        <w:spacing w:before="29" w:line="288" w:lineRule="auto"/>
        <w:jc w:val="center"/>
        <w:rPr>
          <w:b/>
          <w:sz w:val="36"/>
          <w:szCs w:val="36"/>
        </w:rPr>
      </w:pPr>
      <w:r w:rsidRPr="0081286B">
        <w:rPr>
          <w:b/>
          <w:sz w:val="36"/>
          <w:szCs w:val="36"/>
        </w:rPr>
        <w:t>2020年9月30日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中国工商银行股份有限公司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二〇二〇年十月二十八日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基金托管人中国工商银行股份有限公司根据本基金合同规定，于2020年10月27日复核了本报告中的财务指标、净值表现和投资组合报告等内容，保证复核内容不存在虚假记载、误导性陈述或者重大遗漏。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本报告期自2020年7月1日起至9月30日止。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交银趋势混合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519702</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519702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519703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2010年12月22日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876,506,023.59</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本基金力图通过把握中国人口变化的重大趋势，精选受益其中的优势行业和个股，在控制风险并保持基金资产良好的流动性的前提下，力争实现基金资产的长期稳定增值。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未来人口趋势的重大转变对国民消费倾向、国家收入分配政策、产业升级和区域发展方向等战略决策的重要影响以及其中所蕴涵的行业投资机会的基础上，挖掘受益其中的优势行业，精选个股，以谋求超额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75%×沪深300指数收益率+25%×中证综合债券指数收益率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(2020年7月1日-2020年9月30日)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120,360,506.40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111,686,910.59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0.1710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2,273,531,679.10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2.594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26.47%</w:t>
            </w:r>
          </w:p>
        </w:tc>
        <w:tc>
          <w:tcPr>
            <w:vAlign w:val="center"/>
          </w:tcPr>
          <w:p>
            <w:pPr>
              <w:jc w:val="center"/>
            </w:pPr>
            <w:r>
              <w:rPr>
                <w:color w:val="000000"/>
                <w:sz w:val="24"/>
                <w:szCs w:val="24"/>
              </w:rPr>
              <w:t>1.73%</w:t>
            </w:r>
          </w:p>
        </w:tc>
        <w:tc>
          <w:tcPr>
            <w:vAlign w:val="center"/>
          </w:tcPr>
          <w:p>
            <w:pPr>
              <w:jc w:val="center"/>
            </w:pPr>
            <w:r>
              <w:rPr>
                <w:color w:val="000000"/>
                <w:sz w:val="24"/>
                <w:szCs w:val="24"/>
              </w:rPr>
              <w:t>7.56%</w:t>
            </w:r>
          </w:p>
        </w:tc>
        <w:tc>
          <w:tcPr>
            <w:vAlign w:val="center"/>
          </w:tcPr>
          <w:p>
            <w:pPr>
              <w:jc w:val="center"/>
            </w:pPr>
            <w:r>
              <w:rPr>
                <w:color w:val="000000"/>
                <w:sz w:val="24"/>
                <w:szCs w:val="24"/>
              </w:rPr>
              <w:t>1.21%</w:t>
            </w:r>
          </w:p>
        </w:tc>
        <w:tc>
          <w:tcPr>
            <w:vAlign w:val="center"/>
          </w:tcPr>
          <w:p>
            <w:pPr>
              <w:jc w:val="center"/>
            </w:pPr>
            <w:r>
              <w:rPr>
                <w:color w:val="000000"/>
                <w:sz w:val="24"/>
                <w:szCs w:val="24"/>
              </w:rPr>
              <w:t>18.91%</w:t>
            </w:r>
          </w:p>
        </w:tc>
        <w:tc>
          <w:tcPr>
            <w:vAlign w:val="center"/>
          </w:tcPr>
          <w:p>
            <w:pPr>
              <w:jc w:val="center"/>
            </w:pPr>
            <w:r>
              <w:rPr>
                <w:color w:val="000000"/>
                <w:sz w:val="24"/>
                <w:szCs w:val="24"/>
              </w:rPr>
              <w:t>0.52%</w:t>
            </w:r>
          </w:p>
        </w:tc>
      </w:tr>
      <w:tr>
        <w:tc>
          <w:tcPr>
            <w:vAlign w:val="center"/>
          </w:tcPr>
          <w:p>
            <w:pPr>
              <w:jc w:val="left"/>
            </w:pPr>
            <w:r>
              <w:rPr>
                <w:color w:val="000000"/>
                <w:sz w:val="24"/>
                <w:szCs w:val="24"/>
              </w:rPr>
              <w:t>过去六个月</w:t>
            </w:r>
          </w:p>
        </w:tc>
        <w:tc>
          <w:tcPr>
            <w:vAlign w:val="center"/>
          </w:tcPr>
          <w:p>
            <w:pPr>
              <w:jc w:val="center"/>
            </w:pPr>
            <w:r>
              <w:rPr>
                <w:color w:val="000000"/>
                <w:sz w:val="24"/>
                <w:szCs w:val="24"/>
              </w:rPr>
              <w:t>65.33%</w:t>
            </w:r>
          </w:p>
        </w:tc>
        <w:tc>
          <w:tcPr>
            <w:vAlign w:val="center"/>
          </w:tcPr>
          <w:p>
            <w:pPr>
              <w:jc w:val="center"/>
            </w:pPr>
            <w:r>
              <w:rPr>
                <w:color w:val="000000"/>
                <w:sz w:val="24"/>
                <w:szCs w:val="24"/>
              </w:rPr>
              <w:t>1.43%</w:t>
            </w:r>
          </w:p>
        </w:tc>
        <w:tc>
          <w:tcPr>
            <w:vAlign w:val="center"/>
          </w:tcPr>
          <w:p>
            <w:pPr>
              <w:jc w:val="center"/>
            </w:pPr>
            <w:r>
              <w:rPr>
                <w:color w:val="000000"/>
                <w:sz w:val="24"/>
                <w:szCs w:val="24"/>
              </w:rPr>
              <w:t>17.83%</w:t>
            </w:r>
          </w:p>
        </w:tc>
        <w:tc>
          <w:tcPr>
            <w:vAlign w:val="center"/>
          </w:tcPr>
          <w:p>
            <w:pPr>
              <w:jc w:val="center"/>
            </w:pPr>
            <w:r>
              <w:rPr>
                <w:color w:val="000000"/>
                <w:sz w:val="24"/>
                <w:szCs w:val="24"/>
              </w:rPr>
              <w:t>0.99%</w:t>
            </w:r>
          </w:p>
        </w:tc>
        <w:tc>
          <w:tcPr>
            <w:vAlign w:val="center"/>
          </w:tcPr>
          <w:p>
            <w:pPr>
              <w:jc w:val="center"/>
            </w:pPr>
            <w:r>
              <w:rPr>
                <w:color w:val="000000"/>
                <w:sz w:val="24"/>
                <w:szCs w:val="24"/>
              </w:rPr>
              <w:t>47.50%</w:t>
            </w:r>
          </w:p>
        </w:tc>
        <w:tc>
          <w:tcPr>
            <w:vAlign w:val="center"/>
          </w:tcPr>
          <w:p>
            <w:pPr>
              <w:jc w:val="center"/>
            </w:pPr>
            <w:r>
              <w:rPr>
                <w:color w:val="000000"/>
                <w:sz w:val="24"/>
                <w:szCs w:val="24"/>
              </w:rPr>
              <w:t>0.44%</w:t>
            </w:r>
          </w:p>
        </w:tc>
      </w:tr>
      <w:tr>
        <w:tc>
          <w:tcPr>
            <w:vAlign w:val="center"/>
          </w:tcPr>
          <w:p>
            <w:pPr>
              <w:jc w:val="left"/>
            </w:pPr>
            <w:r>
              <w:rPr>
                <w:color w:val="000000"/>
                <w:sz w:val="24"/>
                <w:szCs w:val="24"/>
              </w:rPr>
              <w:t>过去一年</w:t>
            </w:r>
          </w:p>
        </w:tc>
        <w:tc>
          <w:tcPr>
            <w:vAlign w:val="center"/>
          </w:tcPr>
          <w:p>
            <w:pPr>
              <w:jc w:val="center"/>
            </w:pPr>
            <w:r>
              <w:rPr>
                <w:color w:val="000000"/>
                <w:sz w:val="24"/>
                <w:szCs w:val="24"/>
              </w:rPr>
              <w:t>64.07%</w:t>
            </w:r>
          </w:p>
        </w:tc>
        <w:tc>
          <w:tcPr>
            <w:vAlign w:val="center"/>
          </w:tcPr>
          <w:p>
            <w:pPr>
              <w:jc w:val="center"/>
            </w:pPr>
            <w:r>
              <w:rPr>
                <w:color w:val="000000"/>
                <w:sz w:val="24"/>
                <w:szCs w:val="24"/>
              </w:rPr>
              <w:t>1.49%</w:t>
            </w:r>
          </w:p>
        </w:tc>
        <w:tc>
          <w:tcPr>
            <w:vAlign w:val="center"/>
          </w:tcPr>
          <w:p>
            <w:pPr>
              <w:jc w:val="center"/>
            </w:pPr>
            <w:r>
              <w:rPr>
                <w:color w:val="000000"/>
                <w:sz w:val="24"/>
                <w:szCs w:val="24"/>
              </w:rPr>
              <w:t>16.23%</w:t>
            </w:r>
          </w:p>
        </w:tc>
        <w:tc>
          <w:tcPr>
            <w:vAlign w:val="center"/>
          </w:tcPr>
          <w:p>
            <w:pPr>
              <w:jc w:val="center"/>
            </w:pPr>
            <w:r>
              <w:rPr>
                <w:color w:val="000000"/>
                <w:sz w:val="24"/>
                <w:szCs w:val="24"/>
              </w:rPr>
              <w:t>1.04%</w:t>
            </w:r>
          </w:p>
        </w:tc>
        <w:tc>
          <w:tcPr>
            <w:vAlign w:val="center"/>
          </w:tcPr>
          <w:p>
            <w:pPr>
              <w:jc w:val="center"/>
            </w:pPr>
            <w:r>
              <w:rPr>
                <w:color w:val="000000"/>
                <w:sz w:val="24"/>
                <w:szCs w:val="24"/>
              </w:rPr>
              <w:t>47.84%</w:t>
            </w:r>
          </w:p>
        </w:tc>
        <w:tc>
          <w:tcPr>
            <w:vAlign w:val="center"/>
          </w:tcPr>
          <w:p>
            <w:pPr>
              <w:jc w:val="center"/>
            </w:pPr>
            <w:r>
              <w:rPr>
                <w:color w:val="000000"/>
                <w:sz w:val="24"/>
                <w:szCs w:val="24"/>
              </w:rPr>
              <w:t>0.45%</w:t>
            </w:r>
          </w:p>
        </w:tc>
      </w:tr>
      <w:tr>
        <w:tc>
          <w:tcPr>
            <w:vAlign w:val="center"/>
          </w:tcPr>
          <w:p>
            <w:pPr>
              <w:jc w:val="left"/>
            </w:pPr>
            <w:r>
              <w:rPr>
                <w:color w:val="000000"/>
                <w:sz w:val="24"/>
                <w:szCs w:val="24"/>
              </w:rPr>
              <w:t>过去三年</w:t>
            </w:r>
          </w:p>
        </w:tc>
        <w:tc>
          <w:tcPr>
            <w:vAlign w:val="center"/>
          </w:tcPr>
          <w:p>
            <w:pPr>
              <w:jc w:val="center"/>
            </w:pPr>
            <w:r>
              <w:rPr>
                <w:color w:val="000000"/>
                <w:sz w:val="24"/>
                <w:szCs w:val="24"/>
              </w:rPr>
              <w:t>97.41%</w:t>
            </w:r>
          </w:p>
        </w:tc>
        <w:tc>
          <w:tcPr>
            <w:vAlign w:val="center"/>
          </w:tcPr>
          <w:p>
            <w:pPr>
              <w:jc w:val="center"/>
            </w:pPr>
            <w:r>
              <w:rPr>
                <w:color w:val="000000"/>
                <w:sz w:val="24"/>
                <w:szCs w:val="24"/>
              </w:rPr>
              <w:t>1.52%</w:t>
            </w:r>
          </w:p>
        </w:tc>
        <w:tc>
          <w:tcPr>
            <w:vAlign w:val="center"/>
          </w:tcPr>
          <w:p>
            <w:pPr>
              <w:jc w:val="center"/>
            </w:pPr>
            <w:r>
              <w:rPr>
                <w:color w:val="000000"/>
                <w:sz w:val="24"/>
                <w:szCs w:val="24"/>
              </w:rPr>
              <w:t>19.82%</w:t>
            </w:r>
          </w:p>
        </w:tc>
        <w:tc>
          <w:tcPr>
            <w:vAlign w:val="center"/>
          </w:tcPr>
          <w:p>
            <w:pPr>
              <w:jc w:val="center"/>
            </w:pPr>
            <w:r>
              <w:rPr>
                <w:color w:val="000000"/>
                <w:sz w:val="24"/>
                <w:szCs w:val="24"/>
              </w:rPr>
              <w:t>1.00%</w:t>
            </w:r>
          </w:p>
        </w:tc>
        <w:tc>
          <w:tcPr>
            <w:vAlign w:val="center"/>
          </w:tcPr>
          <w:p>
            <w:pPr>
              <w:jc w:val="center"/>
            </w:pPr>
            <w:r>
              <w:rPr>
                <w:color w:val="000000"/>
                <w:sz w:val="24"/>
                <w:szCs w:val="24"/>
              </w:rPr>
              <w:t>77.59%</w:t>
            </w:r>
          </w:p>
        </w:tc>
        <w:tc>
          <w:tcPr>
            <w:vAlign w:val="center"/>
          </w:tcPr>
          <w:p>
            <w:pPr>
              <w:jc w:val="center"/>
            </w:pPr>
            <w:r>
              <w:rPr>
                <w:color w:val="000000"/>
                <w:sz w:val="24"/>
                <w:szCs w:val="24"/>
              </w:rPr>
              <w:t>0.52%</w:t>
            </w:r>
          </w:p>
        </w:tc>
      </w:tr>
      <w:tr>
        <w:tc>
          <w:tcPr>
            <w:vAlign w:val="center"/>
          </w:tcPr>
          <w:p>
            <w:pPr>
              <w:jc w:val="left"/>
            </w:pPr>
            <w:r>
              <w:rPr>
                <w:color w:val="000000"/>
                <w:sz w:val="24"/>
                <w:szCs w:val="24"/>
              </w:rPr>
              <w:t>过去五年</w:t>
            </w:r>
          </w:p>
        </w:tc>
        <w:tc>
          <w:tcPr>
            <w:vAlign w:val="center"/>
          </w:tcPr>
          <w:p>
            <w:pPr>
              <w:jc w:val="center"/>
            </w:pPr>
            <w:r>
              <w:rPr>
                <w:color w:val="000000"/>
                <w:sz w:val="24"/>
                <w:szCs w:val="24"/>
              </w:rPr>
              <w:t>198.08%</w:t>
            </w:r>
          </w:p>
        </w:tc>
        <w:tc>
          <w:tcPr>
            <w:vAlign w:val="center"/>
          </w:tcPr>
          <w:p>
            <w:pPr>
              <w:jc w:val="center"/>
            </w:pPr>
            <w:r>
              <w:rPr>
                <w:color w:val="000000"/>
                <w:sz w:val="24"/>
                <w:szCs w:val="24"/>
              </w:rPr>
              <w:t>1.48%</w:t>
            </w:r>
          </w:p>
        </w:tc>
        <w:tc>
          <w:tcPr>
            <w:vAlign w:val="center"/>
          </w:tcPr>
          <w:p>
            <w:pPr>
              <w:jc w:val="center"/>
            </w:pPr>
            <w:r>
              <w:rPr>
                <w:color w:val="000000"/>
                <w:sz w:val="24"/>
                <w:szCs w:val="24"/>
              </w:rPr>
              <w:t>39.93%</w:t>
            </w:r>
          </w:p>
        </w:tc>
        <w:tc>
          <w:tcPr>
            <w:vAlign w:val="center"/>
          </w:tcPr>
          <w:p>
            <w:pPr>
              <w:jc w:val="center"/>
            </w:pPr>
            <w:r>
              <w:rPr>
                <w:color w:val="000000"/>
                <w:sz w:val="24"/>
                <w:szCs w:val="24"/>
              </w:rPr>
              <w:t>0.96%</w:t>
            </w:r>
          </w:p>
        </w:tc>
        <w:tc>
          <w:tcPr>
            <w:vAlign w:val="center"/>
          </w:tcPr>
          <w:p>
            <w:pPr>
              <w:jc w:val="center"/>
            </w:pPr>
            <w:r>
              <w:rPr>
                <w:color w:val="000000"/>
                <w:sz w:val="24"/>
                <w:szCs w:val="24"/>
              </w:rPr>
              <w:t>158.15%</w:t>
            </w:r>
          </w:p>
        </w:tc>
        <w:tc>
          <w:tcPr>
            <w:vAlign w:val="center"/>
          </w:tcPr>
          <w:p>
            <w:pPr>
              <w:jc w:val="center"/>
            </w:pPr>
            <w:r>
              <w:rPr>
                <w:color w:val="000000"/>
                <w:sz w:val="24"/>
                <w:szCs w:val="24"/>
              </w:rPr>
              <w:t>0.52%</w:t>
            </w:r>
          </w:p>
        </w:tc>
      </w:tr>
      <w:tr>
        <w:tc>
          <w:tcPr>
            <w:vAlign w:val="center"/>
          </w:tcPr>
          <w:p>
            <w:pPr>
              <w:jc w:val="left"/>
            </w:pPr>
            <w:r>
              <w:rPr>
                <w:color w:val="000000"/>
                <w:sz w:val="24"/>
                <w:szCs w:val="24"/>
              </w:rPr>
              <w:t>自基金合同生效起至今</w:t>
            </w:r>
          </w:p>
        </w:tc>
        <w:tc>
          <w:tcPr>
            <w:vAlign w:val="center"/>
          </w:tcPr>
          <w:p>
            <w:pPr>
              <w:jc w:val="center"/>
            </w:pPr>
            <w:r>
              <w:rPr>
                <w:color w:val="000000"/>
                <w:sz w:val="24"/>
                <w:szCs w:val="24"/>
              </w:rPr>
              <w:t>276.78%</w:t>
            </w:r>
          </w:p>
        </w:tc>
        <w:tc>
          <w:tcPr>
            <w:vAlign w:val="center"/>
          </w:tcPr>
          <w:p>
            <w:pPr>
              <w:jc w:val="center"/>
            </w:pPr>
            <w:r>
              <w:rPr>
                <w:color w:val="000000"/>
                <w:sz w:val="24"/>
                <w:szCs w:val="24"/>
              </w:rPr>
              <w:t>1.53%</w:t>
            </w:r>
          </w:p>
        </w:tc>
        <w:tc>
          <w:tcPr>
            <w:vAlign w:val="center"/>
          </w:tcPr>
          <w:p>
            <w:pPr>
              <w:jc w:val="center"/>
            </w:pPr>
            <w:r>
              <w:rPr>
                <w:color w:val="000000"/>
                <w:sz w:val="24"/>
                <w:szCs w:val="24"/>
              </w:rPr>
              <w:t>50.31%</w:t>
            </w:r>
          </w:p>
        </w:tc>
        <w:tc>
          <w:tcPr>
            <w:vAlign w:val="center"/>
          </w:tcPr>
          <w:p>
            <w:pPr>
              <w:jc w:val="center"/>
            </w:pPr>
            <w:r>
              <w:rPr>
                <w:color w:val="000000"/>
                <w:sz w:val="24"/>
                <w:szCs w:val="24"/>
              </w:rPr>
              <w:t>1.09%</w:t>
            </w:r>
          </w:p>
        </w:tc>
        <w:tc>
          <w:tcPr>
            <w:vAlign w:val="center"/>
          </w:tcPr>
          <w:p>
            <w:pPr>
              <w:jc w:val="center"/>
            </w:pPr>
            <w:r>
              <w:rPr>
                <w:color w:val="000000"/>
                <w:sz w:val="24"/>
                <w:szCs w:val="24"/>
              </w:rPr>
              <w:t>226.47%</w:t>
            </w:r>
          </w:p>
        </w:tc>
        <w:tc>
          <w:tcPr>
            <w:vAlign w:val="center"/>
          </w:tcPr>
          <w:p>
            <w:pPr>
              <w:jc w:val="center"/>
            </w:pPr>
            <w:r>
              <w:rPr>
                <w:color w:val="000000"/>
                <w:sz w:val="24"/>
                <w:szCs w:val="24"/>
              </w:rPr>
              <w:t>0.44%</w:t>
            </w:r>
          </w:p>
        </w:tc>
      </w:tr>
    </w:tbl>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业绩比较基准自2015年10月1日起，由“75%×沪深300指数收益率+25%×中信标普全债指数收益率”变更为“75%×沪深300指数收益率+25%×中证综合债券指数收益率”，3.2.2同。详情见本基金管理人于2015年9月28日发布的《交银施罗德基金管理有限公司关于旗下部分基金业绩比较基准变更并修改基金合同相关内容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交银施罗德趋势优先混合型证券投资基金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2010年12月22日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2020年9月30日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杨金金</w:t>
            </w:r>
          </w:p>
        </w:tc>
        <w:tc>
          <w:tcPr>
            <w:vAlign w:val="center"/>
          </w:tcPr>
          <w:p>
            <w:pPr>
              <w:jc w:val="center"/>
            </w:pPr>
            <w:r>
              <w:rPr>
                <w:color w:val="000000"/>
                <w:sz w:val="24"/>
                <w:szCs w:val="24"/>
              </w:rPr>
              <w:t>交银趋势混合的基金经理</w:t>
            </w:r>
          </w:p>
        </w:tc>
        <w:tc>
          <w:tcPr>
            <w:vAlign w:val="center"/>
          </w:tcPr>
          <w:p>
            <w:pPr>
              <w:jc w:val="center"/>
            </w:pPr>
            <w:r>
              <w:rPr>
                <w:color w:val="000000"/>
                <w:sz w:val="24"/>
                <w:szCs w:val="24"/>
              </w:rPr>
              <w:t>2020-05-06</w:t>
            </w:r>
          </w:p>
        </w:tc>
        <w:tc>
          <w:tcPr>
            <w:vAlign w:val="center"/>
          </w:tcPr>
          <w:p>
            <w:pPr>
              <w:jc w:val="center"/>
            </w:pPr>
            <w:r>
              <w:rPr>
                <w:color w:val="000000"/>
                <w:sz w:val="24"/>
                <w:szCs w:val="24"/>
              </w:rPr>
              <w:t>-</w:t>
            </w:r>
          </w:p>
        </w:tc>
        <w:tc>
          <w:tcPr>
            <w:vAlign w:val="center"/>
          </w:tcPr>
          <w:p>
            <w:pPr>
              <w:jc w:val="center"/>
            </w:pPr>
            <w:r>
              <w:rPr>
                <w:color w:val="000000"/>
                <w:sz w:val="24"/>
                <w:szCs w:val="24"/>
              </w:rPr>
              <w:t>6年</w:t>
            </w:r>
          </w:p>
        </w:tc>
        <w:tc>
          <w:tcPr>
            <w:vAlign w:val="center"/>
          </w:tcPr>
          <w:p>
            <w:pPr>
              <w:jc w:val="both"/>
            </w:pPr>
            <w:r>
              <w:rPr>
                <w:color w:val="000000"/>
                <w:sz w:val="24"/>
                <w:szCs w:val="24"/>
              </w:rPr>
              <w:t>杨金金先生。复旦大学金融学硕士、华东理工大学材料工程学士。历任长江证券研究部高级分析师，华泰柏瑞基金公司研究员。2017年加入交银施罗德基金管理有限公司，历任行业分析师。</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 xml:space="preserve">2020年三季度，受全球流动性泛滥、经济复苏进展及海外二次爆发等因素影响，市场先涨后跌大幅波动。对应到国内市场来看，医药、食品、消费电子、军工、光伏以及新能源等板块行情此起彼伏。本基金三季度维持中性仓位，致力于投资自下而上驱动，产业趋势向上、公司治理有横向优势以及处于改善趋势的细分行业龙头。综合来看，本基金在三季度跑赢业绩比较基准。  </w:t>
      </w:r>
    </w:p>
    <w:p>
      <w:pPr>
        <w:spacing w:before="29" w:line="288" w:lineRule="auto"/>
        <w:ind w:firstLine="480" w:firstLineChars="200"/>
        <w:rPr>
          <w:color w:val="000000"/>
          <w:sz w:val="24"/>
          <w:szCs w:val="24"/>
        </w:rPr>
      </w:pPr>
      <w:r>
        <w:rPr>
          <w:color w:val="000000"/>
          <w:sz w:val="24"/>
          <w:szCs w:val="24"/>
        </w:rPr>
        <w:t>展望2020年四季度，基于对社会经济运行规律及企业发展规律的理解下，我们认为除了短期内被市场追捧的板块，仍存在着大量的低估细分行业及公司仍尚未挖掘：</w:t>
      </w:r>
    </w:p>
    <w:p>
      <w:pPr>
        <w:spacing w:before="29" w:line="288" w:lineRule="auto"/>
        <w:ind w:firstLine="480" w:firstLineChars="200"/>
        <w:rPr>
          <w:color w:val="000000"/>
          <w:sz w:val="24"/>
          <w:szCs w:val="24"/>
        </w:rPr>
      </w:pPr>
      <w:r>
        <w:rPr>
          <w:color w:val="000000"/>
          <w:sz w:val="24"/>
          <w:szCs w:val="24"/>
        </w:rPr>
        <w:t>1）在人口结构变化、消费观念升级以及制造业升级等趋势下，量变到质变的细分子行业中正在发生层出不穷的产业趋势变化。</w:t>
      </w:r>
    </w:p>
    <w:p>
      <w:pPr>
        <w:spacing w:before="29" w:line="288" w:lineRule="auto"/>
        <w:ind w:firstLine="480" w:firstLineChars="200"/>
        <w:rPr>
          <w:color w:val="000000"/>
          <w:sz w:val="24"/>
          <w:szCs w:val="24"/>
        </w:rPr>
      </w:pPr>
      <w:r>
        <w:rPr>
          <w:color w:val="000000"/>
          <w:sz w:val="24"/>
          <w:szCs w:val="24"/>
        </w:rPr>
        <w:t>2）社会大生产及高度分工背景下，越来越多的新兴机会出现在交叉学科及交叉行业之中，需要跳出传统的行业分析框架来演绎。</w:t>
      </w:r>
    </w:p>
    <w:p>
      <w:pPr>
        <w:spacing w:before="29" w:line="288" w:lineRule="auto"/>
        <w:ind w:firstLine="480" w:firstLineChars="200"/>
        <w:rPr>
          <w:color w:val="000000"/>
          <w:sz w:val="24"/>
          <w:szCs w:val="24"/>
        </w:rPr>
      </w:pPr>
      <w:r>
        <w:rPr>
          <w:color w:val="000000"/>
          <w:sz w:val="24"/>
          <w:szCs w:val="24"/>
        </w:rPr>
        <w:t>3）在经历过行业竞争激烈洗牌后，传统行业中真正具备核心竞争力的公司正在步入长期份额提升及附加值提升通道。</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综上，我们未来将长期集中注意力于挖掘新的产业趋势及成长龙头，寻找能够长大的中小市值公司，与优秀的企业家共同成长。</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 xml:space="preserve">本基金本报告期内无需预警说明。 </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1,935,700,100.40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83.44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1,935,700,100.40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83.44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378,094,977.20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16.30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6,204,134.28</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0.27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2,319,999,211.88</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40,518,199.00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1.78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1,400,462,716.52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61.60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8,317,005.12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0.37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160,522.75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219,925.08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207,112,143.97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9.11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127,026,748.80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5.59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143,114,090.28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6.29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8,273,201.62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0.36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495,547.26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1,935,700,100.40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85.14</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002315</w:t>
            </w:r>
          </w:p>
        </w:tc>
        <w:tc>
          <w:tcPr>
            <w:vAlign w:val="center"/>
          </w:tcPr>
          <w:p>
            <w:pPr>
              <w:jc w:val="center"/>
            </w:pPr>
            <w:r>
              <w:rPr>
                <w:color w:val="000000"/>
                <w:sz w:val="24"/>
                <w:szCs w:val="24"/>
              </w:rPr>
              <w:t>焦点科技</w:t>
            </w:r>
          </w:p>
        </w:tc>
        <w:tc>
          <w:tcPr>
            <w:vAlign w:val="center"/>
          </w:tcPr>
          <w:p>
            <w:pPr>
              <w:jc w:val="right"/>
            </w:pPr>
            <w:r>
              <w:rPr>
                <w:color w:val="000000"/>
                <w:sz w:val="24"/>
                <w:szCs w:val="24"/>
              </w:rPr>
              <w:t>10,895,311</w:t>
            </w:r>
          </w:p>
        </w:tc>
        <w:tc>
          <w:tcPr>
            <w:vAlign w:val="center"/>
          </w:tcPr>
          <w:p>
            <w:pPr>
              <w:jc w:val="right"/>
            </w:pPr>
            <w:r>
              <w:rPr>
                <w:color w:val="000000"/>
                <w:sz w:val="24"/>
                <w:szCs w:val="24"/>
              </w:rPr>
              <w:t>200,909,534.84</w:t>
            </w:r>
          </w:p>
        </w:tc>
        <w:tc>
          <w:tcPr>
            <w:vAlign w:val="center"/>
          </w:tcPr>
          <w:p>
            <w:pPr>
              <w:jc w:val="right"/>
            </w:pPr>
            <w:r>
              <w:rPr>
                <w:color w:val="000000"/>
                <w:sz w:val="24"/>
                <w:szCs w:val="24"/>
              </w:rPr>
              <w:t>8.84</w:t>
            </w:r>
          </w:p>
        </w:tc>
      </w:tr>
      <w:tr>
        <w:tc>
          <w:tcPr>
            <w:vAlign w:val="center"/>
          </w:tcPr>
          <w:p>
            <w:pPr>
              <w:jc w:val="center"/>
            </w:pPr>
            <w:r>
              <w:rPr>
                <w:color w:val="000000"/>
                <w:sz w:val="24"/>
                <w:szCs w:val="24"/>
              </w:rPr>
              <w:t>2</w:t>
            </w:r>
          </w:p>
        </w:tc>
        <w:tc>
          <w:tcPr>
            <w:vAlign w:val="center"/>
          </w:tcPr>
          <w:p>
            <w:pPr>
              <w:jc w:val="center"/>
            </w:pPr>
            <w:r>
              <w:rPr>
                <w:color w:val="000000"/>
                <w:sz w:val="24"/>
                <w:szCs w:val="24"/>
              </w:rPr>
              <w:t>600690</w:t>
            </w:r>
          </w:p>
        </w:tc>
        <w:tc>
          <w:tcPr>
            <w:vAlign w:val="center"/>
          </w:tcPr>
          <w:p>
            <w:pPr>
              <w:jc w:val="center"/>
            </w:pPr>
            <w:r>
              <w:rPr>
                <w:color w:val="000000"/>
                <w:sz w:val="24"/>
                <w:szCs w:val="24"/>
              </w:rPr>
              <w:t>海尔智家</w:t>
            </w:r>
          </w:p>
        </w:tc>
        <w:tc>
          <w:tcPr>
            <w:vAlign w:val="center"/>
          </w:tcPr>
          <w:p>
            <w:pPr>
              <w:jc w:val="right"/>
            </w:pPr>
            <w:r>
              <w:rPr>
                <w:color w:val="000000"/>
                <w:sz w:val="24"/>
                <w:szCs w:val="24"/>
              </w:rPr>
              <w:t>7,095,035</w:t>
            </w:r>
          </w:p>
        </w:tc>
        <w:tc>
          <w:tcPr>
            <w:vAlign w:val="center"/>
          </w:tcPr>
          <w:p>
            <w:pPr>
              <w:jc w:val="right"/>
            </w:pPr>
            <w:r>
              <w:rPr>
                <w:color w:val="000000"/>
                <w:sz w:val="24"/>
                <w:szCs w:val="24"/>
              </w:rPr>
              <w:t>154,813,663.70</w:t>
            </w:r>
          </w:p>
        </w:tc>
        <w:tc>
          <w:tcPr>
            <w:vAlign w:val="center"/>
          </w:tcPr>
          <w:p>
            <w:pPr>
              <w:jc w:val="right"/>
            </w:pPr>
            <w:r>
              <w:rPr>
                <w:color w:val="000000"/>
                <w:sz w:val="24"/>
                <w:szCs w:val="24"/>
              </w:rPr>
              <w:t>6.81</w:t>
            </w:r>
          </w:p>
        </w:tc>
      </w:tr>
      <w:tr>
        <w:tc>
          <w:tcPr>
            <w:vAlign w:val="center"/>
          </w:tcPr>
          <w:p>
            <w:pPr>
              <w:jc w:val="center"/>
            </w:pPr>
            <w:r>
              <w:rPr>
                <w:color w:val="000000"/>
                <w:sz w:val="24"/>
                <w:szCs w:val="24"/>
              </w:rPr>
              <w:t>3</w:t>
            </w:r>
          </w:p>
        </w:tc>
        <w:tc>
          <w:tcPr>
            <w:vAlign w:val="center"/>
          </w:tcPr>
          <w:p>
            <w:pPr>
              <w:jc w:val="center"/>
            </w:pPr>
            <w:r>
              <w:rPr>
                <w:color w:val="000000"/>
                <w:sz w:val="24"/>
                <w:szCs w:val="24"/>
              </w:rPr>
              <w:t>601968</w:t>
            </w:r>
          </w:p>
        </w:tc>
        <w:tc>
          <w:tcPr>
            <w:vAlign w:val="center"/>
          </w:tcPr>
          <w:p>
            <w:pPr>
              <w:jc w:val="center"/>
            </w:pPr>
            <w:r>
              <w:rPr>
                <w:color w:val="000000"/>
                <w:sz w:val="24"/>
                <w:szCs w:val="24"/>
              </w:rPr>
              <w:t>宝钢包装</w:t>
            </w:r>
          </w:p>
        </w:tc>
        <w:tc>
          <w:tcPr>
            <w:vAlign w:val="center"/>
          </w:tcPr>
          <w:p>
            <w:pPr>
              <w:jc w:val="right"/>
            </w:pPr>
            <w:r>
              <w:rPr>
                <w:color w:val="000000"/>
                <w:sz w:val="24"/>
                <w:szCs w:val="24"/>
              </w:rPr>
              <w:t>18,165,100</w:t>
            </w:r>
          </w:p>
        </w:tc>
        <w:tc>
          <w:tcPr>
            <w:vAlign w:val="center"/>
          </w:tcPr>
          <w:p>
            <w:pPr>
              <w:jc w:val="right"/>
            </w:pPr>
            <w:r>
              <w:rPr>
                <w:color w:val="000000"/>
                <w:sz w:val="24"/>
                <w:szCs w:val="24"/>
              </w:rPr>
              <w:t>147,863,914.00</w:t>
            </w:r>
          </w:p>
        </w:tc>
        <w:tc>
          <w:tcPr>
            <w:vAlign w:val="center"/>
          </w:tcPr>
          <w:p>
            <w:pPr>
              <w:jc w:val="right"/>
            </w:pPr>
            <w:r>
              <w:rPr>
                <w:color w:val="000000"/>
                <w:sz w:val="24"/>
                <w:szCs w:val="24"/>
              </w:rPr>
              <w:t>6.50</w:t>
            </w:r>
          </w:p>
        </w:tc>
      </w:tr>
      <w:tr>
        <w:tc>
          <w:tcPr>
            <w:vAlign w:val="center"/>
          </w:tcPr>
          <w:p>
            <w:pPr>
              <w:jc w:val="center"/>
            </w:pPr>
            <w:r>
              <w:rPr>
                <w:color w:val="000000"/>
                <w:sz w:val="24"/>
                <w:szCs w:val="24"/>
              </w:rPr>
              <w:t>4</w:t>
            </w:r>
          </w:p>
        </w:tc>
        <w:tc>
          <w:tcPr>
            <w:vAlign w:val="center"/>
          </w:tcPr>
          <w:p>
            <w:pPr>
              <w:jc w:val="center"/>
            </w:pPr>
            <w:r>
              <w:rPr>
                <w:color w:val="000000"/>
                <w:sz w:val="24"/>
                <w:szCs w:val="24"/>
              </w:rPr>
              <w:t>300215</w:t>
            </w:r>
          </w:p>
        </w:tc>
        <w:tc>
          <w:tcPr>
            <w:vAlign w:val="center"/>
          </w:tcPr>
          <w:p>
            <w:pPr>
              <w:jc w:val="center"/>
            </w:pPr>
            <w:r>
              <w:rPr>
                <w:color w:val="000000"/>
                <w:sz w:val="24"/>
                <w:szCs w:val="24"/>
              </w:rPr>
              <w:t>电科院</w:t>
            </w:r>
          </w:p>
        </w:tc>
        <w:tc>
          <w:tcPr>
            <w:vAlign w:val="center"/>
          </w:tcPr>
          <w:p>
            <w:pPr>
              <w:jc w:val="right"/>
            </w:pPr>
            <w:r>
              <w:rPr>
                <w:color w:val="000000"/>
                <w:sz w:val="24"/>
                <w:szCs w:val="24"/>
              </w:rPr>
              <w:t>17,262,900</w:t>
            </w:r>
          </w:p>
        </w:tc>
        <w:tc>
          <w:tcPr>
            <w:vAlign w:val="center"/>
          </w:tcPr>
          <w:p>
            <w:pPr>
              <w:jc w:val="right"/>
            </w:pPr>
            <w:r>
              <w:rPr>
                <w:color w:val="000000"/>
                <w:sz w:val="24"/>
                <w:szCs w:val="24"/>
              </w:rPr>
              <w:t>142,591,554.00</w:t>
            </w:r>
          </w:p>
        </w:tc>
        <w:tc>
          <w:tcPr>
            <w:vAlign w:val="center"/>
          </w:tcPr>
          <w:p>
            <w:pPr>
              <w:jc w:val="right"/>
            </w:pPr>
            <w:r>
              <w:rPr>
                <w:color w:val="000000"/>
                <w:sz w:val="24"/>
                <w:szCs w:val="24"/>
              </w:rPr>
              <w:t>6.27</w:t>
            </w:r>
          </w:p>
        </w:tc>
      </w:tr>
      <w:tr>
        <w:tc>
          <w:tcPr>
            <w:vAlign w:val="center"/>
          </w:tcPr>
          <w:p>
            <w:pPr>
              <w:jc w:val="center"/>
            </w:pPr>
            <w:r>
              <w:rPr>
                <w:color w:val="000000"/>
                <w:sz w:val="24"/>
                <w:szCs w:val="24"/>
              </w:rPr>
              <w:t>5</w:t>
            </w:r>
          </w:p>
        </w:tc>
        <w:tc>
          <w:tcPr>
            <w:vAlign w:val="center"/>
          </w:tcPr>
          <w:p>
            <w:pPr>
              <w:jc w:val="center"/>
            </w:pPr>
            <w:r>
              <w:rPr>
                <w:color w:val="000000"/>
                <w:sz w:val="24"/>
                <w:szCs w:val="24"/>
              </w:rPr>
              <w:t>603536</w:t>
            </w:r>
          </w:p>
        </w:tc>
        <w:tc>
          <w:tcPr>
            <w:vAlign w:val="center"/>
          </w:tcPr>
          <w:p>
            <w:pPr>
              <w:jc w:val="center"/>
            </w:pPr>
            <w:r>
              <w:rPr>
                <w:color w:val="000000"/>
                <w:sz w:val="24"/>
                <w:szCs w:val="24"/>
              </w:rPr>
              <w:t>惠发食品</w:t>
            </w:r>
          </w:p>
        </w:tc>
        <w:tc>
          <w:tcPr>
            <w:vAlign w:val="center"/>
          </w:tcPr>
          <w:p>
            <w:pPr>
              <w:jc w:val="right"/>
            </w:pPr>
            <w:r>
              <w:rPr>
                <w:color w:val="000000"/>
                <w:sz w:val="24"/>
                <w:szCs w:val="24"/>
              </w:rPr>
              <w:t>6,855,900</w:t>
            </w:r>
          </w:p>
        </w:tc>
        <w:tc>
          <w:tcPr>
            <w:vAlign w:val="center"/>
          </w:tcPr>
          <w:p>
            <w:pPr>
              <w:jc w:val="right"/>
            </w:pPr>
            <w:r>
              <w:rPr>
                <w:color w:val="000000"/>
                <w:sz w:val="24"/>
                <w:szCs w:val="24"/>
              </w:rPr>
              <w:t>130,810,572.00</w:t>
            </w:r>
          </w:p>
        </w:tc>
        <w:tc>
          <w:tcPr>
            <w:vAlign w:val="center"/>
          </w:tcPr>
          <w:p>
            <w:pPr>
              <w:jc w:val="right"/>
            </w:pPr>
            <w:r>
              <w:rPr>
                <w:color w:val="000000"/>
                <w:sz w:val="24"/>
                <w:szCs w:val="24"/>
              </w:rPr>
              <w:t>5.75</w:t>
            </w:r>
          </w:p>
        </w:tc>
      </w:tr>
      <w:tr>
        <w:tc>
          <w:tcPr>
            <w:vAlign w:val="center"/>
          </w:tcPr>
          <w:p>
            <w:pPr>
              <w:jc w:val="center"/>
            </w:pPr>
            <w:r>
              <w:rPr>
                <w:color w:val="000000"/>
                <w:sz w:val="24"/>
                <w:szCs w:val="24"/>
              </w:rPr>
              <w:t>6</w:t>
            </w:r>
          </w:p>
        </w:tc>
        <w:tc>
          <w:tcPr>
            <w:vAlign w:val="center"/>
          </w:tcPr>
          <w:p>
            <w:pPr>
              <w:jc w:val="center"/>
            </w:pPr>
            <w:r>
              <w:rPr>
                <w:color w:val="000000"/>
                <w:sz w:val="24"/>
                <w:szCs w:val="24"/>
              </w:rPr>
              <w:t>002362</w:t>
            </w:r>
          </w:p>
        </w:tc>
        <w:tc>
          <w:tcPr>
            <w:vAlign w:val="center"/>
          </w:tcPr>
          <w:p>
            <w:pPr>
              <w:jc w:val="center"/>
            </w:pPr>
            <w:r>
              <w:rPr>
                <w:color w:val="000000"/>
                <w:sz w:val="24"/>
                <w:szCs w:val="24"/>
              </w:rPr>
              <w:t>汉王科技</w:t>
            </w:r>
          </w:p>
        </w:tc>
        <w:tc>
          <w:tcPr>
            <w:vAlign w:val="center"/>
          </w:tcPr>
          <w:p>
            <w:pPr>
              <w:jc w:val="right"/>
            </w:pPr>
            <w:r>
              <w:rPr>
                <w:color w:val="000000"/>
                <w:sz w:val="24"/>
                <w:szCs w:val="24"/>
              </w:rPr>
              <w:t>5,599,900</w:t>
            </w:r>
          </w:p>
        </w:tc>
        <w:tc>
          <w:tcPr>
            <w:vAlign w:val="center"/>
          </w:tcPr>
          <w:p>
            <w:pPr>
              <w:jc w:val="right"/>
            </w:pPr>
            <w:r>
              <w:rPr>
                <w:color w:val="000000"/>
                <w:sz w:val="24"/>
                <w:szCs w:val="24"/>
              </w:rPr>
              <w:t>119,837,860.00</w:t>
            </w:r>
          </w:p>
        </w:tc>
        <w:tc>
          <w:tcPr>
            <w:vAlign w:val="center"/>
          </w:tcPr>
          <w:p>
            <w:pPr>
              <w:jc w:val="right"/>
            </w:pPr>
            <w:r>
              <w:rPr>
                <w:color w:val="000000"/>
                <w:sz w:val="24"/>
                <w:szCs w:val="24"/>
              </w:rPr>
              <w:t>5.27</w:t>
            </w:r>
          </w:p>
        </w:tc>
      </w:tr>
      <w:tr>
        <w:tc>
          <w:tcPr>
            <w:vAlign w:val="center"/>
          </w:tcPr>
          <w:p>
            <w:pPr>
              <w:jc w:val="center"/>
            </w:pPr>
            <w:r>
              <w:rPr>
                <w:color w:val="000000"/>
                <w:sz w:val="24"/>
                <w:szCs w:val="24"/>
              </w:rPr>
              <w:t>7</w:t>
            </w:r>
          </w:p>
        </w:tc>
        <w:tc>
          <w:tcPr>
            <w:vAlign w:val="center"/>
          </w:tcPr>
          <w:p>
            <w:pPr>
              <w:jc w:val="center"/>
            </w:pPr>
            <w:r>
              <w:rPr>
                <w:color w:val="000000"/>
                <w:sz w:val="24"/>
                <w:szCs w:val="24"/>
              </w:rPr>
              <w:t>300512</w:t>
            </w:r>
          </w:p>
        </w:tc>
        <w:tc>
          <w:tcPr>
            <w:vAlign w:val="center"/>
          </w:tcPr>
          <w:p>
            <w:pPr>
              <w:jc w:val="center"/>
            </w:pPr>
            <w:r>
              <w:rPr>
                <w:color w:val="000000"/>
                <w:sz w:val="24"/>
                <w:szCs w:val="24"/>
              </w:rPr>
              <w:t>中亚股份</w:t>
            </w:r>
          </w:p>
        </w:tc>
        <w:tc>
          <w:tcPr>
            <w:vAlign w:val="center"/>
          </w:tcPr>
          <w:p>
            <w:pPr>
              <w:jc w:val="right"/>
            </w:pPr>
            <w:r>
              <w:rPr>
                <w:color w:val="000000"/>
                <w:sz w:val="24"/>
                <w:szCs w:val="24"/>
              </w:rPr>
              <w:t>6,830,239</w:t>
            </w:r>
          </w:p>
        </w:tc>
        <w:tc>
          <w:tcPr>
            <w:vAlign w:val="center"/>
          </w:tcPr>
          <w:p>
            <w:pPr>
              <w:jc w:val="right"/>
            </w:pPr>
            <w:r>
              <w:rPr>
                <w:color w:val="000000"/>
                <w:sz w:val="24"/>
                <w:szCs w:val="24"/>
              </w:rPr>
              <w:t>105,595,494.94</w:t>
            </w:r>
          </w:p>
        </w:tc>
        <w:tc>
          <w:tcPr>
            <w:vAlign w:val="center"/>
          </w:tcPr>
          <w:p>
            <w:pPr>
              <w:jc w:val="right"/>
            </w:pPr>
            <w:r>
              <w:rPr>
                <w:color w:val="000000"/>
                <w:sz w:val="24"/>
                <w:szCs w:val="24"/>
              </w:rPr>
              <w:t>4.64</w:t>
            </w:r>
          </w:p>
        </w:tc>
      </w:tr>
      <w:tr>
        <w:tc>
          <w:tcPr>
            <w:vAlign w:val="center"/>
          </w:tcPr>
          <w:p>
            <w:pPr>
              <w:jc w:val="center"/>
            </w:pPr>
            <w:r>
              <w:rPr>
                <w:color w:val="000000"/>
                <w:sz w:val="24"/>
                <w:szCs w:val="24"/>
              </w:rPr>
              <w:t>8</w:t>
            </w:r>
          </w:p>
        </w:tc>
        <w:tc>
          <w:tcPr>
            <w:vAlign w:val="center"/>
          </w:tcPr>
          <w:p>
            <w:pPr>
              <w:jc w:val="center"/>
            </w:pPr>
            <w:r>
              <w:rPr>
                <w:color w:val="000000"/>
                <w:sz w:val="24"/>
                <w:szCs w:val="24"/>
              </w:rPr>
              <w:t>601038</w:t>
            </w:r>
          </w:p>
        </w:tc>
        <w:tc>
          <w:tcPr>
            <w:vAlign w:val="center"/>
          </w:tcPr>
          <w:p>
            <w:pPr>
              <w:jc w:val="center"/>
            </w:pPr>
            <w:r>
              <w:rPr>
                <w:color w:val="000000"/>
                <w:sz w:val="24"/>
                <w:szCs w:val="24"/>
              </w:rPr>
              <w:t>一拖股份</w:t>
            </w:r>
          </w:p>
        </w:tc>
        <w:tc>
          <w:tcPr>
            <w:vAlign w:val="center"/>
          </w:tcPr>
          <w:p>
            <w:pPr>
              <w:jc w:val="right"/>
            </w:pPr>
            <w:r>
              <w:rPr>
                <w:color w:val="000000"/>
                <w:sz w:val="24"/>
                <w:szCs w:val="24"/>
              </w:rPr>
              <w:t>8,045,000</w:t>
            </w:r>
          </w:p>
        </w:tc>
        <w:tc>
          <w:tcPr>
            <w:vAlign w:val="center"/>
          </w:tcPr>
          <w:p>
            <w:pPr>
              <w:jc w:val="right"/>
            </w:pPr>
            <w:r>
              <w:rPr>
                <w:color w:val="000000"/>
                <w:sz w:val="24"/>
                <w:szCs w:val="24"/>
              </w:rPr>
              <w:t>89,782,200.00</w:t>
            </w:r>
          </w:p>
        </w:tc>
        <w:tc>
          <w:tcPr>
            <w:vAlign w:val="center"/>
          </w:tcPr>
          <w:p>
            <w:pPr>
              <w:jc w:val="right"/>
            </w:pPr>
            <w:r>
              <w:rPr>
                <w:color w:val="000000"/>
                <w:sz w:val="24"/>
                <w:szCs w:val="24"/>
              </w:rPr>
              <w:t>3.95</w:t>
            </w:r>
          </w:p>
        </w:tc>
      </w:tr>
      <w:tr>
        <w:tc>
          <w:tcPr>
            <w:vAlign w:val="center"/>
          </w:tcPr>
          <w:p>
            <w:pPr>
              <w:jc w:val="center"/>
            </w:pPr>
            <w:r>
              <w:rPr>
                <w:color w:val="000000"/>
                <w:sz w:val="24"/>
                <w:szCs w:val="24"/>
              </w:rPr>
              <w:t>9</w:t>
            </w:r>
          </w:p>
        </w:tc>
        <w:tc>
          <w:tcPr>
            <w:vAlign w:val="center"/>
          </w:tcPr>
          <w:p>
            <w:pPr>
              <w:jc w:val="center"/>
            </w:pPr>
            <w:r>
              <w:rPr>
                <w:color w:val="000000"/>
                <w:sz w:val="24"/>
                <w:szCs w:val="24"/>
              </w:rPr>
              <w:t>002049</w:t>
            </w:r>
          </w:p>
        </w:tc>
        <w:tc>
          <w:tcPr>
            <w:vAlign w:val="center"/>
          </w:tcPr>
          <w:p>
            <w:pPr>
              <w:jc w:val="center"/>
            </w:pPr>
            <w:r>
              <w:rPr>
                <w:color w:val="000000"/>
                <w:sz w:val="24"/>
                <w:szCs w:val="24"/>
              </w:rPr>
              <w:t>紫光国微</w:t>
            </w:r>
          </w:p>
        </w:tc>
        <w:tc>
          <w:tcPr>
            <w:vAlign w:val="center"/>
          </w:tcPr>
          <w:p>
            <w:pPr>
              <w:jc w:val="right"/>
            </w:pPr>
            <w:r>
              <w:rPr>
                <w:color w:val="000000"/>
                <w:sz w:val="24"/>
                <w:szCs w:val="24"/>
              </w:rPr>
              <w:t>600,300</w:t>
            </w:r>
          </w:p>
        </w:tc>
        <w:tc>
          <w:tcPr>
            <w:vAlign w:val="center"/>
          </w:tcPr>
          <w:p>
            <w:pPr>
              <w:jc w:val="right"/>
            </w:pPr>
            <w:r>
              <w:rPr>
                <w:color w:val="000000"/>
                <w:sz w:val="24"/>
                <w:szCs w:val="24"/>
              </w:rPr>
              <w:t>71,303,634.00</w:t>
            </w:r>
          </w:p>
        </w:tc>
        <w:tc>
          <w:tcPr>
            <w:vAlign w:val="center"/>
          </w:tcPr>
          <w:p>
            <w:pPr>
              <w:jc w:val="right"/>
            </w:pPr>
            <w:r>
              <w:rPr>
                <w:color w:val="000000"/>
                <w:sz w:val="24"/>
                <w:szCs w:val="24"/>
              </w:rPr>
              <w:t>3.14</w:t>
            </w:r>
          </w:p>
        </w:tc>
      </w:tr>
      <w:tr>
        <w:tc>
          <w:tcPr>
            <w:vAlign w:val="center"/>
          </w:tcPr>
          <w:p>
            <w:pPr>
              <w:jc w:val="center"/>
            </w:pPr>
            <w:r>
              <w:rPr>
                <w:color w:val="000000"/>
                <w:sz w:val="24"/>
                <w:szCs w:val="24"/>
              </w:rPr>
              <w:t>10</w:t>
            </w:r>
          </w:p>
        </w:tc>
        <w:tc>
          <w:tcPr>
            <w:vAlign w:val="center"/>
          </w:tcPr>
          <w:p>
            <w:pPr>
              <w:jc w:val="center"/>
            </w:pPr>
            <w:r>
              <w:rPr>
                <w:color w:val="000000"/>
                <w:sz w:val="24"/>
                <w:szCs w:val="24"/>
              </w:rPr>
              <w:t>000589</w:t>
            </w:r>
          </w:p>
        </w:tc>
        <w:tc>
          <w:tcPr>
            <w:vAlign w:val="center"/>
          </w:tcPr>
          <w:p>
            <w:pPr>
              <w:jc w:val="center"/>
            </w:pPr>
            <w:r>
              <w:rPr>
                <w:color w:val="000000"/>
                <w:sz w:val="24"/>
                <w:szCs w:val="24"/>
              </w:rPr>
              <w:t>贵州轮胎</w:t>
            </w:r>
          </w:p>
        </w:tc>
        <w:tc>
          <w:tcPr>
            <w:vAlign w:val="center"/>
          </w:tcPr>
          <w:p>
            <w:pPr>
              <w:jc w:val="right"/>
            </w:pPr>
            <w:r>
              <w:rPr>
                <w:color w:val="000000"/>
                <w:sz w:val="24"/>
                <w:szCs w:val="24"/>
              </w:rPr>
              <w:t>11,396,000</w:t>
            </w:r>
          </w:p>
        </w:tc>
        <w:tc>
          <w:tcPr>
            <w:vAlign w:val="center"/>
          </w:tcPr>
          <w:p>
            <w:pPr>
              <w:jc w:val="right"/>
            </w:pPr>
            <w:r>
              <w:rPr>
                <w:color w:val="000000"/>
                <w:sz w:val="24"/>
                <w:szCs w:val="24"/>
              </w:rPr>
              <w:t>66,666,600.00</w:t>
            </w:r>
          </w:p>
        </w:tc>
        <w:tc>
          <w:tcPr>
            <w:vAlign w:val="center"/>
          </w:tcPr>
          <w:p>
            <w:pPr>
              <w:jc w:val="right"/>
            </w:pPr>
            <w:r>
              <w:rPr>
                <w:color w:val="000000"/>
                <w:sz w:val="24"/>
                <w:szCs w:val="24"/>
              </w:rPr>
              <w:t>2.93</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602,231.02</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3,926,378.71</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46,037.02</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1,629,487.53</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6,204,134.28</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288,341,994.46</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752,951,025.54</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164,786,996.41</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876,506,023.59</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1、中国证监会核准交银施罗德趋势优先股票证券投资基金募集的文件； </w:t>
      </w:r>
    </w:p>
    <w:p>
      <w:pPr>
        <w:spacing w:before="29" w:line="288" w:lineRule="auto"/>
        <w:ind w:firstLine="480" w:firstLineChars="200"/>
        <w:rPr>
          <w:color w:val="000000"/>
          <w:sz w:val="24"/>
          <w:szCs w:val="24"/>
        </w:rPr>
      </w:pPr>
      <w:r>
        <w:rPr>
          <w:color w:val="000000"/>
          <w:sz w:val="24"/>
          <w:szCs w:val="24"/>
        </w:rPr>
        <w:t xml:space="preserve">2、《交银施罗德趋势优先混合型证券投资基金基金合同》； </w:t>
      </w:r>
    </w:p>
    <w:p>
      <w:pPr>
        <w:spacing w:before="29" w:line="288" w:lineRule="auto"/>
        <w:ind w:firstLine="480" w:firstLineChars="200"/>
        <w:rPr>
          <w:color w:val="000000"/>
          <w:sz w:val="24"/>
          <w:szCs w:val="24"/>
        </w:rPr>
      </w:pPr>
      <w:r>
        <w:rPr>
          <w:color w:val="000000"/>
          <w:sz w:val="24"/>
          <w:szCs w:val="24"/>
        </w:rPr>
        <w:t>3、《交银施罗德趋势优先混合型证券投资基金招募说明书》；</w:t>
      </w:r>
    </w:p>
    <w:p>
      <w:pPr>
        <w:spacing w:before="29" w:line="288" w:lineRule="auto"/>
        <w:ind w:firstLine="480" w:firstLineChars="200"/>
        <w:rPr>
          <w:color w:val="000000"/>
          <w:sz w:val="24"/>
          <w:szCs w:val="24"/>
        </w:rPr>
      </w:pPr>
      <w:r>
        <w:rPr>
          <w:color w:val="000000"/>
          <w:sz w:val="24"/>
          <w:szCs w:val="24"/>
        </w:rPr>
        <w:t xml:space="preserve">4、《交银施罗德趋势优先混合型证券投资基金托管协议》； </w:t>
      </w:r>
    </w:p>
    <w:p>
      <w:pPr>
        <w:spacing w:before="29" w:line="288" w:lineRule="auto"/>
        <w:ind w:firstLine="480" w:firstLineChars="200"/>
        <w:rPr>
          <w:color w:val="000000"/>
          <w:sz w:val="24"/>
          <w:szCs w:val="24"/>
        </w:rPr>
      </w:pPr>
      <w:r>
        <w:rPr>
          <w:color w:val="000000"/>
          <w:sz w:val="24"/>
          <w:szCs w:val="24"/>
        </w:rPr>
        <w:t>5、关于申请募集交银施罗德趋势优先股票证券投资基金之法律意见书；</w:t>
      </w:r>
    </w:p>
    <w:p>
      <w:pPr>
        <w:spacing w:before="29" w:line="288" w:lineRule="auto"/>
        <w:ind w:firstLine="480" w:firstLineChars="200"/>
        <w:rPr>
          <w:color w:val="000000"/>
          <w:sz w:val="24"/>
          <w:szCs w:val="24"/>
        </w:rPr>
      </w:pPr>
      <w:r>
        <w:rPr>
          <w:color w:val="000000"/>
          <w:sz w:val="24"/>
          <w:szCs w:val="24"/>
        </w:rPr>
        <w:t>6、基金管理人业务资格批件、营业执照；</w:t>
      </w:r>
    </w:p>
    <w:p>
      <w:pPr>
        <w:spacing w:before="29" w:line="288" w:lineRule="auto"/>
        <w:ind w:firstLine="480" w:firstLineChars="200"/>
        <w:rPr>
          <w:color w:val="000000"/>
          <w:sz w:val="24"/>
          <w:szCs w:val="24"/>
        </w:rPr>
      </w:pPr>
      <w:r>
        <w:rPr>
          <w:color w:val="000000"/>
          <w:sz w:val="24"/>
          <w:szCs w:val="24"/>
        </w:rPr>
        <w:t>7、基金托管人业务资格批件、营业执照；</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8、报告期内交银施罗德趋势优先混合型证券投资基金在指定报刊上各项公告的原稿。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交银施罗德趋势优先混合型证券投资基金2020年第3季度报告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