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2020</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2020</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二〇二〇年十月二十八日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575AF" w:rsidRDefault="005B2EA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基金的过往业绩并不代表其未来表</w:t>
      </w:r>
      <w:r>
        <w:rPr>
          <w:color w:val="000000"/>
          <w:sz w:val="24"/>
        </w:rPr>
        <w:t>现。投资有风险，投资者在作出投资决策前应仔细阅读本基金的招募说明书。</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2020</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57,453,245.67</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E08D2" w:rsidRPr="008640AE" w:rsidTr="00BE08D2">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(2020</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-2020</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BE08D2" w:rsidRPr="008640AE" w:rsidTr="00BE08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9,814,947.79</w:t>
            </w:r>
          </w:p>
        </w:tc>
      </w:tr>
      <w:tr w:rsidR="00BE08D2" w:rsidRPr="008640AE" w:rsidTr="00BE08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6,862,182.92</w:t>
            </w:r>
          </w:p>
        </w:tc>
      </w:tr>
      <w:tr w:rsidR="00BE08D2" w:rsidRPr="008640AE" w:rsidTr="00BE08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0.1185</w:t>
            </w:r>
          </w:p>
        </w:tc>
      </w:tr>
      <w:tr w:rsidR="00BE08D2" w:rsidRPr="008640AE" w:rsidTr="00BE08D2">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129,258,698.11</w:t>
            </w:r>
          </w:p>
        </w:tc>
      </w:tr>
      <w:tr w:rsidR="00BE08D2" w:rsidRPr="008640AE" w:rsidTr="00BE08D2">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2.250</w:t>
            </w:r>
          </w:p>
        </w:tc>
      </w:tr>
    </w:tbl>
    <w:p w:rsidR="00A575AF" w:rsidRDefault="005B2EA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575AF">
        <w:trPr>
          <w:jc w:val="center"/>
        </w:trPr>
        <w:tc>
          <w:tcPr>
            <w:tcW w:w="1701" w:type="dxa"/>
            <w:vAlign w:val="center"/>
          </w:tcPr>
          <w:p w:rsidR="00A575AF" w:rsidRDefault="005B2EA5">
            <w:pPr>
              <w:jc w:val="left"/>
            </w:pPr>
            <w:r>
              <w:rPr>
                <w:color w:val="000000"/>
                <w:sz w:val="24"/>
              </w:rPr>
              <w:t>过去三个月</w:t>
            </w:r>
          </w:p>
        </w:tc>
        <w:tc>
          <w:tcPr>
            <w:tcW w:w="1194" w:type="dxa"/>
            <w:vAlign w:val="center"/>
          </w:tcPr>
          <w:p w:rsidR="00A575AF" w:rsidRDefault="005B2EA5">
            <w:pPr>
              <w:jc w:val="right"/>
            </w:pPr>
            <w:r>
              <w:rPr>
                <w:color w:val="000000"/>
                <w:sz w:val="24"/>
              </w:rPr>
              <w:t>5.49%</w:t>
            </w:r>
          </w:p>
        </w:tc>
        <w:tc>
          <w:tcPr>
            <w:tcW w:w="1194" w:type="dxa"/>
            <w:vAlign w:val="center"/>
          </w:tcPr>
          <w:p w:rsidR="00A575AF" w:rsidRDefault="005B2EA5">
            <w:pPr>
              <w:jc w:val="right"/>
            </w:pPr>
            <w:r>
              <w:rPr>
                <w:color w:val="000000"/>
                <w:sz w:val="24"/>
              </w:rPr>
              <w:t>0.91%</w:t>
            </w:r>
          </w:p>
        </w:tc>
        <w:tc>
          <w:tcPr>
            <w:tcW w:w="1194" w:type="dxa"/>
            <w:vAlign w:val="center"/>
          </w:tcPr>
          <w:p w:rsidR="00A575AF" w:rsidRDefault="005B2EA5">
            <w:pPr>
              <w:jc w:val="right"/>
            </w:pPr>
            <w:r>
              <w:rPr>
                <w:color w:val="000000"/>
                <w:sz w:val="24"/>
              </w:rPr>
              <w:t>4.08%</w:t>
            </w:r>
          </w:p>
        </w:tc>
        <w:tc>
          <w:tcPr>
            <w:tcW w:w="1343" w:type="dxa"/>
            <w:vAlign w:val="center"/>
          </w:tcPr>
          <w:p w:rsidR="00A575AF" w:rsidRDefault="005B2EA5">
            <w:pPr>
              <w:jc w:val="right"/>
            </w:pPr>
            <w:r>
              <w:rPr>
                <w:color w:val="000000"/>
                <w:sz w:val="24"/>
              </w:rPr>
              <w:t>0.81%</w:t>
            </w:r>
          </w:p>
        </w:tc>
        <w:tc>
          <w:tcPr>
            <w:tcW w:w="1194" w:type="dxa"/>
            <w:vAlign w:val="center"/>
          </w:tcPr>
          <w:p w:rsidR="00A575AF" w:rsidRDefault="005B2EA5">
            <w:pPr>
              <w:jc w:val="right"/>
            </w:pPr>
            <w:r>
              <w:rPr>
                <w:color w:val="000000"/>
                <w:sz w:val="24"/>
              </w:rPr>
              <w:t>1.41%</w:t>
            </w:r>
          </w:p>
        </w:tc>
        <w:tc>
          <w:tcPr>
            <w:tcW w:w="1048" w:type="dxa"/>
            <w:vAlign w:val="center"/>
          </w:tcPr>
          <w:p w:rsidR="00A575AF" w:rsidRDefault="005B2EA5">
            <w:pPr>
              <w:jc w:val="right"/>
            </w:pPr>
            <w:r>
              <w:rPr>
                <w:color w:val="000000"/>
                <w:sz w:val="24"/>
              </w:rPr>
              <w:t>0.10%</w:t>
            </w:r>
          </w:p>
        </w:tc>
      </w:tr>
      <w:tr w:rsidR="00A575AF">
        <w:trPr>
          <w:jc w:val="center"/>
        </w:trPr>
        <w:tc>
          <w:tcPr>
            <w:tcW w:w="1701" w:type="dxa"/>
            <w:vAlign w:val="center"/>
          </w:tcPr>
          <w:p w:rsidR="00A575AF" w:rsidRDefault="005B2EA5">
            <w:pPr>
              <w:jc w:val="left"/>
            </w:pPr>
            <w:r>
              <w:rPr>
                <w:color w:val="000000"/>
                <w:sz w:val="24"/>
              </w:rPr>
              <w:lastRenderedPageBreak/>
              <w:t>过去六个月</w:t>
            </w:r>
          </w:p>
        </w:tc>
        <w:tc>
          <w:tcPr>
            <w:tcW w:w="1194" w:type="dxa"/>
            <w:vAlign w:val="center"/>
          </w:tcPr>
          <w:p w:rsidR="00A575AF" w:rsidRDefault="005B2EA5">
            <w:pPr>
              <w:jc w:val="right"/>
            </w:pPr>
            <w:r>
              <w:rPr>
                <w:color w:val="000000"/>
                <w:sz w:val="24"/>
              </w:rPr>
              <w:t>24.52%</w:t>
            </w:r>
          </w:p>
        </w:tc>
        <w:tc>
          <w:tcPr>
            <w:tcW w:w="1194" w:type="dxa"/>
            <w:vAlign w:val="center"/>
          </w:tcPr>
          <w:p w:rsidR="00A575AF" w:rsidRDefault="005B2EA5">
            <w:pPr>
              <w:jc w:val="right"/>
            </w:pPr>
            <w:r>
              <w:rPr>
                <w:color w:val="000000"/>
                <w:sz w:val="24"/>
              </w:rPr>
              <w:t>1.11%</w:t>
            </w:r>
          </w:p>
        </w:tc>
        <w:tc>
          <w:tcPr>
            <w:tcW w:w="1194" w:type="dxa"/>
            <w:vAlign w:val="center"/>
          </w:tcPr>
          <w:p w:rsidR="00A575AF" w:rsidRDefault="005B2EA5">
            <w:pPr>
              <w:jc w:val="right"/>
            </w:pPr>
            <w:r>
              <w:rPr>
                <w:color w:val="000000"/>
                <w:sz w:val="24"/>
              </w:rPr>
              <w:t>18.58%</w:t>
            </w:r>
          </w:p>
        </w:tc>
        <w:tc>
          <w:tcPr>
            <w:tcW w:w="1343" w:type="dxa"/>
            <w:vAlign w:val="center"/>
          </w:tcPr>
          <w:p w:rsidR="00A575AF" w:rsidRDefault="005B2EA5">
            <w:pPr>
              <w:jc w:val="right"/>
            </w:pPr>
            <w:r>
              <w:rPr>
                <w:color w:val="000000"/>
                <w:sz w:val="24"/>
              </w:rPr>
              <w:t>1.20%</w:t>
            </w:r>
          </w:p>
        </w:tc>
        <w:tc>
          <w:tcPr>
            <w:tcW w:w="1194" w:type="dxa"/>
            <w:vAlign w:val="center"/>
          </w:tcPr>
          <w:p w:rsidR="00A575AF" w:rsidRDefault="005B2EA5">
            <w:pPr>
              <w:jc w:val="right"/>
            </w:pPr>
            <w:r>
              <w:rPr>
                <w:color w:val="000000"/>
                <w:sz w:val="24"/>
              </w:rPr>
              <w:t>5.94%</w:t>
            </w:r>
          </w:p>
        </w:tc>
        <w:tc>
          <w:tcPr>
            <w:tcW w:w="1048" w:type="dxa"/>
            <w:vAlign w:val="center"/>
          </w:tcPr>
          <w:p w:rsidR="00A575AF" w:rsidRDefault="005B2EA5">
            <w:pPr>
              <w:jc w:val="right"/>
            </w:pPr>
            <w:r>
              <w:rPr>
                <w:color w:val="000000"/>
                <w:sz w:val="24"/>
              </w:rPr>
              <w:t>-0.09%</w:t>
            </w:r>
          </w:p>
        </w:tc>
      </w:tr>
      <w:tr w:rsidR="00A575AF">
        <w:trPr>
          <w:jc w:val="center"/>
        </w:trPr>
        <w:tc>
          <w:tcPr>
            <w:tcW w:w="1701" w:type="dxa"/>
            <w:vAlign w:val="center"/>
          </w:tcPr>
          <w:p w:rsidR="00A575AF" w:rsidRDefault="005B2EA5">
            <w:pPr>
              <w:jc w:val="left"/>
            </w:pPr>
            <w:r>
              <w:rPr>
                <w:color w:val="000000"/>
                <w:sz w:val="24"/>
              </w:rPr>
              <w:t>过去一年</w:t>
            </w:r>
          </w:p>
        </w:tc>
        <w:tc>
          <w:tcPr>
            <w:tcW w:w="1194" w:type="dxa"/>
            <w:vAlign w:val="center"/>
          </w:tcPr>
          <w:p w:rsidR="00A575AF" w:rsidRDefault="005B2EA5">
            <w:pPr>
              <w:jc w:val="right"/>
            </w:pPr>
            <w:r>
              <w:rPr>
                <w:color w:val="000000"/>
                <w:sz w:val="24"/>
              </w:rPr>
              <w:t>15.48%</w:t>
            </w:r>
          </w:p>
        </w:tc>
        <w:tc>
          <w:tcPr>
            <w:tcW w:w="1194" w:type="dxa"/>
            <w:vAlign w:val="center"/>
          </w:tcPr>
          <w:p w:rsidR="00A575AF" w:rsidRDefault="005B2EA5">
            <w:pPr>
              <w:jc w:val="right"/>
            </w:pPr>
            <w:r>
              <w:rPr>
                <w:color w:val="000000"/>
                <w:sz w:val="24"/>
              </w:rPr>
              <w:t>1.40%</w:t>
            </w:r>
          </w:p>
        </w:tc>
        <w:tc>
          <w:tcPr>
            <w:tcW w:w="1194" w:type="dxa"/>
            <w:vAlign w:val="center"/>
          </w:tcPr>
          <w:p w:rsidR="00A575AF" w:rsidRDefault="005B2EA5">
            <w:pPr>
              <w:jc w:val="right"/>
            </w:pPr>
            <w:r>
              <w:rPr>
                <w:color w:val="000000"/>
                <w:sz w:val="24"/>
              </w:rPr>
              <w:t>3.57%</w:t>
            </w:r>
          </w:p>
        </w:tc>
        <w:tc>
          <w:tcPr>
            <w:tcW w:w="1343" w:type="dxa"/>
            <w:vAlign w:val="center"/>
          </w:tcPr>
          <w:p w:rsidR="00A575AF" w:rsidRDefault="005B2EA5">
            <w:pPr>
              <w:jc w:val="right"/>
            </w:pPr>
            <w:r>
              <w:rPr>
                <w:color w:val="000000"/>
                <w:sz w:val="24"/>
              </w:rPr>
              <w:t>1.50%</w:t>
            </w:r>
          </w:p>
        </w:tc>
        <w:tc>
          <w:tcPr>
            <w:tcW w:w="1194" w:type="dxa"/>
            <w:vAlign w:val="center"/>
          </w:tcPr>
          <w:p w:rsidR="00A575AF" w:rsidRDefault="005B2EA5">
            <w:pPr>
              <w:jc w:val="right"/>
            </w:pPr>
            <w:r>
              <w:rPr>
                <w:color w:val="000000"/>
                <w:sz w:val="24"/>
              </w:rPr>
              <w:t>11.91%</w:t>
            </w:r>
          </w:p>
        </w:tc>
        <w:tc>
          <w:tcPr>
            <w:tcW w:w="1048" w:type="dxa"/>
            <w:vAlign w:val="center"/>
          </w:tcPr>
          <w:p w:rsidR="00A575AF" w:rsidRDefault="005B2EA5">
            <w:pPr>
              <w:jc w:val="right"/>
            </w:pPr>
            <w:r>
              <w:rPr>
                <w:color w:val="000000"/>
                <w:sz w:val="24"/>
              </w:rPr>
              <w:t>-0.10%</w:t>
            </w:r>
          </w:p>
        </w:tc>
      </w:tr>
      <w:tr w:rsidR="00A575AF">
        <w:trPr>
          <w:jc w:val="center"/>
        </w:trPr>
        <w:tc>
          <w:tcPr>
            <w:tcW w:w="1701" w:type="dxa"/>
            <w:vAlign w:val="center"/>
          </w:tcPr>
          <w:p w:rsidR="00A575AF" w:rsidRDefault="005B2EA5">
            <w:pPr>
              <w:jc w:val="left"/>
            </w:pPr>
            <w:r>
              <w:rPr>
                <w:color w:val="000000"/>
                <w:sz w:val="24"/>
              </w:rPr>
              <w:t>过去三年</w:t>
            </w:r>
          </w:p>
        </w:tc>
        <w:tc>
          <w:tcPr>
            <w:tcW w:w="1194" w:type="dxa"/>
            <w:vAlign w:val="center"/>
          </w:tcPr>
          <w:p w:rsidR="00A575AF" w:rsidRDefault="005B2EA5">
            <w:pPr>
              <w:jc w:val="right"/>
            </w:pPr>
            <w:r>
              <w:rPr>
                <w:color w:val="000000"/>
                <w:sz w:val="24"/>
              </w:rPr>
              <w:t>35.68%</w:t>
            </w:r>
          </w:p>
        </w:tc>
        <w:tc>
          <w:tcPr>
            <w:tcW w:w="1194" w:type="dxa"/>
            <w:vAlign w:val="center"/>
          </w:tcPr>
          <w:p w:rsidR="00A575AF" w:rsidRDefault="005B2EA5">
            <w:pPr>
              <w:jc w:val="right"/>
            </w:pPr>
            <w:r>
              <w:rPr>
                <w:color w:val="000000"/>
                <w:sz w:val="24"/>
              </w:rPr>
              <w:t>1.00%</w:t>
            </w:r>
          </w:p>
        </w:tc>
        <w:tc>
          <w:tcPr>
            <w:tcW w:w="1194" w:type="dxa"/>
            <w:vAlign w:val="center"/>
          </w:tcPr>
          <w:p w:rsidR="00A575AF" w:rsidRDefault="005B2EA5">
            <w:pPr>
              <w:jc w:val="right"/>
            </w:pPr>
            <w:r>
              <w:rPr>
                <w:color w:val="000000"/>
                <w:sz w:val="24"/>
              </w:rPr>
              <w:t>7.21%</w:t>
            </w:r>
          </w:p>
        </w:tc>
        <w:tc>
          <w:tcPr>
            <w:tcW w:w="1343" w:type="dxa"/>
            <w:vAlign w:val="center"/>
          </w:tcPr>
          <w:p w:rsidR="00A575AF" w:rsidRDefault="005B2EA5">
            <w:pPr>
              <w:jc w:val="right"/>
            </w:pPr>
            <w:r>
              <w:rPr>
                <w:color w:val="000000"/>
                <w:sz w:val="24"/>
              </w:rPr>
              <w:t>1.04%</w:t>
            </w:r>
          </w:p>
        </w:tc>
        <w:tc>
          <w:tcPr>
            <w:tcW w:w="1194" w:type="dxa"/>
            <w:vAlign w:val="center"/>
          </w:tcPr>
          <w:p w:rsidR="00A575AF" w:rsidRDefault="005B2EA5">
            <w:pPr>
              <w:jc w:val="right"/>
            </w:pPr>
            <w:r>
              <w:rPr>
                <w:color w:val="000000"/>
                <w:sz w:val="24"/>
              </w:rPr>
              <w:t>28.47%</w:t>
            </w:r>
          </w:p>
        </w:tc>
        <w:tc>
          <w:tcPr>
            <w:tcW w:w="1048" w:type="dxa"/>
            <w:vAlign w:val="center"/>
          </w:tcPr>
          <w:p w:rsidR="00A575AF" w:rsidRDefault="005B2EA5">
            <w:pPr>
              <w:jc w:val="right"/>
            </w:pPr>
            <w:r>
              <w:rPr>
                <w:color w:val="000000"/>
                <w:sz w:val="24"/>
              </w:rPr>
              <w:t>-0.04%</w:t>
            </w:r>
          </w:p>
        </w:tc>
      </w:tr>
      <w:tr w:rsidR="00A575AF">
        <w:trPr>
          <w:jc w:val="center"/>
        </w:trPr>
        <w:tc>
          <w:tcPr>
            <w:tcW w:w="1701" w:type="dxa"/>
            <w:vAlign w:val="center"/>
          </w:tcPr>
          <w:p w:rsidR="00A575AF" w:rsidRDefault="005B2EA5">
            <w:pPr>
              <w:jc w:val="left"/>
            </w:pPr>
            <w:r>
              <w:rPr>
                <w:color w:val="000000"/>
                <w:sz w:val="24"/>
              </w:rPr>
              <w:t>过去五年</w:t>
            </w:r>
          </w:p>
        </w:tc>
        <w:tc>
          <w:tcPr>
            <w:tcW w:w="1194" w:type="dxa"/>
            <w:vAlign w:val="center"/>
          </w:tcPr>
          <w:p w:rsidR="00A575AF" w:rsidRDefault="005B2EA5">
            <w:pPr>
              <w:jc w:val="right"/>
            </w:pPr>
            <w:r>
              <w:rPr>
                <w:color w:val="000000"/>
                <w:sz w:val="24"/>
              </w:rPr>
              <w:t>79.21%</w:t>
            </w:r>
          </w:p>
        </w:tc>
        <w:tc>
          <w:tcPr>
            <w:tcW w:w="1194" w:type="dxa"/>
            <w:vAlign w:val="center"/>
          </w:tcPr>
          <w:p w:rsidR="00A575AF" w:rsidRDefault="005B2EA5">
            <w:pPr>
              <w:jc w:val="right"/>
            </w:pPr>
            <w:r>
              <w:rPr>
                <w:color w:val="000000"/>
                <w:sz w:val="24"/>
              </w:rPr>
              <w:t>0.90%</w:t>
            </w:r>
          </w:p>
        </w:tc>
        <w:tc>
          <w:tcPr>
            <w:tcW w:w="1194" w:type="dxa"/>
            <w:vAlign w:val="center"/>
          </w:tcPr>
          <w:p w:rsidR="00A575AF" w:rsidRDefault="005B2EA5">
            <w:pPr>
              <w:jc w:val="right"/>
            </w:pPr>
            <w:r>
              <w:rPr>
                <w:color w:val="000000"/>
                <w:sz w:val="24"/>
              </w:rPr>
              <w:t>38.60%</w:t>
            </w:r>
          </w:p>
        </w:tc>
        <w:tc>
          <w:tcPr>
            <w:tcW w:w="1343" w:type="dxa"/>
            <w:vAlign w:val="center"/>
          </w:tcPr>
          <w:p w:rsidR="00A575AF" w:rsidRDefault="005B2EA5">
            <w:pPr>
              <w:jc w:val="right"/>
            </w:pPr>
            <w:r>
              <w:rPr>
                <w:color w:val="000000"/>
                <w:sz w:val="24"/>
              </w:rPr>
              <w:t>0.93%</w:t>
            </w:r>
          </w:p>
        </w:tc>
        <w:tc>
          <w:tcPr>
            <w:tcW w:w="1194" w:type="dxa"/>
            <w:vAlign w:val="center"/>
          </w:tcPr>
          <w:p w:rsidR="00A575AF" w:rsidRDefault="005B2EA5">
            <w:pPr>
              <w:jc w:val="right"/>
            </w:pPr>
            <w:r>
              <w:rPr>
                <w:color w:val="000000"/>
                <w:sz w:val="24"/>
              </w:rPr>
              <w:t>40.61%</w:t>
            </w:r>
          </w:p>
        </w:tc>
        <w:tc>
          <w:tcPr>
            <w:tcW w:w="1048" w:type="dxa"/>
            <w:vAlign w:val="center"/>
          </w:tcPr>
          <w:p w:rsidR="00A575AF" w:rsidRDefault="005B2EA5">
            <w:pPr>
              <w:jc w:val="right"/>
            </w:pPr>
            <w:r>
              <w:rPr>
                <w:color w:val="000000"/>
                <w:sz w:val="24"/>
              </w:rPr>
              <w:t>-0.03%</w:t>
            </w:r>
          </w:p>
        </w:tc>
      </w:tr>
      <w:tr w:rsidR="00A575AF">
        <w:trPr>
          <w:jc w:val="center"/>
        </w:trPr>
        <w:tc>
          <w:tcPr>
            <w:tcW w:w="1701" w:type="dxa"/>
            <w:vAlign w:val="center"/>
          </w:tcPr>
          <w:p w:rsidR="00A575AF" w:rsidRDefault="005B2EA5">
            <w:pPr>
              <w:jc w:val="left"/>
            </w:pPr>
            <w:r>
              <w:rPr>
                <w:color w:val="000000"/>
                <w:sz w:val="24"/>
              </w:rPr>
              <w:t>自基金合同生效起至今</w:t>
            </w:r>
          </w:p>
        </w:tc>
        <w:tc>
          <w:tcPr>
            <w:tcW w:w="1194" w:type="dxa"/>
            <w:vAlign w:val="center"/>
          </w:tcPr>
          <w:p w:rsidR="00A575AF" w:rsidRDefault="005B2EA5">
            <w:pPr>
              <w:jc w:val="right"/>
            </w:pPr>
            <w:r>
              <w:rPr>
                <w:color w:val="000000"/>
                <w:sz w:val="24"/>
              </w:rPr>
              <w:t>215.65%</w:t>
            </w:r>
          </w:p>
        </w:tc>
        <w:tc>
          <w:tcPr>
            <w:tcW w:w="1194" w:type="dxa"/>
            <w:vAlign w:val="center"/>
          </w:tcPr>
          <w:p w:rsidR="00A575AF" w:rsidRDefault="005B2EA5">
            <w:pPr>
              <w:jc w:val="right"/>
            </w:pPr>
            <w:r>
              <w:rPr>
                <w:color w:val="000000"/>
                <w:sz w:val="24"/>
              </w:rPr>
              <w:t>0.97%</w:t>
            </w:r>
          </w:p>
        </w:tc>
        <w:tc>
          <w:tcPr>
            <w:tcW w:w="1194" w:type="dxa"/>
            <w:vAlign w:val="center"/>
          </w:tcPr>
          <w:p w:rsidR="00A575AF" w:rsidRDefault="005B2EA5">
            <w:pPr>
              <w:jc w:val="right"/>
            </w:pPr>
            <w:r>
              <w:rPr>
                <w:color w:val="000000"/>
                <w:sz w:val="24"/>
              </w:rPr>
              <w:t>60.49%</w:t>
            </w:r>
          </w:p>
        </w:tc>
        <w:tc>
          <w:tcPr>
            <w:tcW w:w="1343" w:type="dxa"/>
            <w:vAlign w:val="center"/>
          </w:tcPr>
          <w:p w:rsidR="00A575AF" w:rsidRDefault="005B2EA5">
            <w:pPr>
              <w:jc w:val="right"/>
            </w:pPr>
            <w:r>
              <w:rPr>
                <w:color w:val="000000"/>
                <w:sz w:val="24"/>
              </w:rPr>
              <w:t>1.10%</w:t>
            </w:r>
          </w:p>
        </w:tc>
        <w:tc>
          <w:tcPr>
            <w:tcW w:w="1194" w:type="dxa"/>
            <w:vAlign w:val="center"/>
          </w:tcPr>
          <w:p w:rsidR="00A575AF" w:rsidRDefault="005B2EA5">
            <w:pPr>
              <w:jc w:val="right"/>
            </w:pPr>
            <w:r>
              <w:rPr>
                <w:color w:val="000000"/>
                <w:sz w:val="24"/>
              </w:rPr>
              <w:t>155.16%</w:t>
            </w:r>
          </w:p>
        </w:tc>
        <w:tc>
          <w:tcPr>
            <w:tcW w:w="1048" w:type="dxa"/>
            <w:vAlign w:val="center"/>
          </w:tcPr>
          <w:p w:rsidR="00A575AF" w:rsidRDefault="005B2EA5">
            <w:pPr>
              <w:jc w:val="right"/>
            </w:pPr>
            <w:r>
              <w:rPr>
                <w:color w:val="000000"/>
                <w:sz w:val="24"/>
              </w:rPr>
              <w:t>-0.13%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2020</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14:anchorId="7C0D0E8D" wp14:editId="1BF4333B">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575AF">
        <w:trPr>
          <w:jc w:val="center"/>
        </w:trPr>
        <w:tc>
          <w:tcPr>
            <w:tcW w:w="846" w:type="dxa"/>
            <w:vAlign w:val="center"/>
          </w:tcPr>
          <w:p w:rsidR="00A575AF" w:rsidRDefault="005B2EA5">
            <w:pPr>
              <w:jc w:val="center"/>
            </w:pPr>
            <w:r>
              <w:rPr>
                <w:color w:val="000000"/>
                <w:sz w:val="24"/>
              </w:rPr>
              <w:lastRenderedPageBreak/>
              <w:t>陈俊华</w:t>
            </w:r>
          </w:p>
        </w:tc>
        <w:tc>
          <w:tcPr>
            <w:tcW w:w="845" w:type="dxa"/>
            <w:vAlign w:val="center"/>
          </w:tcPr>
          <w:p w:rsidR="00A575AF" w:rsidRDefault="005B2EA5">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549" w:type="dxa"/>
            <w:vAlign w:val="center"/>
          </w:tcPr>
          <w:p w:rsidR="00A575AF" w:rsidRDefault="005B2EA5">
            <w:pPr>
              <w:jc w:val="center"/>
            </w:pPr>
            <w:r>
              <w:rPr>
                <w:color w:val="000000"/>
                <w:sz w:val="24"/>
              </w:rPr>
              <w:t>2015-11-21</w:t>
            </w:r>
          </w:p>
        </w:tc>
        <w:tc>
          <w:tcPr>
            <w:tcW w:w="1548" w:type="dxa"/>
            <w:vAlign w:val="center"/>
          </w:tcPr>
          <w:p w:rsidR="00A575AF" w:rsidRDefault="005B2EA5">
            <w:pPr>
              <w:jc w:val="center"/>
            </w:pPr>
            <w:r>
              <w:rPr>
                <w:color w:val="000000"/>
                <w:sz w:val="24"/>
              </w:rPr>
              <w:t>-</w:t>
            </w:r>
          </w:p>
        </w:tc>
        <w:tc>
          <w:tcPr>
            <w:tcW w:w="1407" w:type="dxa"/>
            <w:vAlign w:val="center"/>
          </w:tcPr>
          <w:p w:rsidR="00A575AF" w:rsidRDefault="005B2EA5">
            <w:pPr>
              <w:jc w:val="center"/>
            </w:pPr>
            <w:r>
              <w:rPr>
                <w:color w:val="000000"/>
                <w:sz w:val="24"/>
              </w:rPr>
              <w:t>15</w:t>
            </w:r>
            <w:r>
              <w:rPr>
                <w:color w:val="000000"/>
                <w:sz w:val="24"/>
              </w:rPr>
              <w:t>年</w:t>
            </w:r>
          </w:p>
        </w:tc>
        <w:tc>
          <w:tcPr>
            <w:tcW w:w="2673" w:type="dxa"/>
            <w:vAlign w:val="center"/>
          </w:tcPr>
          <w:p w:rsidR="00A575AF" w:rsidRDefault="005B2EA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A575AF">
        <w:trPr>
          <w:jc w:val="center"/>
        </w:trPr>
        <w:tc>
          <w:tcPr>
            <w:tcW w:w="846" w:type="dxa"/>
            <w:vAlign w:val="center"/>
          </w:tcPr>
          <w:p w:rsidR="00A575AF" w:rsidRDefault="005B2EA5">
            <w:pPr>
              <w:jc w:val="center"/>
            </w:pPr>
            <w:r>
              <w:rPr>
                <w:color w:val="000000"/>
                <w:sz w:val="24"/>
              </w:rPr>
              <w:t>周中</w:t>
            </w:r>
          </w:p>
        </w:tc>
        <w:tc>
          <w:tcPr>
            <w:tcW w:w="845" w:type="dxa"/>
            <w:vAlign w:val="center"/>
          </w:tcPr>
          <w:p w:rsidR="00A575AF" w:rsidRDefault="005B2EA5">
            <w:pPr>
              <w:jc w:val="center"/>
            </w:pPr>
            <w:r>
              <w:rPr>
                <w:color w:val="000000"/>
                <w:sz w:val="24"/>
              </w:rPr>
              <w:t>交银环球精选混合</w:t>
            </w:r>
            <w:r>
              <w:rPr>
                <w:color w:val="000000"/>
                <w:sz w:val="24"/>
              </w:rPr>
              <w:t>(QDII)</w:t>
            </w:r>
            <w:r>
              <w:rPr>
                <w:color w:val="000000"/>
                <w:sz w:val="24"/>
              </w:rPr>
              <w:t>、交银创新成长混合的基金经理</w:t>
            </w:r>
          </w:p>
        </w:tc>
        <w:tc>
          <w:tcPr>
            <w:tcW w:w="1549" w:type="dxa"/>
            <w:vAlign w:val="center"/>
          </w:tcPr>
          <w:p w:rsidR="00A575AF" w:rsidRDefault="005B2EA5">
            <w:pPr>
              <w:jc w:val="center"/>
            </w:pPr>
            <w:r>
              <w:rPr>
                <w:color w:val="000000"/>
                <w:sz w:val="24"/>
              </w:rPr>
              <w:t>2015-12-12</w:t>
            </w:r>
          </w:p>
        </w:tc>
        <w:tc>
          <w:tcPr>
            <w:tcW w:w="1548" w:type="dxa"/>
            <w:vAlign w:val="center"/>
          </w:tcPr>
          <w:p w:rsidR="00A575AF" w:rsidRDefault="005B2EA5">
            <w:pPr>
              <w:jc w:val="center"/>
            </w:pPr>
            <w:r>
              <w:rPr>
                <w:color w:val="000000"/>
                <w:sz w:val="24"/>
              </w:rPr>
              <w:t>-</w:t>
            </w:r>
          </w:p>
        </w:tc>
        <w:tc>
          <w:tcPr>
            <w:tcW w:w="1407" w:type="dxa"/>
            <w:vAlign w:val="center"/>
          </w:tcPr>
          <w:p w:rsidR="00A575AF" w:rsidRDefault="005B2EA5">
            <w:pPr>
              <w:jc w:val="center"/>
            </w:pPr>
            <w:r>
              <w:rPr>
                <w:color w:val="000000"/>
                <w:sz w:val="24"/>
              </w:rPr>
              <w:t>11</w:t>
            </w:r>
            <w:r>
              <w:rPr>
                <w:color w:val="000000"/>
                <w:sz w:val="24"/>
              </w:rPr>
              <w:t>年</w:t>
            </w:r>
          </w:p>
        </w:tc>
        <w:tc>
          <w:tcPr>
            <w:tcW w:w="2673" w:type="dxa"/>
            <w:vAlign w:val="center"/>
          </w:tcPr>
          <w:p w:rsidR="00A575AF" w:rsidRDefault="005B2EA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A575AF">
        <w:trPr>
          <w:jc w:val="center"/>
        </w:trPr>
        <w:tc>
          <w:tcPr>
            <w:tcW w:w="846" w:type="dxa"/>
            <w:vAlign w:val="center"/>
          </w:tcPr>
          <w:p w:rsidR="00A575AF" w:rsidRDefault="005B2EA5">
            <w:pPr>
              <w:jc w:val="center"/>
            </w:pPr>
            <w:r>
              <w:rPr>
                <w:color w:val="000000"/>
                <w:sz w:val="24"/>
              </w:rPr>
              <w:t>陈舒薇</w:t>
            </w:r>
          </w:p>
        </w:tc>
        <w:tc>
          <w:tcPr>
            <w:tcW w:w="845" w:type="dxa"/>
            <w:vAlign w:val="center"/>
          </w:tcPr>
          <w:p w:rsidR="00A575AF" w:rsidRDefault="005B2EA5">
            <w:pPr>
              <w:jc w:val="center"/>
            </w:pPr>
            <w:r>
              <w:rPr>
                <w:color w:val="000000"/>
                <w:sz w:val="24"/>
              </w:rPr>
              <w:t>交银环球精选混合</w:t>
            </w:r>
            <w:r>
              <w:rPr>
                <w:color w:val="000000"/>
                <w:sz w:val="24"/>
              </w:rPr>
              <w:t>(QDII)</w:t>
            </w:r>
            <w:r>
              <w:rPr>
                <w:color w:val="000000"/>
                <w:sz w:val="24"/>
              </w:rPr>
              <w:t>的基金经</w:t>
            </w:r>
            <w:r>
              <w:rPr>
                <w:color w:val="000000"/>
                <w:sz w:val="24"/>
              </w:rPr>
              <w:lastRenderedPageBreak/>
              <w:t>理</w:t>
            </w:r>
          </w:p>
        </w:tc>
        <w:tc>
          <w:tcPr>
            <w:tcW w:w="1549" w:type="dxa"/>
            <w:vAlign w:val="center"/>
          </w:tcPr>
          <w:p w:rsidR="00A575AF" w:rsidRDefault="005B2EA5">
            <w:pPr>
              <w:jc w:val="center"/>
            </w:pPr>
            <w:r>
              <w:rPr>
                <w:color w:val="000000"/>
                <w:sz w:val="24"/>
              </w:rPr>
              <w:lastRenderedPageBreak/>
              <w:t>2020-01-08</w:t>
            </w:r>
          </w:p>
        </w:tc>
        <w:tc>
          <w:tcPr>
            <w:tcW w:w="1548" w:type="dxa"/>
            <w:vAlign w:val="center"/>
          </w:tcPr>
          <w:p w:rsidR="00A575AF" w:rsidRDefault="005B2EA5">
            <w:pPr>
              <w:jc w:val="center"/>
            </w:pPr>
            <w:r>
              <w:rPr>
                <w:color w:val="000000"/>
                <w:sz w:val="24"/>
              </w:rPr>
              <w:t>-</w:t>
            </w:r>
          </w:p>
        </w:tc>
        <w:tc>
          <w:tcPr>
            <w:tcW w:w="1407" w:type="dxa"/>
            <w:vAlign w:val="center"/>
          </w:tcPr>
          <w:p w:rsidR="00A575AF" w:rsidRDefault="005B2EA5">
            <w:pPr>
              <w:jc w:val="center"/>
            </w:pPr>
            <w:r>
              <w:rPr>
                <w:color w:val="000000"/>
                <w:sz w:val="24"/>
              </w:rPr>
              <w:t>11</w:t>
            </w:r>
            <w:r>
              <w:rPr>
                <w:color w:val="000000"/>
                <w:sz w:val="24"/>
              </w:rPr>
              <w:t>年</w:t>
            </w:r>
          </w:p>
        </w:tc>
        <w:tc>
          <w:tcPr>
            <w:tcW w:w="2673" w:type="dxa"/>
            <w:vAlign w:val="center"/>
          </w:tcPr>
          <w:p w:rsidR="00A575AF" w:rsidRDefault="005B2EA5">
            <w:pPr>
              <w:jc w:val="left"/>
            </w:pPr>
            <w:r>
              <w:rPr>
                <w:color w:val="000000"/>
                <w:sz w:val="24"/>
              </w:rPr>
              <w:t>陈舒薇女士，宾夕法尼亚大学</w:t>
            </w:r>
            <w:r>
              <w:rPr>
                <w:color w:val="000000"/>
                <w:sz w:val="24"/>
              </w:rPr>
              <w:t>MBA</w:t>
            </w:r>
            <w:r>
              <w:rPr>
                <w:color w:val="000000"/>
                <w:sz w:val="24"/>
              </w:rPr>
              <w:t>、上海交通大学金融硕士、上海交通大学学士。历任东方证券分析师、中金公司分析师、光大证券分析师、香港瑞士信贷分析</w:t>
            </w:r>
            <w:r>
              <w:rPr>
                <w:color w:val="000000"/>
                <w:sz w:val="24"/>
              </w:rPr>
              <w:lastRenderedPageBreak/>
              <w:t>师。</w:t>
            </w:r>
            <w:r>
              <w:rPr>
                <w:color w:val="000000"/>
                <w:sz w:val="24"/>
              </w:rPr>
              <w:t>2019</w:t>
            </w:r>
            <w:r>
              <w:rPr>
                <w:color w:val="000000"/>
                <w:sz w:val="24"/>
              </w:rPr>
              <w:t>年加入交银施罗德基金管理有限公司，曾任跨境投资部基金经理助理。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A575AF">
        <w:trPr>
          <w:jc w:val="center"/>
        </w:trPr>
        <w:tc>
          <w:tcPr>
            <w:tcW w:w="2070" w:type="dxa"/>
            <w:vAlign w:val="center"/>
          </w:tcPr>
          <w:p w:rsidR="00A575AF" w:rsidRDefault="005B2EA5">
            <w:pPr>
              <w:jc w:val="center"/>
            </w:pPr>
            <w:r>
              <w:rPr>
                <w:color w:val="000000"/>
                <w:sz w:val="24"/>
              </w:rPr>
              <w:t>Simon Webber</w:t>
            </w:r>
          </w:p>
        </w:tc>
        <w:tc>
          <w:tcPr>
            <w:tcW w:w="2465" w:type="dxa"/>
            <w:vAlign w:val="center"/>
          </w:tcPr>
          <w:p w:rsidR="00A575AF" w:rsidRDefault="005B2EA5">
            <w:pPr>
              <w:jc w:val="center"/>
            </w:pPr>
            <w:r>
              <w:rPr>
                <w:color w:val="000000"/>
                <w:sz w:val="24"/>
              </w:rPr>
              <w:t>施罗德集团多区域（全球及国际）股票投资主管、全球和国际股票基金经理、全球气候变化股票基金经理</w:t>
            </w:r>
          </w:p>
        </w:tc>
        <w:tc>
          <w:tcPr>
            <w:tcW w:w="2116" w:type="dxa"/>
            <w:vAlign w:val="center"/>
          </w:tcPr>
          <w:p w:rsidR="00A575AF" w:rsidRDefault="005B2EA5">
            <w:pPr>
              <w:jc w:val="center"/>
            </w:pPr>
            <w:r>
              <w:rPr>
                <w:color w:val="000000"/>
                <w:sz w:val="24"/>
              </w:rPr>
              <w:t>21</w:t>
            </w:r>
            <w:r>
              <w:rPr>
                <w:color w:val="000000"/>
                <w:sz w:val="24"/>
              </w:rPr>
              <w:t>年</w:t>
            </w:r>
          </w:p>
        </w:tc>
        <w:tc>
          <w:tcPr>
            <w:tcW w:w="2217" w:type="dxa"/>
            <w:vAlign w:val="center"/>
          </w:tcPr>
          <w:p w:rsidR="00A575AF" w:rsidRDefault="005B2EA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A575AF" w:rsidRDefault="005B2EA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575AF" w:rsidRDefault="005B2EA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w:t>
      </w:r>
      <w:r>
        <w:rPr>
          <w:color w:val="000000"/>
          <w:sz w:val="24"/>
        </w:rPr>
        <w:t>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575AF" w:rsidRDefault="005B2EA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A575AF" w:rsidRDefault="005B2EA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三季度，新冠疫情不再是市场的唯一决定因素，随着美国大选的临近，中美贸易摩擦、经济刺激计划的延续时间逐步发展成为影响市场的新增因素，海外市场整体呈现先扬后抑的走势。三季度初，全球市场沉浸在经济重启的乐观情绪中，纳斯达克指数更是超过疫情前水平，屡创新高，疫情最早得到控制的中国内地市场表现更佳。但自九月起，因为美股科技成长股超买风险释放、欧洲疫情反复以及经济刺激政策支持力度减弱等，全球市场在纳斯达克指数的拖累下连续下跌，前期涨幅较多的成长股以及受疫情影响较大的消费股调整幅度最为显著。分国别来看，美股、港</w:t>
      </w:r>
      <w:r>
        <w:rPr>
          <w:rFonts w:asciiTheme="minorEastAsia" w:eastAsiaTheme="minorEastAsia" w:hAnsiTheme="minorEastAsia"/>
          <w:color w:val="000000" w:themeColor="text1"/>
          <w:szCs w:val="21"/>
        </w:rPr>
        <w:t>股的估值差距进一步拉大。</w:t>
      </w:r>
    </w:p>
    <w:p w:rsidR="00A575AF" w:rsidRDefault="005B2EA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回顾</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三季度，我们对仓位地区配置进行了结构性调整，降低欧美市场的配置，增加年初至今表现相对落后的港股头寸。具体分行业来看，对于欧美股市，行业配置结构维持不变；港股方面，我们增加了消费、互联网板块的配置，减少医药、消费电子以及地产等个股的持仓。整体来看，三季度我们的股票组合获得了正收益。</w:t>
      </w:r>
    </w:p>
    <w:p w:rsidR="00A575AF" w:rsidRDefault="005B2EA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w:t>
      </w:r>
      <w:r>
        <w:rPr>
          <w:rFonts w:asciiTheme="minorEastAsia" w:eastAsiaTheme="minorEastAsia" w:hAnsiTheme="minorEastAsia"/>
          <w:color w:val="000000" w:themeColor="text1"/>
          <w:szCs w:val="21"/>
        </w:rPr>
        <w:t>2020</w:t>
      </w:r>
      <w:r>
        <w:rPr>
          <w:rFonts w:asciiTheme="minorEastAsia" w:eastAsiaTheme="minorEastAsia" w:hAnsiTheme="minorEastAsia"/>
          <w:color w:val="000000" w:themeColor="text1"/>
          <w:szCs w:val="21"/>
        </w:rPr>
        <w:t>年四季度，我们持谨慎乐观的态度。美股：由于：</w:t>
      </w:r>
      <w:r>
        <w:rPr>
          <w:rFonts w:asciiTheme="minorEastAsia" w:eastAsiaTheme="minorEastAsia" w:hAnsiTheme="minorEastAsia"/>
          <w:color w:val="000000" w:themeColor="text1"/>
          <w:szCs w:val="21"/>
        </w:rPr>
        <w:t>1</w:t>
      </w:r>
      <w:r>
        <w:rPr>
          <w:rFonts w:asciiTheme="minorEastAsia" w:eastAsiaTheme="minorEastAsia" w:hAnsiTheme="minorEastAsia"/>
          <w:color w:val="000000" w:themeColor="text1"/>
          <w:szCs w:val="21"/>
        </w:rPr>
        <w:t>）美联储九月</w:t>
      </w:r>
      <w:r>
        <w:rPr>
          <w:rFonts w:asciiTheme="minorEastAsia" w:eastAsiaTheme="minorEastAsia" w:hAnsiTheme="minorEastAsia"/>
          <w:color w:val="000000" w:themeColor="text1"/>
          <w:szCs w:val="21"/>
        </w:rPr>
        <w:t>FOMC</w:t>
      </w:r>
      <w:r>
        <w:rPr>
          <w:rFonts w:asciiTheme="minorEastAsia" w:eastAsiaTheme="minorEastAsia" w:hAnsiTheme="minorEastAsia"/>
          <w:color w:val="000000" w:themeColor="text1"/>
          <w:szCs w:val="21"/>
        </w:rPr>
        <w:t>会议虽然维持鸽派，但并没有增加对长债的购买，市场稍觉失望；</w:t>
      </w:r>
      <w:r>
        <w:rPr>
          <w:rFonts w:asciiTheme="minorEastAsia" w:eastAsiaTheme="minorEastAsia" w:hAnsiTheme="minorEastAsia"/>
          <w:color w:val="000000" w:themeColor="text1"/>
          <w:szCs w:val="21"/>
        </w:rPr>
        <w:t>2</w:t>
      </w:r>
      <w:r>
        <w:rPr>
          <w:rFonts w:asciiTheme="minorEastAsia" w:eastAsiaTheme="minorEastAsia" w:hAnsiTheme="minorEastAsia"/>
          <w:color w:val="000000" w:themeColor="text1"/>
          <w:szCs w:val="21"/>
        </w:rPr>
        <w:t>）美国进一步的财政刺激政策的落空；</w:t>
      </w:r>
      <w:r>
        <w:rPr>
          <w:rFonts w:asciiTheme="minorEastAsia" w:eastAsiaTheme="minorEastAsia" w:hAnsiTheme="minorEastAsia"/>
          <w:color w:val="000000" w:themeColor="text1"/>
          <w:szCs w:val="21"/>
        </w:rPr>
        <w:t>3</w:t>
      </w:r>
      <w:r>
        <w:rPr>
          <w:rFonts w:asciiTheme="minorEastAsia" w:eastAsiaTheme="minorEastAsia" w:hAnsiTheme="minorEastAsia"/>
          <w:color w:val="000000" w:themeColor="text1"/>
          <w:szCs w:val="21"/>
        </w:rPr>
        <w:t>）欧洲担忧疫情第</w:t>
      </w:r>
      <w:r>
        <w:rPr>
          <w:rFonts w:asciiTheme="minorEastAsia" w:eastAsiaTheme="minorEastAsia" w:hAnsiTheme="minorEastAsia"/>
          <w:color w:val="000000" w:themeColor="text1"/>
          <w:szCs w:val="21"/>
        </w:rPr>
        <w:t>二波可能引发再度范围封锁，欧美市场短期或会延续震荡表现。往前看，我们认为，即使疫苗短期还看不到面世的迹象，但新冠可控的致死率，预计不会带来行业复工的反复，但向上的空间，我们也保持相对谨慎的态度，考虑到美国总统大选的临近，国际市场不确定性因素也在变多。中期来看，大选后，预计美股市场或重拾增长，我们预计高成长标的表现或将继续优于价值股，科技、消费板块或将继续领涨。</w:t>
      </w:r>
    </w:p>
    <w:p w:rsidR="00A575AF" w:rsidRDefault="005B2EA5">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港股虽然相对估值低，但仍然跟随欧美股市同步调整。接下来，投资人的关注点聚焦于：科技为代表的成长板块以及顺周期板块的表现。在今年剩下的时间里，表现落后</w:t>
      </w:r>
      <w:r>
        <w:rPr>
          <w:rFonts w:asciiTheme="minorEastAsia" w:eastAsiaTheme="minorEastAsia" w:hAnsiTheme="minorEastAsia"/>
          <w:color w:val="000000" w:themeColor="text1"/>
          <w:szCs w:val="21"/>
        </w:rPr>
        <w:t>的顺周期低估值板块，</w:t>
      </w:r>
      <w:r>
        <w:rPr>
          <w:rFonts w:asciiTheme="minorEastAsia" w:eastAsiaTheme="minorEastAsia" w:hAnsiTheme="minorEastAsia"/>
          <w:color w:val="000000" w:themeColor="text1"/>
          <w:szCs w:val="21"/>
        </w:rPr>
        <w:lastRenderedPageBreak/>
        <w:t>以建材、地产以及工业为代表，是否能够获得相对收益，我们认为，这或部分取决于美国大选结果，也就是短期，预计顺周期板块还缺乏趋势性上涨的支撑点，更为确定的收益可能还是来自于基于内循环的消费板块。情绪面上，在美国大选结束前，预计市场非理性波动或将继续。因此，我们会严控持股组合的政策风险暴露，对于港股市场的投资方向，将集中于纯内需拉动的可选消费、互联网以及受益于出口回暖并在海外建有配套产能的传统制造型企业。</w:t>
      </w:r>
    </w:p>
    <w:p w:rsidR="00C736BB" w:rsidRDefault="00BE08D2" w:rsidP="005546C0">
      <w:pPr>
        <w:spacing w:before="29" w:line="288" w:lineRule="auto"/>
        <w:ind w:firstLineChars="200" w:firstLine="420"/>
        <w:rPr>
          <w:rFonts w:asciiTheme="minorEastAsia" w:eastAsiaTheme="minorEastAsia" w:hAnsiTheme="minorEastAsia"/>
          <w:color w:val="000000" w:themeColor="text1"/>
          <w:szCs w:val="21"/>
        </w:rPr>
      </w:pPr>
      <w:r w:rsidRPr="00BE08D2">
        <w:rPr>
          <w:rFonts w:asciiTheme="minorEastAsia" w:eastAsiaTheme="minorEastAsia" w:hAnsiTheme="minorEastAsia" w:hint="eastAsia"/>
          <w:color w:val="000000" w:themeColor="text1"/>
          <w:szCs w:val="21"/>
        </w:rPr>
        <w:t>本基金（各类）份额净值及业绩表现请见“3.1主要财务指标” 及“3.2.1本报告期基金份额净值增长率及其与同期业绩比较基准收益率的比较”部分披露。</w:t>
      </w:r>
    </w:p>
    <w:p w:rsidR="00BE08D2" w:rsidRPr="00E17456" w:rsidRDefault="00BE08D2" w:rsidP="005546C0">
      <w:pPr>
        <w:spacing w:before="29" w:line="288" w:lineRule="auto"/>
        <w:ind w:firstLineChars="200" w:firstLine="480"/>
        <w:rPr>
          <w:rFonts w:hint="eastAsia"/>
          <w:color w:val="000000"/>
          <w:sz w:val="24"/>
        </w:rPr>
      </w:pPr>
      <w:bookmarkStart w:id="0" w:name="_GoBack"/>
      <w:bookmarkEnd w:id="0"/>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7977A8" w:rsidRPr="007977A8" w:rsidRDefault="007977A8" w:rsidP="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890782">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118,738,007.22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91.10</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114,806,332.05</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88.09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3,931,675.17</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3.02</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08226F"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11,330,139.08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8.69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264,969.41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130,333,115.71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9F647F" w:rsidRPr="009F647F" w:rsidRDefault="009F647F" w:rsidP="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575AF">
        <w:trPr>
          <w:jc w:val="center"/>
        </w:trPr>
        <w:tc>
          <w:tcPr>
            <w:tcW w:w="2484" w:type="dxa"/>
            <w:vAlign w:val="center"/>
          </w:tcPr>
          <w:p w:rsidR="00A575AF" w:rsidRDefault="005B2EA5">
            <w:pPr>
              <w:jc w:val="left"/>
            </w:pPr>
            <w:r>
              <w:rPr>
                <w:color w:val="000000"/>
                <w:sz w:val="24"/>
              </w:rPr>
              <w:t>香港</w:t>
            </w:r>
          </w:p>
        </w:tc>
        <w:tc>
          <w:tcPr>
            <w:tcW w:w="3214" w:type="dxa"/>
            <w:vAlign w:val="center"/>
          </w:tcPr>
          <w:p w:rsidR="00A575AF" w:rsidRDefault="005B2EA5">
            <w:pPr>
              <w:jc w:val="right"/>
            </w:pPr>
            <w:r>
              <w:rPr>
                <w:color w:val="000000"/>
                <w:sz w:val="24"/>
              </w:rPr>
              <w:t>48,181,186.67</w:t>
            </w:r>
          </w:p>
        </w:tc>
        <w:tc>
          <w:tcPr>
            <w:tcW w:w="3170" w:type="dxa"/>
            <w:vAlign w:val="center"/>
          </w:tcPr>
          <w:p w:rsidR="00A575AF" w:rsidRDefault="005B2EA5">
            <w:pPr>
              <w:jc w:val="right"/>
            </w:pPr>
            <w:r>
              <w:rPr>
                <w:color w:val="000000"/>
                <w:sz w:val="24"/>
              </w:rPr>
              <w:t>37.28</w:t>
            </w:r>
          </w:p>
        </w:tc>
      </w:tr>
      <w:tr w:rsidR="00A575AF">
        <w:trPr>
          <w:jc w:val="center"/>
        </w:trPr>
        <w:tc>
          <w:tcPr>
            <w:tcW w:w="2484" w:type="dxa"/>
            <w:vAlign w:val="center"/>
          </w:tcPr>
          <w:p w:rsidR="00A575AF" w:rsidRDefault="005B2EA5">
            <w:pPr>
              <w:jc w:val="left"/>
            </w:pPr>
            <w:r>
              <w:rPr>
                <w:color w:val="000000"/>
                <w:sz w:val="24"/>
              </w:rPr>
              <w:t>美国</w:t>
            </w:r>
          </w:p>
        </w:tc>
        <w:tc>
          <w:tcPr>
            <w:tcW w:w="3214" w:type="dxa"/>
            <w:vAlign w:val="center"/>
          </w:tcPr>
          <w:p w:rsidR="00A575AF" w:rsidRDefault="005B2EA5">
            <w:pPr>
              <w:jc w:val="right"/>
            </w:pPr>
            <w:r>
              <w:rPr>
                <w:color w:val="000000"/>
                <w:sz w:val="24"/>
              </w:rPr>
              <w:t>45,164,585.85</w:t>
            </w:r>
          </w:p>
        </w:tc>
        <w:tc>
          <w:tcPr>
            <w:tcW w:w="3170" w:type="dxa"/>
            <w:vAlign w:val="center"/>
          </w:tcPr>
          <w:p w:rsidR="00A575AF" w:rsidRDefault="005B2EA5">
            <w:pPr>
              <w:jc w:val="right"/>
            </w:pPr>
            <w:r>
              <w:rPr>
                <w:color w:val="000000"/>
                <w:sz w:val="24"/>
              </w:rPr>
              <w:t>34.94</w:t>
            </w:r>
          </w:p>
        </w:tc>
      </w:tr>
      <w:tr w:rsidR="00A575AF">
        <w:trPr>
          <w:jc w:val="center"/>
        </w:trPr>
        <w:tc>
          <w:tcPr>
            <w:tcW w:w="2484" w:type="dxa"/>
            <w:vAlign w:val="center"/>
          </w:tcPr>
          <w:p w:rsidR="00A575AF" w:rsidRDefault="005B2EA5">
            <w:pPr>
              <w:jc w:val="left"/>
            </w:pPr>
            <w:r>
              <w:rPr>
                <w:color w:val="000000"/>
                <w:sz w:val="24"/>
              </w:rPr>
              <w:t>瑞士</w:t>
            </w:r>
          </w:p>
        </w:tc>
        <w:tc>
          <w:tcPr>
            <w:tcW w:w="3214" w:type="dxa"/>
            <w:vAlign w:val="center"/>
          </w:tcPr>
          <w:p w:rsidR="00A575AF" w:rsidRDefault="005B2EA5">
            <w:pPr>
              <w:jc w:val="right"/>
            </w:pPr>
            <w:r>
              <w:rPr>
                <w:color w:val="000000"/>
                <w:sz w:val="24"/>
              </w:rPr>
              <w:t>5,004,419.84</w:t>
            </w:r>
          </w:p>
        </w:tc>
        <w:tc>
          <w:tcPr>
            <w:tcW w:w="3170" w:type="dxa"/>
            <w:vAlign w:val="center"/>
          </w:tcPr>
          <w:p w:rsidR="00A575AF" w:rsidRDefault="005B2EA5">
            <w:pPr>
              <w:jc w:val="right"/>
            </w:pPr>
            <w:r>
              <w:rPr>
                <w:color w:val="000000"/>
                <w:sz w:val="24"/>
              </w:rPr>
              <w:t>3.87</w:t>
            </w:r>
          </w:p>
        </w:tc>
      </w:tr>
      <w:tr w:rsidR="00A575AF">
        <w:trPr>
          <w:jc w:val="center"/>
        </w:trPr>
        <w:tc>
          <w:tcPr>
            <w:tcW w:w="2484" w:type="dxa"/>
            <w:vAlign w:val="center"/>
          </w:tcPr>
          <w:p w:rsidR="00A575AF" w:rsidRDefault="005B2EA5">
            <w:pPr>
              <w:jc w:val="left"/>
            </w:pPr>
            <w:r>
              <w:rPr>
                <w:color w:val="000000"/>
                <w:sz w:val="24"/>
              </w:rPr>
              <w:t>法国</w:t>
            </w:r>
          </w:p>
        </w:tc>
        <w:tc>
          <w:tcPr>
            <w:tcW w:w="3214" w:type="dxa"/>
            <w:vAlign w:val="center"/>
          </w:tcPr>
          <w:p w:rsidR="00A575AF" w:rsidRDefault="005B2EA5">
            <w:pPr>
              <w:jc w:val="right"/>
            </w:pPr>
            <w:r>
              <w:rPr>
                <w:color w:val="000000"/>
                <w:sz w:val="24"/>
              </w:rPr>
              <w:t>4,380,952.05</w:t>
            </w:r>
          </w:p>
        </w:tc>
        <w:tc>
          <w:tcPr>
            <w:tcW w:w="3170" w:type="dxa"/>
            <w:vAlign w:val="center"/>
          </w:tcPr>
          <w:p w:rsidR="00A575AF" w:rsidRDefault="005B2EA5">
            <w:pPr>
              <w:jc w:val="right"/>
            </w:pPr>
            <w:r>
              <w:rPr>
                <w:color w:val="000000"/>
                <w:sz w:val="24"/>
              </w:rPr>
              <w:t>3.39</w:t>
            </w:r>
          </w:p>
        </w:tc>
      </w:tr>
      <w:tr w:rsidR="00A575AF">
        <w:trPr>
          <w:jc w:val="center"/>
        </w:trPr>
        <w:tc>
          <w:tcPr>
            <w:tcW w:w="2484" w:type="dxa"/>
            <w:vAlign w:val="center"/>
          </w:tcPr>
          <w:p w:rsidR="00A575AF" w:rsidRDefault="005B2EA5">
            <w:pPr>
              <w:jc w:val="left"/>
            </w:pPr>
            <w:r>
              <w:rPr>
                <w:color w:val="000000"/>
                <w:sz w:val="24"/>
              </w:rPr>
              <w:t>日本</w:t>
            </w:r>
          </w:p>
        </w:tc>
        <w:tc>
          <w:tcPr>
            <w:tcW w:w="3214" w:type="dxa"/>
            <w:vAlign w:val="center"/>
          </w:tcPr>
          <w:p w:rsidR="00A575AF" w:rsidRDefault="005B2EA5">
            <w:pPr>
              <w:jc w:val="right"/>
            </w:pPr>
            <w:r>
              <w:rPr>
                <w:color w:val="000000"/>
                <w:sz w:val="24"/>
              </w:rPr>
              <w:t>4,083,133.09</w:t>
            </w:r>
          </w:p>
        </w:tc>
        <w:tc>
          <w:tcPr>
            <w:tcW w:w="3170" w:type="dxa"/>
            <w:vAlign w:val="center"/>
          </w:tcPr>
          <w:p w:rsidR="00A575AF" w:rsidRDefault="005B2EA5">
            <w:pPr>
              <w:jc w:val="right"/>
            </w:pPr>
            <w:r>
              <w:rPr>
                <w:color w:val="000000"/>
                <w:sz w:val="24"/>
              </w:rPr>
              <w:t>3.16</w:t>
            </w:r>
          </w:p>
        </w:tc>
      </w:tr>
      <w:tr w:rsidR="00A575AF">
        <w:trPr>
          <w:jc w:val="center"/>
        </w:trPr>
        <w:tc>
          <w:tcPr>
            <w:tcW w:w="2484" w:type="dxa"/>
            <w:vAlign w:val="center"/>
          </w:tcPr>
          <w:p w:rsidR="00A575AF" w:rsidRDefault="005B2EA5">
            <w:pPr>
              <w:jc w:val="left"/>
            </w:pPr>
            <w:r>
              <w:rPr>
                <w:color w:val="000000"/>
                <w:sz w:val="24"/>
              </w:rPr>
              <w:t>韩国</w:t>
            </w:r>
          </w:p>
        </w:tc>
        <w:tc>
          <w:tcPr>
            <w:tcW w:w="3214" w:type="dxa"/>
            <w:vAlign w:val="center"/>
          </w:tcPr>
          <w:p w:rsidR="00A575AF" w:rsidRDefault="005B2EA5">
            <w:pPr>
              <w:jc w:val="right"/>
            </w:pPr>
            <w:r>
              <w:rPr>
                <w:color w:val="000000"/>
                <w:sz w:val="24"/>
              </w:rPr>
              <w:t>2,802,901.95</w:t>
            </w:r>
          </w:p>
        </w:tc>
        <w:tc>
          <w:tcPr>
            <w:tcW w:w="3170" w:type="dxa"/>
            <w:vAlign w:val="center"/>
          </w:tcPr>
          <w:p w:rsidR="00A575AF" w:rsidRDefault="005B2EA5">
            <w:pPr>
              <w:jc w:val="right"/>
            </w:pPr>
            <w:r>
              <w:rPr>
                <w:color w:val="000000"/>
                <w:sz w:val="24"/>
              </w:rPr>
              <w:t>2.17</w:t>
            </w:r>
          </w:p>
        </w:tc>
      </w:tr>
      <w:tr w:rsidR="00A575AF">
        <w:trPr>
          <w:jc w:val="center"/>
        </w:trPr>
        <w:tc>
          <w:tcPr>
            <w:tcW w:w="2484" w:type="dxa"/>
            <w:vAlign w:val="center"/>
          </w:tcPr>
          <w:p w:rsidR="00A575AF" w:rsidRDefault="005B2EA5">
            <w:pPr>
              <w:jc w:val="left"/>
            </w:pPr>
            <w:r>
              <w:rPr>
                <w:color w:val="000000"/>
                <w:sz w:val="24"/>
              </w:rPr>
              <w:t>英国</w:t>
            </w:r>
          </w:p>
        </w:tc>
        <w:tc>
          <w:tcPr>
            <w:tcW w:w="3214" w:type="dxa"/>
            <w:vAlign w:val="center"/>
          </w:tcPr>
          <w:p w:rsidR="00A575AF" w:rsidRDefault="005B2EA5">
            <w:pPr>
              <w:jc w:val="right"/>
            </w:pPr>
            <w:r>
              <w:rPr>
                <w:color w:val="000000"/>
                <w:sz w:val="24"/>
              </w:rPr>
              <w:t>2,702,694.93</w:t>
            </w:r>
          </w:p>
        </w:tc>
        <w:tc>
          <w:tcPr>
            <w:tcW w:w="3170" w:type="dxa"/>
            <w:vAlign w:val="center"/>
          </w:tcPr>
          <w:p w:rsidR="00A575AF" w:rsidRDefault="005B2EA5">
            <w:pPr>
              <w:jc w:val="right"/>
            </w:pPr>
            <w:r>
              <w:rPr>
                <w:color w:val="000000"/>
                <w:sz w:val="24"/>
              </w:rPr>
              <w:t>2.09</w:t>
            </w:r>
          </w:p>
        </w:tc>
      </w:tr>
      <w:tr w:rsidR="00A575AF">
        <w:trPr>
          <w:jc w:val="center"/>
        </w:trPr>
        <w:tc>
          <w:tcPr>
            <w:tcW w:w="2484" w:type="dxa"/>
            <w:vAlign w:val="center"/>
          </w:tcPr>
          <w:p w:rsidR="00A575AF" w:rsidRDefault="005B2EA5">
            <w:pPr>
              <w:jc w:val="left"/>
            </w:pPr>
            <w:r>
              <w:rPr>
                <w:color w:val="000000"/>
                <w:sz w:val="24"/>
              </w:rPr>
              <w:t>荷兰</w:t>
            </w:r>
          </w:p>
        </w:tc>
        <w:tc>
          <w:tcPr>
            <w:tcW w:w="3214" w:type="dxa"/>
            <w:vAlign w:val="center"/>
          </w:tcPr>
          <w:p w:rsidR="00A575AF" w:rsidRDefault="005B2EA5">
            <w:pPr>
              <w:jc w:val="right"/>
            </w:pPr>
            <w:r>
              <w:rPr>
                <w:color w:val="000000"/>
                <w:sz w:val="24"/>
              </w:rPr>
              <w:t>2,392,724.09</w:t>
            </w:r>
          </w:p>
        </w:tc>
        <w:tc>
          <w:tcPr>
            <w:tcW w:w="3170" w:type="dxa"/>
            <w:vAlign w:val="center"/>
          </w:tcPr>
          <w:p w:rsidR="00A575AF" w:rsidRDefault="005B2EA5">
            <w:pPr>
              <w:jc w:val="right"/>
            </w:pPr>
            <w:r>
              <w:rPr>
                <w:color w:val="000000"/>
                <w:sz w:val="24"/>
              </w:rPr>
              <w:t>1.85</w:t>
            </w:r>
          </w:p>
        </w:tc>
      </w:tr>
      <w:tr w:rsidR="00A575AF">
        <w:trPr>
          <w:jc w:val="center"/>
        </w:trPr>
        <w:tc>
          <w:tcPr>
            <w:tcW w:w="2484" w:type="dxa"/>
            <w:vAlign w:val="center"/>
          </w:tcPr>
          <w:p w:rsidR="00A575AF" w:rsidRDefault="005B2EA5">
            <w:pPr>
              <w:jc w:val="left"/>
            </w:pPr>
            <w:r>
              <w:rPr>
                <w:color w:val="000000"/>
                <w:sz w:val="24"/>
              </w:rPr>
              <w:t>德国</w:t>
            </w:r>
          </w:p>
        </w:tc>
        <w:tc>
          <w:tcPr>
            <w:tcW w:w="3214" w:type="dxa"/>
            <w:vAlign w:val="center"/>
          </w:tcPr>
          <w:p w:rsidR="00A575AF" w:rsidRDefault="005B2EA5">
            <w:pPr>
              <w:jc w:val="right"/>
            </w:pPr>
            <w:r>
              <w:rPr>
                <w:color w:val="000000"/>
                <w:sz w:val="24"/>
              </w:rPr>
              <w:t>2,339,345.54</w:t>
            </w:r>
          </w:p>
        </w:tc>
        <w:tc>
          <w:tcPr>
            <w:tcW w:w="3170" w:type="dxa"/>
            <w:vAlign w:val="center"/>
          </w:tcPr>
          <w:p w:rsidR="00A575AF" w:rsidRDefault="005B2EA5">
            <w:pPr>
              <w:jc w:val="right"/>
            </w:pPr>
            <w:r>
              <w:rPr>
                <w:color w:val="000000"/>
                <w:sz w:val="24"/>
              </w:rPr>
              <w:t>1.81</w:t>
            </w:r>
          </w:p>
        </w:tc>
      </w:tr>
      <w:tr w:rsidR="00A575AF">
        <w:trPr>
          <w:jc w:val="center"/>
        </w:trPr>
        <w:tc>
          <w:tcPr>
            <w:tcW w:w="2484" w:type="dxa"/>
            <w:vAlign w:val="center"/>
          </w:tcPr>
          <w:p w:rsidR="00A575AF" w:rsidRDefault="005B2EA5">
            <w:pPr>
              <w:jc w:val="left"/>
            </w:pPr>
            <w:r>
              <w:rPr>
                <w:color w:val="000000"/>
                <w:sz w:val="24"/>
              </w:rPr>
              <w:t>奥地利</w:t>
            </w:r>
          </w:p>
        </w:tc>
        <w:tc>
          <w:tcPr>
            <w:tcW w:w="3214" w:type="dxa"/>
            <w:vAlign w:val="center"/>
          </w:tcPr>
          <w:p w:rsidR="00A575AF" w:rsidRDefault="005B2EA5">
            <w:pPr>
              <w:jc w:val="right"/>
            </w:pPr>
            <w:r>
              <w:rPr>
                <w:color w:val="000000"/>
                <w:sz w:val="24"/>
              </w:rPr>
              <w:t>1,006,454.39</w:t>
            </w:r>
          </w:p>
        </w:tc>
        <w:tc>
          <w:tcPr>
            <w:tcW w:w="3170" w:type="dxa"/>
            <w:vAlign w:val="center"/>
          </w:tcPr>
          <w:p w:rsidR="00A575AF" w:rsidRDefault="005B2EA5">
            <w:pPr>
              <w:jc w:val="right"/>
            </w:pPr>
            <w:r>
              <w:rPr>
                <w:color w:val="000000"/>
                <w:sz w:val="24"/>
              </w:rPr>
              <w:t>0.78</w:t>
            </w:r>
          </w:p>
        </w:tc>
      </w:tr>
      <w:tr w:rsidR="00A575AF">
        <w:trPr>
          <w:jc w:val="center"/>
        </w:trPr>
        <w:tc>
          <w:tcPr>
            <w:tcW w:w="2484" w:type="dxa"/>
            <w:vAlign w:val="center"/>
          </w:tcPr>
          <w:p w:rsidR="00A575AF" w:rsidRDefault="005B2EA5">
            <w:pPr>
              <w:jc w:val="left"/>
            </w:pPr>
            <w:r>
              <w:rPr>
                <w:color w:val="000000"/>
                <w:sz w:val="24"/>
              </w:rPr>
              <w:t>澳大利亚</w:t>
            </w:r>
          </w:p>
        </w:tc>
        <w:tc>
          <w:tcPr>
            <w:tcW w:w="3214" w:type="dxa"/>
            <w:vAlign w:val="center"/>
          </w:tcPr>
          <w:p w:rsidR="00A575AF" w:rsidRDefault="005B2EA5">
            <w:pPr>
              <w:jc w:val="right"/>
            </w:pPr>
            <w:r>
              <w:rPr>
                <w:color w:val="000000"/>
                <w:sz w:val="24"/>
              </w:rPr>
              <w:t>679,608.82</w:t>
            </w:r>
          </w:p>
        </w:tc>
        <w:tc>
          <w:tcPr>
            <w:tcW w:w="3170" w:type="dxa"/>
            <w:vAlign w:val="center"/>
          </w:tcPr>
          <w:p w:rsidR="00A575AF" w:rsidRDefault="005B2EA5">
            <w:pPr>
              <w:jc w:val="right"/>
            </w:pPr>
            <w:r>
              <w:rPr>
                <w:color w:val="000000"/>
                <w:sz w:val="24"/>
              </w:rPr>
              <w:t>0.53</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118,738,007.22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91.86</w:t>
            </w:r>
          </w:p>
        </w:tc>
      </w:tr>
    </w:tbl>
    <w:p w:rsidR="00A575AF" w:rsidRDefault="005B2EA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DB3862" w:rsidRPr="00DB3862" w:rsidRDefault="00DB3862" w:rsidP="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DB3862" w:rsidP="005546C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575AF">
        <w:trPr>
          <w:jc w:val="center"/>
        </w:trPr>
        <w:tc>
          <w:tcPr>
            <w:tcW w:w="2904" w:type="dxa"/>
            <w:vAlign w:val="center"/>
          </w:tcPr>
          <w:p w:rsidR="00A575AF" w:rsidRDefault="005B2EA5">
            <w:pPr>
              <w:jc w:val="left"/>
            </w:pPr>
            <w:r>
              <w:rPr>
                <w:color w:val="000000"/>
                <w:sz w:val="24"/>
              </w:rPr>
              <w:t>房地产</w:t>
            </w:r>
          </w:p>
        </w:tc>
        <w:tc>
          <w:tcPr>
            <w:tcW w:w="2657" w:type="dxa"/>
            <w:vAlign w:val="center"/>
          </w:tcPr>
          <w:p w:rsidR="00A575AF" w:rsidRDefault="005B2EA5">
            <w:pPr>
              <w:jc w:val="right"/>
            </w:pPr>
            <w:r>
              <w:rPr>
                <w:color w:val="000000"/>
                <w:sz w:val="24"/>
              </w:rPr>
              <w:t>1,135,430.30</w:t>
            </w:r>
          </w:p>
        </w:tc>
        <w:tc>
          <w:tcPr>
            <w:tcW w:w="3307" w:type="dxa"/>
            <w:vAlign w:val="center"/>
          </w:tcPr>
          <w:p w:rsidR="00A575AF" w:rsidRDefault="005B2EA5">
            <w:pPr>
              <w:jc w:val="right"/>
            </w:pPr>
            <w:r>
              <w:rPr>
                <w:color w:val="000000"/>
                <w:sz w:val="24"/>
              </w:rPr>
              <w:t>0.88</w:t>
            </w:r>
          </w:p>
        </w:tc>
      </w:tr>
      <w:tr w:rsidR="00A575AF">
        <w:trPr>
          <w:jc w:val="center"/>
        </w:trPr>
        <w:tc>
          <w:tcPr>
            <w:tcW w:w="2904" w:type="dxa"/>
            <w:vAlign w:val="center"/>
          </w:tcPr>
          <w:p w:rsidR="00A575AF" w:rsidRDefault="005B2EA5">
            <w:pPr>
              <w:jc w:val="left"/>
            </w:pPr>
            <w:r>
              <w:rPr>
                <w:color w:val="000000"/>
                <w:sz w:val="24"/>
              </w:rPr>
              <w:t>非日常生活消费品</w:t>
            </w:r>
          </w:p>
        </w:tc>
        <w:tc>
          <w:tcPr>
            <w:tcW w:w="2657" w:type="dxa"/>
            <w:vAlign w:val="center"/>
          </w:tcPr>
          <w:p w:rsidR="00A575AF" w:rsidRDefault="005B2EA5">
            <w:pPr>
              <w:jc w:val="right"/>
            </w:pPr>
            <w:r>
              <w:rPr>
                <w:color w:val="000000"/>
                <w:sz w:val="24"/>
              </w:rPr>
              <w:t>31,363,338.07</w:t>
            </w:r>
          </w:p>
        </w:tc>
        <w:tc>
          <w:tcPr>
            <w:tcW w:w="3307" w:type="dxa"/>
            <w:vAlign w:val="center"/>
          </w:tcPr>
          <w:p w:rsidR="00A575AF" w:rsidRDefault="005B2EA5">
            <w:pPr>
              <w:jc w:val="right"/>
            </w:pPr>
            <w:r>
              <w:rPr>
                <w:color w:val="000000"/>
                <w:sz w:val="24"/>
              </w:rPr>
              <w:t>24.26</w:t>
            </w:r>
          </w:p>
        </w:tc>
      </w:tr>
      <w:tr w:rsidR="00A575AF">
        <w:trPr>
          <w:jc w:val="center"/>
        </w:trPr>
        <w:tc>
          <w:tcPr>
            <w:tcW w:w="2904" w:type="dxa"/>
            <w:vAlign w:val="center"/>
          </w:tcPr>
          <w:p w:rsidR="00A575AF" w:rsidRDefault="005B2EA5">
            <w:pPr>
              <w:jc w:val="left"/>
            </w:pPr>
            <w:r>
              <w:rPr>
                <w:color w:val="000000"/>
                <w:sz w:val="24"/>
              </w:rPr>
              <w:t>工业</w:t>
            </w:r>
          </w:p>
        </w:tc>
        <w:tc>
          <w:tcPr>
            <w:tcW w:w="2657" w:type="dxa"/>
            <w:vAlign w:val="center"/>
          </w:tcPr>
          <w:p w:rsidR="00A575AF" w:rsidRDefault="005B2EA5">
            <w:pPr>
              <w:jc w:val="right"/>
            </w:pPr>
            <w:r>
              <w:rPr>
                <w:color w:val="000000"/>
                <w:sz w:val="24"/>
              </w:rPr>
              <w:t>13,154,828.58</w:t>
            </w:r>
          </w:p>
        </w:tc>
        <w:tc>
          <w:tcPr>
            <w:tcW w:w="3307" w:type="dxa"/>
            <w:vAlign w:val="center"/>
          </w:tcPr>
          <w:p w:rsidR="00A575AF" w:rsidRDefault="005B2EA5">
            <w:pPr>
              <w:jc w:val="right"/>
            </w:pPr>
            <w:r>
              <w:rPr>
                <w:color w:val="000000"/>
                <w:sz w:val="24"/>
              </w:rPr>
              <w:t>10.18</w:t>
            </w:r>
          </w:p>
        </w:tc>
      </w:tr>
      <w:tr w:rsidR="00A575AF">
        <w:trPr>
          <w:jc w:val="center"/>
        </w:trPr>
        <w:tc>
          <w:tcPr>
            <w:tcW w:w="2904" w:type="dxa"/>
            <w:vAlign w:val="center"/>
          </w:tcPr>
          <w:p w:rsidR="00A575AF" w:rsidRDefault="005B2EA5">
            <w:pPr>
              <w:jc w:val="left"/>
            </w:pPr>
            <w:r>
              <w:rPr>
                <w:color w:val="000000"/>
                <w:sz w:val="24"/>
              </w:rPr>
              <w:lastRenderedPageBreak/>
              <w:t>金融</w:t>
            </w:r>
          </w:p>
        </w:tc>
        <w:tc>
          <w:tcPr>
            <w:tcW w:w="2657" w:type="dxa"/>
            <w:vAlign w:val="center"/>
          </w:tcPr>
          <w:p w:rsidR="00A575AF" w:rsidRDefault="005B2EA5">
            <w:pPr>
              <w:jc w:val="right"/>
            </w:pPr>
            <w:r>
              <w:rPr>
                <w:color w:val="000000"/>
                <w:sz w:val="24"/>
              </w:rPr>
              <w:t>6,077,908.82</w:t>
            </w:r>
          </w:p>
        </w:tc>
        <w:tc>
          <w:tcPr>
            <w:tcW w:w="3307" w:type="dxa"/>
            <w:vAlign w:val="center"/>
          </w:tcPr>
          <w:p w:rsidR="00A575AF" w:rsidRDefault="005B2EA5">
            <w:pPr>
              <w:jc w:val="right"/>
            </w:pPr>
            <w:r>
              <w:rPr>
                <w:color w:val="000000"/>
                <w:sz w:val="24"/>
              </w:rPr>
              <w:t>4.70</w:t>
            </w:r>
          </w:p>
        </w:tc>
      </w:tr>
      <w:tr w:rsidR="00A575AF">
        <w:trPr>
          <w:jc w:val="center"/>
        </w:trPr>
        <w:tc>
          <w:tcPr>
            <w:tcW w:w="2904" w:type="dxa"/>
            <w:vAlign w:val="center"/>
          </w:tcPr>
          <w:p w:rsidR="00A575AF" w:rsidRDefault="005B2EA5">
            <w:pPr>
              <w:jc w:val="left"/>
            </w:pPr>
            <w:r>
              <w:rPr>
                <w:color w:val="000000"/>
                <w:sz w:val="24"/>
              </w:rPr>
              <w:t>能源</w:t>
            </w:r>
          </w:p>
        </w:tc>
        <w:tc>
          <w:tcPr>
            <w:tcW w:w="2657" w:type="dxa"/>
            <w:vAlign w:val="center"/>
          </w:tcPr>
          <w:p w:rsidR="00A575AF" w:rsidRDefault="005B2EA5">
            <w:pPr>
              <w:jc w:val="right"/>
            </w:pPr>
            <w:r>
              <w:rPr>
                <w:color w:val="000000"/>
                <w:sz w:val="24"/>
              </w:rPr>
              <w:t>619,398.08</w:t>
            </w:r>
          </w:p>
        </w:tc>
        <w:tc>
          <w:tcPr>
            <w:tcW w:w="3307" w:type="dxa"/>
            <w:vAlign w:val="center"/>
          </w:tcPr>
          <w:p w:rsidR="00A575AF" w:rsidRDefault="005B2EA5">
            <w:pPr>
              <w:jc w:val="right"/>
            </w:pPr>
            <w:r>
              <w:rPr>
                <w:color w:val="000000"/>
                <w:sz w:val="24"/>
              </w:rPr>
              <w:t>0.48</w:t>
            </w:r>
          </w:p>
        </w:tc>
      </w:tr>
      <w:tr w:rsidR="00A575AF">
        <w:trPr>
          <w:jc w:val="center"/>
        </w:trPr>
        <w:tc>
          <w:tcPr>
            <w:tcW w:w="2904" w:type="dxa"/>
            <w:vAlign w:val="center"/>
          </w:tcPr>
          <w:p w:rsidR="00A575AF" w:rsidRDefault="005B2EA5">
            <w:pPr>
              <w:jc w:val="left"/>
            </w:pPr>
            <w:r>
              <w:rPr>
                <w:color w:val="000000"/>
                <w:sz w:val="24"/>
              </w:rPr>
              <w:t>日常消费品</w:t>
            </w:r>
          </w:p>
        </w:tc>
        <w:tc>
          <w:tcPr>
            <w:tcW w:w="2657" w:type="dxa"/>
            <w:vAlign w:val="center"/>
          </w:tcPr>
          <w:p w:rsidR="00A575AF" w:rsidRDefault="005B2EA5">
            <w:pPr>
              <w:jc w:val="right"/>
            </w:pPr>
            <w:r>
              <w:rPr>
                <w:color w:val="000000"/>
                <w:sz w:val="24"/>
              </w:rPr>
              <w:t>10,058,311.97</w:t>
            </w:r>
          </w:p>
        </w:tc>
        <w:tc>
          <w:tcPr>
            <w:tcW w:w="3307" w:type="dxa"/>
            <w:vAlign w:val="center"/>
          </w:tcPr>
          <w:p w:rsidR="00A575AF" w:rsidRDefault="005B2EA5">
            <w:pPr>
              <w:jc w:val="right"/>
            </w:pPr>
            <w:r>
              <w:rPr>
                <w:color w:val="000000"/>
                <w:sz w:val="24"/>
              </w:rPr>
              <w:t>7.78</w:t>
            </w:r>
          </w:p>
        </w:tc>
      </w:tr>
      <w:tr w:rsidR="00A575AF">
        <w:trPr>
          <w:jc w:val="center"/>
        </w:trPr>
        <w:tc>
          <w:tcPr>
            <w:tcW w:w="2904" w:type="dxa"/>
            <w:vAlign w:val="center"/>
          </w:tcPr>
          <w:p w:rsidR="00A575AF" w:rsidRDefault="005B2EA5">
            <w:pPr>
              <w:jc w:val="left"/>
            </w:pPr>
            <w:r>
              <w:rPr>
                <w:color w:val="000000"/>
                <w:sz w:val="24"/>
              </w:rPr>
              <w:t>通信服务</w:t>
            </w:r>
          </w:p>
        </w:tc>
        <w:tc>
          <w:tcPr>
            <w:tcW w:w="2657" w:type="dxa"/>
            <w:vAlign w:val="center"/>
          </w:tcPr>
          <w:p w:rsidR="00A575AF" w:rsidRDefault="005B2EA5">
            <w:pPr>
              <w:jc w:val="right"/>
            </w:pPr>
            <w:r>
              <w:rPr>
                <w:color w:val="000000"/>
                <w:sz w:val="24"/>
              </w:rPr>
              <w:t>11,386,920.64</w:t>
            </w:r>
          </w:p>
        </w:tc>
        <w:tc>
          <w:tcPr>
            <w:tcW w:w="3307" w:type="dxa"/>
            <w:vAlign w:val="center"/>
          </w:tcPr>
          <w:p w:rsidR="00A575AF" w:rsidRDefault="005B2EA5">
            <w:pPr>
              <w:jc w:val="right"/>
            </w:pPr>
            <w:r>
              <w:rPr>
                <w:color w:val="000000"/>
                <w:sz w:val="24"/>
              </w:rPr>
              <w:t>8.81</w:t>
            </w:r>
          </w:p>
        </w:tc>
      </w:tr>
      <w:tr w:rsidR="00A575AF">
        <w:trPr>
          <w:jc w:val="center"/>
        </w:trPr>
        <w:tc>
          <w:tcPr>
            <w:tcW w:w="2904" w:type="dxa"/>
            <w:vAlign w:val="center"/>
          </w:tcPr>
          <w:p w:rsidR="00A575AF" w:rsidRDefault="005B2EA5">
            <w:pPr>
              <w:jc w:val="left"/>
            </w:pPr>
            <w:r>
              <w:rPr>
                <w:color w:val="000000"/>
                <w:sz w:val="24"/>
              </w:rPr>
              <w:t>信息技术</w:t>
            </w:r>
          </w:p>
        </w:tc>
        <w:tc>
          <w:tcPr>
            <w:tcW w:w="2657" w:type="dxa"/>
            <w:vAlign w:val="center"/>
          </w:tcPr>
          <w:p w:rsidR="00A575AF" w:rsidRDefault="005B2EA5">
            <w:pPr>
              <w:jc w:val="right"/>
            </w:pPr>
            <w:r>
              <w:rPr>
                <w:color w:val="000000"/>
                <w:sz w:val="24"/>
              </w:rPr>
              <w:t>24,288,688.27</w:t>
            </w:r>
          </w:p>
        </w:tc>
        <w:tc>
          <w:tcPr>
            <w:tcW w:w="3307" w:type="dxa"/>
            <w:vAlign w:val="center"/>
          </w:tcPr>
          <w:p w:rsidR="00A575AF" w:rsidRDefault="005B2EA5">
            <w:pPr>
              <w:jc w:val="right"/>
            </w:pPr>
            <w:r>
              <w:rPr>
                <w:color w:val="000000"/>
                <w:sz w:val="24"/>
              </w:rPr>
              <w:t>18.79</w:t>
            </w:r>
          </w:p>
        </w:tc>
      </w:tr>
      <w:tr w:rsidR="00A575AF">
        <w:trPr>
          <w:jc w:val="center"/>
        </w:trPr>
        <w:tc>
          <w:tcPr>
            <w:tcW w:w="2904" w:type="dxa"/>
            <w:vAlign w:val="center"/>
          </w:tcPr>
          <w:p w:rsidR="00A575AF" w:rsidRDefault="005B2EA5">
            <w:pPr>
              <w:jc w:val="left"/>
            </w:pPr>
            <w:r>
              <w:rPr>
                <w:color w:val="000000"/>
                <w:sz w:val="24"/>
              </w:rPr>
              <w:t>医疗保健</w:t>
            </w:r>
          </w:p>
        </w:tc>
        <w:tc>
          <w:tcPr>
            <w:tcW w:w="2657" w:type="dxa"/>
            <w:vAlign w:val="center"/>
          </w:tcPr>
          <w:p w:rsidR="00A575AF" w:rsidRDefault="005B2EA5">
            <w:pPr>
              <w:jc w:val="right"/>
            </w:pPr>
            <w:r>
              <w:rPr>
                <w:color w:val="000000"/>
                <w:sz w:val="24"/>
              </w:rPr>
              <w:t>17,680,759.45</w:t>
            </w:r>
          </w:p>
        </w:tc>
        <w:tc>
          <w:tcPr>
            <w:tcW w:w="3307" w:type="dxa"/>
            <w:vAlign w:val="center"/>
          </w:tcPr>
          <w:p w:rsidR="00A575AF" w:rsidRDefault="005B2EA5">
            <w:pPr>
              <w:jc w:val="right"/>
            </w:pPr>
            <w:r>
              <w:rPr>
                <w:color w:val="000000"/>
                <w:sz w:val="24"/>
              </w:rPr>
              <w:t>13.68</w:t>
            </w:r>
          </w:p>
        </w:tc>
      </w:tr>
      <w:tr w:rsidR="00A575AF">
        <w:trPr>
          <w:jc w:val="center"/>
        </w:trPr>
        <w:tc>
          <w:tcPr>
            <w:tcW w:w="2904" w:type="dxa"/>
            <w:vAlign w:val="center"/>
          </w:tcPr>
          <w:p w:rsidR="00A575AF" w:rsidRDefault="005B2EA5">
            <w:pPr>
              <w:jc w:val="left"/>
            </w:pPr>
            <w:r>
              <w:rPr>
                <w:color w:val="000000"/>
                <w:sz w:val="24"/>
              </w:rPr>
              <w:t>原材料</w:t>
            </w:r>
          </w:p>
        </w:tc>
        <w:tc>
          <w:tcPr>
            <w:tcW w:w="2657" w:type="dxa"/>
            <w:vAlign w:val="center"/>
          </w:tcPr>
          <w:p w:rsidR="00A575AF" w:rsidRDefault="005B2EA5">
            <w:pPr>
              <w:jc w:val="right"/>
            </w:pPr>
            <w:r>
              <w:rPr>
                <w:color w:val="000000"/>
                <w:sz w:val="24"/>
              </w:rPr>
              <w:t>2,972,423.04</w:t>
            </w:r>
          </w:p>
        </w:tc>
        <w:tc>
          <w:tcPr>
            <w:tcW w:w="3307" w:type="dxa"/>
            <w:vAlign w:val="center"/>
          </w:tcPr>
          <w:p w:rsidR="00A575AF" w:rsidRDefault="005B2EA5">
            <w:pPr>
              <w:jc w:val="right"/>
            </w:pPr>
            <w:r>
              <w:rPr>
                <w:color w:val="000000"/>
                <w:sz w:val="24"/>
              </w:rPr>
              <w:t>2.30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118,738,007.22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91.86</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A575AF">
        <w:trPr>
          <w:jc w:val="center"/>
        </w:trPr>
        <w:tc>
          <w:tcPr>
            <w:tcW w:w="1243" w:type="dxa"/>
            <w:vAlign w:val="center"/>
          </w:tcPr>
          <w:p w:rsidR="00A575AF" w:rsidRDefault="005B2EA5">
            <w:pPr>
              <w:jc w:val="center"/>
            </w:pPr>
            <w:r>
              <w:rPr>
                <w:color w:val="000000"/>
                <w:sz w:val="24"/>
              </w:rPr>
              <w:t>1</w:t>
            </w:r>
          </w:p>
        </w:tc>
        <w:tc>
          <w:tcPr>
            <w:tcW w:w="971" w:type="dxa"/>
            <w:vAlign w:val="center"/>
          </w:tcPr>
          <w:p w:rsidR="00A575AF" w:rsidRDefault="005B2EA5">
            <w:pPr>
              <w:jc w:val="center"/>
            </w:pPr>
            <w:r>
              <w:rPr>
                <w:color w:val="000000"/>
                <w:sz w:val="24"/>
              </w:rPr>
              <w:t>Xinyi Solar Holdings Ltd</w:t>
            </w:r>
          </w:p>
        </w:tc>
        <w:tc>
          <w:tcPr>
            <w:tcW w:w="993" w:type="dxa"/>
            <w:vAlign w:val="center"/>
          </w:tcPr>
          <w:p w:rsidR="00A575AF" w:rsidRDefault="005B2EA5">
            <w:pPr>
              <w:jc w:val="center"/>
            </w:pPr>
            <w:r>
              <w:rPr>
                <w:color w:val="000000"/>
                <w:sz w:val="24"/>
              </w:rPr>
              <w:t>信义光能</w:t>
            </w:r>
          </w:p>
        </w:tc>
        <w:tc>
          <w:tcPr>
            <w:tcW w:w="725" w:type="dxa"/>
            <w:vAlign w:val="center"/>
          </w:tcPr>
          <w:p w:rsidR="00A575AF" w:rsidRDefault="005B2EA5">
            <w:pPr>
              <w:jc w:val="center"/>
            </w:pPr>
            <w:r>
              <w:rPr>
                <w:color w:val="000000"/>
                <w:sz w:val="24"/>
              </w:rPr>
              <w:t>968 HK</w:t>
            </w:r>
          </w:p>
        </w:tc>
        <w:tc>
          <w:tcPr>
            <w:tcW w:w="747" w:type="dxa"/>
            <w:vAlign w:val="center"/>
          </w:tcPr>
          <w:p w:rsidR="00A575AF" w:rsidRDefault="005B2EA5">
            <w:pPr>
              <w:jc w:val="center"/>
            </w:pPr>
            <w:r>
              <w:rPr>
                <w:color w:val="000000"/>
                <w:sz w:val="24"/>
              </w:rPr>
              <w:t>香港证券交易所</w:t>
            </w:r>
          </w:p>
        </w:tc>
        <w:tc>
          <w:tcPr>
            <w:tcW w:w="975" w:type="dxa"/>
            <w:vAlign w:val="center"/>
          </w:tcPr>
          <w:p w:rsidR="00A575AF" w:rsidRDefault="005B2EA5">
            <w:pPr>
              <w:jc w:val="center"/>
            </w:pPr>
            <w:r>
              <w:rPr>
                <w:color w:val="000000"/>
                <w:sz w:val="24"/>
              </w:rPr>
              <w:t>香港</w:t>
            </w:r>
          </w:p>
        </w:tc>
        <w:tc>
          <w:tcPr>
            <w:tcW w:w="1175" w:type="dxa"/>
            <w:vAlign w:val="center"/>
          </w:tcPr>
          <w:p w:rsidR="00A575AF" w:rsidRDefault="005B2EA5">
            <w:pPr>
              <w:jc w:val="right"/>
            </w:pPr>
            <w:r>
              <w:rPr>
                <w:color w:val="000000"/>
                <w:sz w:val="24"/>
              </w:rPr>
              <w:t>392,062</w:t>
            </w:r>
          </w:p>
        </w:tc>
        <w:tc>
          <w:tcPr>
            <w:tcW w:w="975" w:type="dxa"/>
            <w:vAlign w:val="center"/>
          </w:tcPr>
          <w:p w:rsidR="00A575AF" w:rsidRDefault="005B2EA5">
            <w:pPr>
              <w:jc w:val="right"/>
            </w:pPr>
            <w:r>
              <w:rPr>
                <w:color w:val="000000"/>
                <w:sz w:val="24"/>
              </w:rPr>
              <w:t>4,230,554.60</w:t>
            </w:r>
          </w:p>
        </w:tc>
        <w:tc>
          <w:tcPr>
            <w:tcW w:w="1175" w:type="dxa"/>
            <w:vAlign w:val="center"/>
          </w:tcPr>
          <w:p w:rsidR="00A575AF" w:rsidRDefault="005B2EA5">
            <w:pPr>
              <w:jc w:val="right"/>
            </w:pPr>
            <w:r>
              <w:rPr>
                <w:color w:val="000000"/>
                <w:sz w:val="24"/>
              </w:rPr>
              <w:t>3.27</w:t>
            </w:r>
          </w:p>
        </w:tc>
      </w:tr>
      <w:tr w:rsidR="00A575AF">
        <w:trPr>
          <w:jc w:val="center"/>
        </w:trPr>
        <w:tc>
          <w:tcPr>
            <w:tcW w:w="1243" w:type="dxa"/>
            <w:vAlign w:val="center"/>
          </w:tcPr>
          <w:p w:rsidR="00A575AF" w:rsidRDefault="005B2EA5">
            <w:pPr>
              <w:jc w:val="center"/>
            </w:pPr>
            <w:r>
              <w:rPr>
                <w:color w:val="000000"/>
                <w:sz w:val="24"/>
              </w:rPr>
              <w:t>2</w:t>
            </w:r>
          </w:p>
        </w:tc>
        <w:tc>
          <w:tcPr>
            <w:tcW w:w="971" w:type="dxa"/>
            <w:vAlign w:val="center"/>
          </w:tcPr>
          <w:p w:rsidR="00A575AF" w:rsidRDefault="005B2EA5">
            <w:pPr>
              <w:jc w:val="center"/>
            </w:pPr>
            <w:r>
              <w:rPr>
                <w:color w:val="000000"/>
                <w:sz w:val="24"/>
              </w:rPr>
              <w:t>Alibaba Group Holding Ltd</w:t>
            </w:r>
          </w:p>
        </w:tc>
        <w:tc>
          <w:tcPr>
            <w:tcW w:w="993" w:type="dxa"/>
            <w:vAlign w:val="center"/>
          </w:tcPr>
          <w:p w:rsidR="00A575AF" w:rsidRDefault="005B2EA5">
            <w:pPr>
              <w:jc w:val="center"/>
            </w:pPr>
            <w:r>
              <w:rPr>
                <w:color w:val="000000"/>
                <w:sz w:val="24"/>
              </w:rPr>
              <w:t>阿里巴巴</w:t>
            </w:r>
          </w:p>
        </w:tc>
        <w:tc>
          <w:tcPr>
            <w:tcW w:w="725" w:type="dxa"/>
            <w:vAlign w:val="center"/>
          </w:tcPr>
          <w:p w:rsidR="00A575AF" w:rsidRDefault="005B2EA5">
            <w:pPr>
              <w:jc w:val="center"/>
            </w:pPr>
            <w:r>
              <w:rPr>
                <w:color w:val="000000"/>
                <w:sz w:val="24"/>
              </w:rPr>
              <w:t>9988</w:t>
            </w:r>
            <w:r>
              <w:rPr>
                <w:color w:val="000000"/>
                <w:sz w:val="24"/>
              </w:rPr>
              <w:t xml:space="preserve"> HK</w:t>
            </w:r>
          </w:p>
        </w:tc>
        <w:tc>
          <w:tcPr>
            <w:tcW w:w="747" w:type="dxa"/>
            <w:vAlign w:val="center"/>
          </w:tcPr>
          <w:p w:rsidR="00A575AF" w:rsidRDefault="005B2EA5">
            <w:pPr>
              <w:jc w:val="center"/>
            </w:pPr>
            <w:r>
              <w:rPr>
                <w:color w:val="000000"/>
                <w:sz w:val="24"/>
              </w:rPr>
              <w:t>香港证券交易所</w:t>
            </w:r>
          </w:p>
        </w:tc>
        <w:tc>
          <w:tcPr>
            <w:tcW w:w="975" w:type="dxa"/>
            <w:vAlign w:val="center"/>
          </w:tcPr>
          <w:p w:rsidR="00A575AF" w:rsidRDefault="005B2EA5">
            <w:pPr>
              <w:jc w:val="center"/>
            </w:pPr>
            <w:r>
              <w:rPr>
                <w:color w:val="000000"/>
                <w:sz w:val="24"/>
              </w:rPr>
              <w:t>香港</w:t>
            </w:r>
          </w:p>
        </w:tc>
        <w:tc>
          <w:tcPr>
            <w:tcW w:w="1175" w:type="dxa"/>
            <w:vAlign w:val="center"/>
          </w:tcPr>
          <w:p w:rsidR="00A575AF" w:rsidRDefault="005B2EA5">
            <w:pPr>
              <w:jc w:val="right"/>
            </w:pPr>
            <w:r>
              <w:rPr>
                <w:color w:val="000000"/>
                <w:sz w:val="24"/>
              </w:rPr>
              <w:t>15,700</w:t>
            </w:r>
          </w:p>
        </w:tc>
        <w:tc>
          <w:tcPr>
            <w:tcW w:w="975" w:type="dxa"/>
            <w:vAlign w:val="center"/>
          </w:tcPr>
          <w:p w:rsidR="00A575AF" w:rsidRDefault="005B2EA5">
            <w:pPr>
              <w:jc w:val="right"/>
            </w:pPr>
            <w:r>
              <w:rPr>
                <w:color w:val="000000"/>
                <w:sz w:val="24"/>
              </w:rPr>
              <w:t>3,802,095.77</w:t>
            </w:r>
          </w:p>
        </w:tc>
        <w:tc>
          <w:tcPr>
            <w:tcW w:w="1175" w:type="dxa"/>
            <w:vAlign w:val="center"/>
          </w:tcPr>
          <w:p w:rsidR="00A575AF" w:rsidRDefault="005B2EA5">
            <w:pPr>
              <w:jc w:val="right"/>
            </w:pPr>
            <w:r>
              <w:rPr>
                <w:color w:val="000000"/>
                <w:sz w:val="24"/>
              </w:rPr>
              <w:t>2.94</w:t>
            </w:r>
          </w:p>
        </w:tc>
      </w:tr>
      <w:tr w:rsidR="00A575AF">
        <w:trPr>
          <w:jc w:val="center"/>
        </w:trPr>
        <w:tc>
          <w:tcPr>
            <w:tcW w:w="1243" w:type="dxa"/>
            <w:vAlign w:val="center"/>
          </w:tcPr>
          <w:p w:rsidR="00A575AF" w:rsidRDefault="005B2EA5">
            <w:pPr>
              <w:jc w:val="center"/>
            </w:pPr>
            <w:r>
              <w:rPr>
                <w:color w:val="000000"/>
                <w:sz w:val="24"/>
              </w:rPr>
              <w:t>3</w:t>
            </w:r>
          </w:p>
        </w:tc>
        <w:tc>
          <w:tcPr>
            <w:tcW w:w="971" w:type="dxa"/>
            <w:vAlign w:val="center"/>
          </w:tcPr>
          <w:p w:rsidR="00A575AF" w:rsidRDefault="005B2EA5">
            <w:pPr>
              <w:jc w:val="center"/>
            </w:pPr>
            <w:r>
              <w:rPr>
                <w:color w:val="000000"/>
                <w:sz w:val="24"/>
              </w:rPr>
              <w:t>Wuxi Biologics Cayman Inc</w:t>
            </w:r>
          </w:p>
        </w:tc>
        <w:tc>
          <w:tcPr>
            <w:tcW w:w="993" w:type="dxa"/>
            <w:vAlign w:val="center"/>
          </w:tcPr>
          <w:p w:rsidR="00A575AF" w:rsidRDefault="005B2EA5">
            <w:pPr>
              <w:jc w:val="center"/>
            </w:pPr>
            <w:r>
              <w:rPr>
                <w:color w:val="000000"/>
                <w:sz w:val="24"/>
              </w:rPr>
              <w:t>药明生物</w:t>
            </w:r>
          </w:p>
        </w:tc>
        <w:tc>
          <w:tcPr>
            <w:tcW w:w="725" w:type="dxa"/>
            <w:vAlign w:val="center"/>
          </w:tcPr>
          <w:p w:rsidR="00A575AF" w:rsidRDefault="005B2EA5">
            <w:pPr>
              <w:jc w:val="center"/>
            </w:pPr>
            <w:r>
              <w:rPr>
                <w:color w:val="000000"/>
                <w:sz w:val="24"/>
              </w:rPr>
              <w:t>2269 HK</w:t>
            </w:r>
          </w:p>
        </w:tc>
        <w:tc>
          <w:tcPr>
            <w:tcW w:w="747" w:type="dxa"/>
            <w:vAlign w:val="center"/>
          </w:tcPr>
          <w:p w:rsidR="00A575AF" w:rsidRDefault="005B2EA5">
            <w:pPr>
              <w:jc w:val="center"/>
            </w:pPr>
            <w:r>
              <w:rPr>
                <w:color w:val="000000"/>
                <w:sz w:val="24"/>
              </w:rPr>
              <w:t>香港证券交易所</w:t>
            </w:r>
          </w:p>
        </w:tc>
        <w:tc>
          <w:tcPr>
            <w:tcW w:w="975" w:type="dxa"/>
            <w:vAlign w:val="center"/>
          </w:tcPr>
          <w:p w:rsidR="00A575AF" w:rsidRDefault="005B2EA5">
            <w:pPr>
              <w:jc w:val="center"/>
            </w:pPr>
            <w:r>
              <w:rPr>
                <w:color w:val="000000"/>
                <w:sz w:val="24"/>
              </w:rPr>
              <w:t>香港</w:t>
            </w:r>
          </w:p>
        </w:tc>
        <w:tc>
          <w:tcPr>
            <w:tcW w:w="1175" w:type="dxa"/>
            <w:vAlign w:val="center"/>
          </w:tcPr>
          <w:p w:rsidR="00A575AF" w:rsidRDefault="005B2EA5">
            <w:pPr>
              <w:jc w:val="right"/>
            </w:pPr>
            <w:r>
              <w:rPr>
                <w:color w:val="000000"/>
                <w:sz w:val="24"/>
              </w:rPr>
              <w:t>21,600</w:t>
            </w:r>
          </w:p>
        </w:tc>
        <w:tc>
          <w:tcPr>
            <w:tcW w:w="975" w:type="dxa"/>
            <w:vAlign w:val="center"/>
          </w:tcPr>
          <w:p w:rsidR="00A575AF" w:rsidRDefault="005B2EA5">
            <w:pPr>
              <w:jc w:val="right"/>
            </w:pPr>
            <w:r>
              <w:rPr>
                <w:color w:val="000000"/>
                <w:sz w:val="24"/>
              </w:rPr>
              <w:t>3,579,642.26</w:t>
            </w:r>
          </w:p>
        </w:tc>
        <w:tc>
          <w:tcPr>
            <w:tcW w:w="1175" w:type="dxa"/>
            <w:vAlign w:val="center"/>
          </w:tcPr>
          <w:p w:rsidR="00A575AF" w:rsidRDefault="005B2EA5">
            <w:pPr>
              <w:jc w:val="right"/>
            </w:pPr>
            <w:r>
              <w:rPr>
                <w:color w:val="000000"/>
                <w:sz w:val="24"/>
              </w:rPr>
              <w:t>2.77</w:t>
            </w:r>
          </w:p>
        </w:tc>
      </w:tr>
      <w:tr w:rsidR="00A575AF">
        <w:trPr>
          <w:jc w:val="center"/>
        </w:trPr>
        <w:tc>
          <w:tcPr>
            <w:tcW w:w="1243" w:type="dxa"/>
            <w:vAlign w:val="center"/>
          </w:tcPr>
          <w:p w:rsidR="00A575AF" w:rsidRDefault="005B2EA5">
            <w:pPr>
              <w:jc w:val="center"/>
            </w:pPr>
            <w:r>
              <w:rPr>
                <w:color w:val="000000"/>
                <w:sz w:val="24"/>
              </w:rPr>
              <w:t>4</w:t>
            </w:r>
          </w:p>
        </w:tc>
        <w:tc>
          <w:tcPr>
            <w:tcW w:w="971" w:type="dxa"/>
            <w:vAlign w:val="center"/>
          </w:tcPr>
          <w:p w:rsidR="00A575AF" w:rsidRDefault="005B2EA5">
            <w:pPr>
              <w:jc w:val="center"/>
            </w:pPr>
            <w:r>
              <w:rPr>
                <w:color w:val="000000"/>
                <w:sz w:val="24"/>
              </w:rPr>
              <w:t>Amazon.com Inc</w:t>
            </w:r>
          </w:p>
        </w:tc>
        <w:tc>
          <w:tcPr>
            <w:tcW w:w="993" w:type="dxa"/>
            <w:vAlign w:val="center"/>
          </w:tcPr>
          <w:p w:rsidR="00A575AF" w:rsidRDefault="005B2EA5">
            <w:pPr>
              <w:jc w:val="center"/>
            </w:pPr>
            <w:r>
              <w:rPr>
                <w:color w:val="000000"/>
                <w:sz w:val="24"/>
              </w:rPr>
              <w:t>亚马逊公司</w:t>
            </w:r>
          </w:p>
        </w:tc>
        <w:tc>
          <w:tcPr>
            <w:tcW w:w="725" w:type="dxa"/>
            <w:vAlign w:val="center"/>
          </w:tcPr>
          <w:p w:rsidR="00A575AF" w:rsidRDefault="005B2EA5">
            <w:pPr>
              <w:jc w:val="center"/>
            </w:pPr>
            <w:r>
              <w:rPr>
                <w:color w:val="000000"/>
                <w:sz w:val="24"/>
              </w:rPr>
              <w:t>AMZN US</w:t>
            </w:r>
          </w:p>
        </w:tc>
        <w:tc>
          <w:tcPr>
            <w:tcW w:w="747" w:type="dxa"/>
            <w:vAlign w:val="center"/>
          </w:tcPr>
          <w:p w:rsidR="00A575AF" w:rsidRDefault="005B2EA5">
            <w:pPr>
              <w:jc w:val="center"/>
            </w:pPr>
            <w:r>
              <w:rPr>
                <w:color w:val="000000"/>
                <w:sz w:val="24"/>
              </w:rPr>
              <w:t>美国证券交易所</w:t>
            </w:r>
          </w:p>
        </w:tc>
        <w:tc>
          <w:tcPr>
            <w:tcW w:w="975" w:type="dxa"/>
            <w:vAlign w:val="center"/>
          </w:tcPr>
          <w:p w:rsidR="00A575AF" w:rsidRDefault="005B2EA5">
            <w:pPr>
              <w:jc w:val="center"/>
            </w:pPr>
            <w:r>
              <w:rPr>
                <w:color w:val="000000"/>
                <w:sz w:val="24"/>
              </w:rPr>
              <w:t>美国</w:t>
            </w:r>
          </w:p>
        </w:tc>
        <w:tc>
          <w:tcPr>
            <w:tcW w:w="1175" w:type="dxa"/>
            <w:vAlign w:val="center"/>
          </w:tcPr>
          <w:p w:rsidR="00A575AF" w:rsidRDefault="005B2EA5">
            <w:pPr>
              <w:jc w:val="right"/>
            </w:pPr>
            <w:r>
              <w:rPr>
                <w:color w:val="000000"/>
                <w:sz w:val="24"/>
              </w:rPr>
              <w:t>152</w:t>
            </w:r>
          </w:p>
        </w:tc>
        <w:tc>
          <w:tcPr>
            <w:tcW w:w="975" w:type="dxa"/>
            <w:vAlign w:val="center"/>
          </w:tcPr>
          <w:p w:rsidR="00A575AF" w:rsidRDefault="005B2EA5">
            <w:pPr>
              <w:jc w:val="right"/>
            </w:pPr>
            <w:r>
              <w:rPr>
                <w:color w:val="000000"/>
                <w:sz w:val="24"/>
              </w:rPr>
              <w:t>3,259,361.26</w:t>
            </w:r>
          </w:p>
        </w:tc>
        <w:tc>
          <w:tcPr>
            <w:tcW w:w="1175" w:type="dxa"/>
            <w:vAlign w:val="center"/>
          </w:tcPr>
          <w:p w:rsidR="00A575AF" w:rsidRDefault="005B2EA5">
            <w:pPr>
              <w:jc w:val="right"/>
            </w:pPr>
            <w:r>
              <w:rPr>
                <w:color w:val="000000"/>
                <w:sz w:val="24"/>
              </w:rPr>
              <w:t>2.52</w:t>
            </w:r>
          </w:p>
        </w:tc>
      </w:tr>
      <w:tr w:rsidR="00A575AF">
        <w:trPr>
          <w:jc w:val="center"/>
        </w:trPr>
        <w:tc>
          <w:tcPr>
            <w:tcW w:w="1243" w:type="dxa"/>
            <w:vAlign w:val="center"/>
          </w:tcPr>
          <w:p w:rsidR="00A575AF" w:rsidRDefault="005B2EA5">
            <w:pPr>
              <w:jc w:val="center"/>
            </w:pPr>
            <w:r>
              <w:rPr>
                <w:color w:val="000000"/>
                <w:sz w:val="24"/>
              </w:rPr>
              <w:t>5</w:t>
            </w:r>
          </w:p>
        </w:tc>
        <w:tc>
          <w:tcPr>
            <w:tcW w:w="971" w:type="dxa"/>
            <w:vAlign w:val="center"/>
          </w:tcPr>
          <w:p w:rsidR="00A575AF" w:rsidRDefault="005B2EA5">
            <w:pPr>
              <w:jc w:val="center"/>
            </w:pPr>
            <w:r>
              <w:rPr>
                <w:color w:val="000000"/>
                <w:sz w:val="24"/>
              </w:rPr>
              <w:t xml:space="preserve">Microsoft </w:t>
            </w:r>
            <w:r>
              <w:rPr>
                <w:color w:val="000000"/>
                <w:sz w:val="24"/>
              </w:rPr>
              <w:lastRenderedPageBreak/>
              <w:t>Corp</w:t>
            </w:r>
          </w:p>
        </w:tc>
        <w:tc>
          <w:tcPr>
            <w:tcW w:w="993" w:type="dxa"/>
            <w:vAlign w:val="center"/>
          </w:tcPr>
          <w:p w:rsidR="00A575AF" w:rsidRDefault="005B2EA5">
            <w:pPr>
              <w:jc w:val="center"/>
            </w:pPr>
            <w:r>
              <w:rPr>
                <w:color w:val="000000"/>
                <w:sz w:val="24"/>
              </w:rPr>
              <w:lastRenderedPageBreak/>
              <w:t>微软</w:t>
            </w:r>
          </w:p>
        </w:tc>
        <w:tc>
          <w:tcPr>
            <w:tcW w:w="725" w:type="dxa"/>
            <w:vAlign w:val="center"/>
          </w:tcPr>
          <w:p w:rsidR="00A575AF" w:rsidRDefault="005B2EA5">
            <w:pPr>
              <w:jc w:val="center"/>
            </w:pPr>
            <w:r>
              <w:rPr>
                <w:color w:val="000000"/>
                <w:sz w:val="24"/>
              </w:rPr>
              <w:t xml:space="preserve">MSFT </w:t>
            </w:r>
            <w:r>
              <w:rPr>
                <w:color w:val="000000"/>
                <w:sz w:val="24"/>
              </w:rPr>
              <w:lastRenderedPageBreak/>
              <w:t>US</w:t>
            </w:r>
          </w:p>
        </w:tc>
        <w:tc>
          <w:tcPr>
            <w:tcW w:w="747" w:type="dxa"/>
            <w:vAlign w:val="center"/>
          </w:tcPr>
          <w:p w:rsidR="00A575AF" w:rsidRDefault="005B2EA5">
            <w:pPr>
              <w:jc w:val="center"/>
            </w:pPr>
            <w:r>
              <w:rPr>
                <w:color w:val="000000"/>
                <w:sz w:val="24"/>
              </w:rPr>
              <w:lastRenderedPageBreak/>
              <w:t>美国证券</w:t>
            </w:r>
            <w:r>
              <w:rPr>
                <w:color w:val="000000"/>
                <w:sz w:val="24"/>
              </w:rPr>
              <w:lastRenderedPageBreak/>
              <w:t>交易所</w:t>
            </w:r>
          </w:p>
        </w:tc>
        <w:tc>
          <w:tcPr>
            <w:tcW w:w="975" w:type="dxa"/>
            <w:vAlign w:val="center"/>
          </w:tcPr>
          <w:p w:rsidR="00A575AF" w:rsidRDefault="005B2EA5">
            <w:pPr>
              <w:jc w:val="center"/>
            </w:pPr>
            <w:r>
              <w:rPr>
                <w:color w:val="000000"/>
                <w:sz w:val="24"/>
              </w:rPr>
              <w:lastRenderedPageBreak/>
              <w:t>美国</w:t>
            </w:r>
          </w:p>
        </w:tc>
        <w:tc>
          <w:tcPr>
            <w:tcW w:w="1175" w:type="dxa"/>
            <w:vAlign w:val="center"/>
          </w:tcPr>
          <w:p w:rsidR="00A575AF" w:rsidRDefault="005B2EA5">
            <w:pPr>
              <w:jc w:val="right"/>
            </w:pPr>
            <w:r>
              <w:rPr>
                <w:color w:val="000000"/>
                <w:sz w:val="24"/>
              </w:rPr>
              <w:t>2,029</w:t>
            </w:r>
          </w:p>
        </w:tc>
        <w:tc>
          <w:tcPr>
            <w:tcW w:w="975" w:type="dxa"/>
            <w:vAlign w:val="center"/>
          </w:tcPr>
          <w:p w:rsidR="00A575AF" w:rsidRDefault="005B2EA5">
            <w:pPr>
              <w:jc w:val="right"/>
            </w:pPr>
            <w:r>
              <w:rPr>
                <w:color w:val="000000"/>
                <w:sz w:val="24"/>
              </w:rPr>
              <w:t>2,906,275.35</w:t>
            </w:r>
          </w:p>
        </w:tc>
        <w:tc>
          <w:tcPr>
            <w:tcW w:w="1175" w:type="dxa"/>
            <w:vAlign w:val="center"/>
          </w:tcPr>
          <w:p w:rsidR="00A575AF" w:rsidRDefault="005B2EA5">
            <w:pPr>
              <w:jc w:val="right"/>
            </w:pPr>
            <w:r>
              <w:rPr>
                <w:color w:val="000000"/>
                <w:sz w:val="24"/>
              </w:rPr>
              <w:t>2.25</w:t>
            </w:r>
          </w:p>
        </w:tc>
      </w:tr>
      <w:tr w:rsidR="00A575AF">
        <w:trPr>
          <w:jc w:val="center"/>
        </w:trPr>
        <w:tc>
          <w:tcPr>
            <w:tcW w:w="1243" w:type="dxa"/>
            <w:vAlign w:val="center"/>
          </w:tcPr>
          <w:p w:rsidR="00A575AF" w:rsidRDefault="005B2EA5">
            <w:pPr>
              <w:jc w:val="center"/>
            </w:pPr>
            <w:r>
              <w:rPr>
                <w:color w:val="000000"/>
                <w:sz w:val="24"/>
              </w:rPr>
              <w:t>6</w:t>
            </w:r>
          </w:p>
        </w:tc>
        <w:tc>
          <w:tcPr>
            <w:tcW w:w="971" w:type="dxa"/>
            <w:vAlign w:val="center"/>
          </w:tcPr>
          <w:p w:rsidR="00A575AF" w:rsidRDefault="005B2EA5">
            <w:pPr>
              <w:jc w:val="center"/>
            </w:pPr>
            <w:r>
              <w:rPr>
                <w:color w:val="000000"/>
                <w:sz w:val="24"/>
              </w:rPr>
              <w:t>Alphabet Inc</w:t>
            </w:r>
          </w:p>
        </w:tc>
        <w:tc>
          <w:tcPr>
            <w:tcW w:w="993" w:type="dxa"/>
            <w:vAlign w:val="center"/>
          </w:tcPr>
          <w:p w:rsidR="00A575AF" w:rsidRDefault="005B2EA5">
            <w:pPr>
              <w:jc w:val="center"/>
            </w:pPr>
            <w:r>
              <w:rPr>
                <w:color w:val="000000"/>
                <w:sz w:val="24"/>
              </w:rPr>
              <w:t>Alphabet</w:t>
            </w:r>
            <w:r>
              <w:rPr>
                <w:color w:val="000000"/>
                <w:sz w:val="24"/>
              </w:rPr>
              <w:t>公司</w:t>
            </w:r>
          </w:p>
        </w:tc>
        <w:tc>
          <w:tcPr>
            <w:tcW w:w="725" w:type="dxa"/>
            <w:vAlign w:val="center"/>
          </w:tcPr>
          <w:p w:rsidR="00A575AF" w:rsidRDefault="005B2EA5">
            <w:pPr>
              <w:jc w:val="center"/>
            </w:pPr>
            <w:r>
              <w:rPr>
                <w:color w:val="000000"/>
                <w:sz w:val="24"/>
              </w:rPr>
              <w:t>GOOGL US</w:t>
            </w:r>
          </w:p>
        </w:tc>
        <w:tc>
          <w:tcPr>
            <w:tcW w:w="747" w:type="dxa"/>
            <w:vAlign w:val="center"/>
          </w:tcPr>
          <w:p w:rsidR="00A575AF" w:rsidRDefault="005B2EA5">
            <w:pPr>
              <w:jc w:val="center"/>
            </w:pPr>
            <w:r>
              <w:rPr>
                <w:color w:val="000000"/>
                <w:sz w:val="24"/>
              </w:rPr>
              <w:t>美国证券交易所</w:t>
            </w:r>
          </w:p>
        </w:tc>
        <w:tc>
          <w:tcPr>
            <w:tcW w:w="975" w:type="dxa"/>
            <w:vAlign w:val="center"/>
          </w:tcPr>
          <w:p w:rsidR="00A575AF" w:rsidRDefault="005B2EA5">
            <w:pPr>
              <w:jc w:val="center"/>
            </w:pPr>
            <w:r>
              <w:rPr>
                <w:color w:val="000000"/>
                <w:sz w:val="24"/>
              </w:rPr>
              <w:t>美国</w:t>
            </w:r>
          </w:p>
        </w:tc>
        <w:tc>
          <w:tcPr>
            <w:tcW w:w="1175" w:type="dxa"/>
            <w:vAlign w:val="center"/>
          </w:tcPr>
          <w:p w:rsidR="00A575AF" w:rsidRDefault="005B2EA5">
            <w:pPr>
              <w:jc w:val="right"/>
            </w:pPr>
            <w:r>
              <w:rPr>
                <w:color w:val="000000"/>
                <w:sz w:val="24"/>
              </w:rPr>
              <w:t>289</w:t>
            </w:r>
          </w:p>
        </w:tc>
        <w:tc>
          <w:tcPr>
            <w:tcW w:w="975" w:type="dxa"/>
            <w:vAlign w:val="center"/>
          </w:tcPr>
          <w:p w:rsidR="00A575AF" w:rsidRDefault="005B2EA5">
            <w:pPr>
              <w:jc w:val="right"/>
            </w:pPr>
            <w:r>
              <w:rPr>
                <w:color w:val="000000"/>
                <w:sz w:val="24"/>
              </w:rPr>
              <w:t>2,884,475.06</w:t>
            </w:r>
          </w:p>
        </w:tc>
        <w:tc>
          <w:tcPr>
            <w:tcW w:w="1175" w:type="dxa"/>
            <w:vAlign w:val="center"/>
          </w:tcPr>
          <w:p w:rsidR="00A575AF" w:rsidRDefault="005B2EA5">
            <w:pPr>
              <w:jc w:val="right"/>
            </w:pPr>
            <w:r>
              <w:rPr>
                <w:color w:val="000000"/>
                <w:sz w:val="24"/>
              </w:rPr>
              <w:t>2.23</w:t>
            </w:r>
          </w:p>
        </w:tc>
      </w:tr>
      <w:tr w:rsidR="00A575AF">
        <w:trPr>
          <w:jc w:val="center"/>
        </w:trPr>
        <w:tc>
          <w:tcPr>
            <w:tcW w:w="1243" w:type="dxa"/>
            <w:vAlign w:val="center"/>
          </w:tcPr>
          <w:p w:rsidR="00A575AF" w:rsidRDefault="005B2EA5">
            <w:pPr>
              <w:jc w:val="center"/>
            </w:pPr>
            <w:r>
              <w:rPr>
                <w:color w:val="000000"/>
                <w:sz w:val="24"/>
              </w:rPr>
              <w:t>7</w:t>
            </w:r>
          </w:p>
        </w:tc>
        <w:tc>
          <w:tcPr>
            <w:tcW w:w="971" w:type="dxa"/>
            <w:vAlign w:val="center"/>
          </w:tcPr>
          <w:p w:rsidR="00A575AF" w:rsidRDefault="005B2EA5">
            <w:pPr>
              <w:jc w:val="center"/>
            </w:pPr>
            <w:r>
              <w:rPr>
                <w:color w:val="000000"/>
                <w:sz w:val="24"/>
              </w:rPr>
              <w:t>Nestle SA</w:t>
            </w:r>
          </w:p>
        </w:tc>
        <w:tc>
          <w:tcPr>
            <w:tcW w:w="993" w:type="dxa"/>
            <w:vAlign w:val="center"/>
          </w:tcPr>
          <w:p w:rsidR="00A575AF" w:rsidRDefault="005B2EA5">
            <w:pPr>
              <w:jc w:val="center"/>
            </w:pPr>
            <w:r>
              <w:rPr>
                <w:color w:val="000000"/>
                <w:sz w:val="24"/>
              </w:rPr>
              <w:t>雀巢</w:t>
            </w:r>
          </w:p>
        </w:tc>
        <w:tc>
          <w:tcPr>
            <w:tcW w:w="725" w:type="dxa"/>
            <w:vAlign w:val="center"/>
          </w:tcPr>
          <w:p w:rsidR="00A575AF" w:rsidRDefault="005B2EA5">
            <w:pPr>
              <w:jc w:val="center"/>
            </w:pPr>
            <w:r>
              <w:rPr>
                <w:color w:val="000000"/>
                <w:sz w:val="24"/>
              </w:rPr>
              <w:t>NESN SW</w:t>
            </w:r>
          </w:p>
        </w:tc>
        <w:tc>
          <w:tcPr>
            <w:tcW w:w="747" w:type="dxa"/>
            <w:vAlign w:val="center"/>
          </w:tcPr>
          <w:p w:rsidR="00A575AF" w:rsidRDefault="005B2EA5">
            <w:pPr>
              <w:jc w:val="center"/>
            </w:pPr>
            <w:r>
              <w:rPr>
                <w:color w:val="000000"/>
                <w:sz w:val="24"/>
              </w:rPr>
              <w:t>瑞士证券交易所</w:t>
            </w:r>
          </w:p>
        </w:tc>
        <w:tc>
          <w:tcPr>
            <w:tcW w:w="975" w:type="dxa"/>
            <w:vAlign w:val="center"/>
          </w:tcPr>
          <w:p w:rsidR="00A575AF" w:rsidRDefault="005B2EA5">
            <w:pPr>
              <w:jc w:val="center"/>
            </w:pPr>
            <w:r>
              <w:rPr>
                <w:color w:val="000000"/>
                <w:sz w:val="24"/>
              </w:rPr>
              <w:t>瑞士</w:t>
            </w:r>
          </w:p>
        </w:tc>
        <w:tc>
          <w:tcPr>
            <w:tcW w:w="1175" w:type="dxa"/>
            <w:vAlign w:val="center"/>
          </w:tcPr>
          <w:p w:rsidR="00A575AF" w:rsidRDefault="005B2EA5">
            <w:pPr>
              <w:jc w:val="right"/>
            </w:pPr>
            <w:r>
              <w:rPr>
                <w:color w:val="000000"/>
                <w:sz w:val="24"/>
              </w:rPr>
              <w:t>3,186</w:t>
            </w:r>
          </w:p>
        </w:tc>
        <w:tc>
          <w:tcPr>
            <w:tcW w:w="975" w:type="dxa"/>
            <w:vAlign w:val="center"/>
          </w:tcPr>
          <w:p w:rsidR="00A575AF" w:rsidRDefault="005B2EA5">
            <w:pPr>
              <w:jc w:val="right"/>
            </w:pPr>
            <w:r>
              <w:rPr>
                <w:color w:val="000000"/>
                <w:sz w:val="24"/>
              </w:rPr>
              <w:t>2,582,063.17</w:t>
            </w:r>
          </w:p>
        </w:tc>
        <w:tc>
          <w:tcPr>
            <w:tcW w:w="1175" w:type="dxa"/>
            <w:vAlign w:val="center"/>
          </w:tcPr>
          <w:p w:rsidR="00A575AF" w:rsidRDefault="005B2EA5">
            <w:pPr>
              <w:jc w:val="right"/>
            </w:pPr>
            <w:r>
              <w:rPr>
                <w:color w:val="000000"/>
                <w:sz w:val="24"/>
              </w:rPr>
              <w:t>2.00</w:t>
            </w:r>
          </w:p>
        </w:tc>
      </w:tr>
      <w:tr w:rsidR="00A575AF">
        <w:trPr>
          <w:jc w:val="center"/>
        </w:trPr>
        <w:tc>
          <w:tcPr>
            <w:tcW w:w="1243" w:type="dxa"/>
            <w:vAlign w:val="center"/>
          </w:tcPr>
          <w:p w:rsidR="00A575AF" w:rsidRDefault="005B2EA5">
            <w:pPr>
              <w:jc w:val="center"/>
            </w:pPr>
            <w:r>
              <w:rPr>
                <w:color w:val="000000"/>
                <w:sz w:val="24"/>
              </w:rPr>
              <w:t>8</w:t>
            </w:r>
          </w:p>
        </w:tc>
        <w:tc>
          <w:tcPr>
            <w:tcW w:w="971" w:type="dxa"/>
            <w:vAlign w:val="center"/>
          </w:tcPr>
          <w:p w:rsidR="00A575AF" w:rsidRDefault="005B2EA5">
            <w:pPr>
              <w:jc w:val="center"/>
            </w:pPr>
            <w:r>
              <w:rPr>
                <w:color w:val="000000"/>
                <w:sz w:val="24"/>
              </w:rPr>
              <w:t>Meituan Dianping</w:t>
            </w:r>
          </w:p>
        </w:tc>
        <w:tc>
          <w:tcPr>
            <w:tcW w:w="993" w:type="dxa"/>
            <w:vAlign w:val="center"/>
          </w:tcPr>
          <w:p w:rsidR="00A575AF" w:rsidRDefault="005B2EA5">
            <w:pPr>
              <w:jc w:val="center"/>
            </w:pPr>
            <w:r>
              <w:rPr>
                <w:color w:val="000000"/>
                <w:sz w:val="24"/>
              </w:rPr>
              <w:t>美团点评</w:t>
            </w:r>
          </w:p>
        </w:tc>
        <w:tc>
          <w:tcPr>
            <w:tcW w:w="725" w:type="dxa"/>
            <w:vAlign w:val="center"/>
          </w:tcPr>
          <w:p w:rsidR="00A575AF" w:rsidRDefault="005B2EA5">
            <w:pPr>
              <w:jc w:val="center"/>
            </w:pPr>
            <w:r>
              <w:rPr>
                <w:color w:val="000000"/>
                <w:sz w:val="24"/>
              </w:rPr>
              <w:t>3690 HK</w:t>
            </w:r>
          </w:p>
        </w:tc>
        <w:tc>
          <w:tcPr>
            <w:tcW w:w="747" w:type="dxa"/>
            <w:vAlign w:val="center"/>
          </w:tcPr>
          <w:p w:rsidR="00A575AF" w:rsidRDefault="005B2EA5">
            <w:pPr>
              <w:jc w:val="center"/>
            </w:pPr>
            <w:r>
              <w:rPr>
                <w:color w:val="000000"/>
                <w:sz w:val="24"/>
              </w:rPr>
              <w:t>香港证券交易所</w:t>
            </w:r>
          </w:p>
        </w:tc>
        <w:tc>
          <w:tcPr>
            <w:tcW w:w="975" w:type="dxa"/>
            <w:vAlign w:val="center"/>
          </w:tcPr>
          <w:p w:rsidR="00A575AF" w:rsidRDefault="005B2EA5">
            <w:pPr>
              <w:jc w:val="center"/>
            </w:pPr>
            <w:r>
              <w:rPr>
                <w:color w:val="000000"/>
                <w:sz w:val="24"/>
              </w:rPr>
              <w:t>香港</w:t>
            </w:r>
          </w:p>
        </w:tc>
        <w:tc>
          <w:tcPr>
            <w:tcW w:w="1175" w:type="dxa"/>
            <w:vAlign w:val="center"/>
          </w:tcPr>
          <w:p w:rsidR="00A575AF" w:rsidRDefault="005B2EA5">
            <w:pPr>
              <w:jc w:val="right"/>
            </w:pPr>
            <w:r>
              <w:rPr>
                <w:color w:val="000000"/>
                <w:sz w:val="24"/>
              </w:rPr>
              <w:t>12,000</w:t>
            </w:r>
          </w:p>
        </w:tc>
        <w:tc>
          <w:tcPr>
            <w:tcW w:w="975" w:type="dxa"/>
            <w:vAlign w:val="center"/>
          </w:tcPr>
          <w:p w:rsidR="00A575AF" w:rsidRDefault="005B2EA5">
            <w:pPr>
              <w:jc w:val="right"/>
            </w:pPr>
            <w:r>
              <w:rPr>
                <w:color w:val="000000"/>
                <w:sz w:val="24"/>
              </w:rPr>
              <w:t>2,549,656.82</w:t>
            </w:r>
          </w:p>
        </w:tc>
        <w:tc>
          <w:tcPr>
            <w:tcW w:w="1175" w:type="dxa"/>
            <w:vAlign w:val="center"/>
          </w:tcPr>
          <w:p w:rsidR="00A575AF" w:rsidRDefault="005B2EA5">
            <w:pPr>
              <w:jc w:val="right"/>
            </w:pPr>
            <w:r>
              <w:rPr>
                <w:color w:val="000000"/>
                <w:sz w:val="24"/>
              </w:rPr>
              <w:t>1.97</w:t>
            </w:r>
          </w:p>
        </w:tc>
      </w:tr>
      <w:tr w:rsidR="00A575AF">
        <w:trPr>
          <w:jc w:val="center"/>
        </w:trPr>
        <w:tc>
          <w:tcPr>
            <w:tcW w:w="1243" w:type="dxa"/>
            <w:vAlign w:val="center"/>
          </w:tcPr>
          <w:p w:rsidR="00A575AF" w:rsidRDefault="005B2EA5">
            <w:pPr>
              <w:jc w:val="center"/>
            </w:pPr>
            <w:r>
              <w:rPr>
                <w:color w:val="000000"/>
                <w:sz w:val="24"/>
              </w:rPr>
              <w:t>9</w:t>
            </w:r>
          </w:p>
        </w:tc>
        <w:tc>
          <w:tcPr>
            <w:tcW w:w="971" w:type="dxa"/>
            <w:vAlign w:val="center"/>
          </w:tcPr>
          <w:p w:rsidR="00A575AF" w:rsidRDefault="005B2EA5">
            <w:pPr>
              <w:jc w:val="center"/>
            </w:pPr>
            <w:r>
              <w:rPr>
                <w:color w:val="000000"/>
                <w:sz w:val="24"/>
              </w:rPr>
              <w:t>ANTA Sports Products Ltd</w:t>
            </w:r>
          </w:p>
        </w:tc>
        <w:tc>
          <w:tcPr>
            <w:tcW w:w="993" w:type="dxa"/>
            <w:vAlign w:val="center"/>
          </w:tcPr>
          <w:p w:rsidR="00A575AF" w:rsidRDefault="005B2EA5">
            <w:pPr>
              <w:jc w:val="center"/>
            </w:pPr>
            <w:r>
              <w:rPr>
                <w:color w:val="000000"/>
                <w:sz w:val="24"/>
              </w:rPr>
              <w:t>安踏体育</w:t>
            </w:r>
          </w:p>
        </w:tc>
        <w:tc>
          <w:tcPr>
            <w:tcW w:w="725" w:type="dxa"/>
            <w:vAlign w:val="center"/>
          </w:tcPr>
          <w:p w:rsidR="00A575AF" w:rsidRDefault="005B2EA5">
            <w:pPr>
              <w:jc w:val="center"/>
            </w:pPr>
            <w:r>
              <w:rPr>
                <w:color w:val="000000"/>
                <w:sz w:val="24"/>
              </w:rPr>
              <w:t>2020 HK</w:t>
            </w:r>
          </w:p>
        </w:tc>
        <w:tc>
          <w:tcPr>
            <w:tcW w:w="747" w:type="dxa"/>
            <w:vAlign w:val="center"/>
          </w:tcPr>
          <w:p w:rsidR="00A575AF" w:rsidRDefault="005B2EA5">
            <w:pPr>
              <w:jc w:val="center"/>
            </w:pPr>
            <w:r>
              <w:rPr>
                <w:color w:val="000000"/>
                <w:sz w:val="24"/>
              </w:rPr>
              <w:t>香港证券交易所</w:t>
            </w:r>
          </w:p>
        </w:tc>
        <w:tc>
          <w:tcPr>
            <w:tcW w:w="975" w:type="dxa"/>
            <w:vAlign w:val="center"/>
          </w:tcPr>
          <w:p w:rsidR="00A575AF" w:rsidRDefault="005B2EA5">
            <w:pPr>
              <w:jc w:val="center"/>
            </w:pPr>
            <w:r>
              <w:rPr>
                <w:color w:val="000000"/>
                <w:sz w:val="24"/>
              </w:rPr>
              <w:t>香港</w:t>
            </w:r>
          </w:p>
        </w:tc>
        <w:tc>
          <w:tcPr>
            <w:tcW w:w="1175" w:type="dxa"/>
            <w:vAlign w:val="center"/>
          </w:tcPr>
          <w:p w:rsidR="00A575AF" w:rsidRDefault="005B2EA5">
            <w:pPr>
              <w:jc w:val="right"/>
            </w:pPr>
            <w:r>
              <w:rPr>
                <w:color w:val="000000"/>
                <w:sz w:val="24"/>
              </w:rPr>
              <w:t>36,000</w:t>
            </w:r>
          </w:p>
        </w:tc>
        <w:tc>
          <w:tcPr>
            <w:tcW w:w="975" w:type="dxa"/>
            <w:vAlign w:val="center"/>
          </w:tcPr>
          <w:p w:rsidR="00A575AF" w:rsidRDefault="005B2EA5">
            <w:pPr>
              <w:jc w:val="right"/>
            </w:pPr>
            <w:r>
              <w:rPr>
                <w:color w:val="000000"/>
                <w:sz w:val="24"/>
              </w:rPr>
              <w:t>2,533,840.09</w:t>
            </w:r>
          </w:p>
        </w:tc>
        <w:tc>
          <w:tcPr>
            <w:tcW w:w="1175" w:type="dxa"/>
            <w:vAlign w:val="center"/>
          </w:tcPr>
          <w:p w:rsidR="00A575AF" w:rsidRDefault="005B2EA5">
            <w:pPr>
              <w:jc w:val="right"/>
            </w:pPr>
            <w:r>
              <w:rPr>
                <w:color w:val="000000"/>
                <w:sz w:val="24"/>
              </w:rPr>
              <w:t>1.96</w:t>
            </w:r>
          </w:p>
        </w:tc>
      </w:tr>
      <w:tr w:rsidR="00A575AF">
        <w:trPr>
          <w:jc w:val="center"/>
        </w:trPr>
        <w:tc>
          <w:tcPr>
            <w:tcW w:w="1243" w:type="dxa"/>
            <w:vAlign w:val="center"/>
          </w:tcPr>
          <w:p w:rsidR="00A575AF" w:rsidRDefault="005B2EA5">
            <w:pPr>
              <w:jc w:val="center"/>
            </w:pPr>
            <w:r>
              <w:rPr>
                <w:color w:val="000000"/>
                <w:sz w:val="24"/>
              </w:rPr>
              <w:t>10</w:t>
            </w:r>
          </w:p>
        </w:tc>
        <w:tc>
          <w:tcPr>
            <w:tcW w:w="971" w:type="dxa"/>
            <w:vAlign w:val="center"/>
          </w:tcPr>
          <w:p w:rsidR="00A575AF" w:rsidRDefault="005B2EA5">
            <w:pPr>
              <w:jc w:val="center"/>
            </w:pPr>
            <w:r>
              <w:rPr>
                <w:color w:val="000000"/>
                <w:sz w:val="24"/>
              </w:rPr>
              <w:t>Roche Holding AG</w:t>
            </w:r>
          </w:p>
        </w:tc>
        <w:tc>
          <w:tcPr>
            <w:tcW w:w="993" w:type="dxa"/>
            <w:vAlign w:val="center"/>
          </w:tcPr>
          <w:p w:rsidR="00A575AF" w:rsidRDefault="005B2EA5">
            <w:pPr>
              <w:jc w:val="center"/>
            </w:pPr>
            <w:r>
              <w:rPr>
                <w:color w:val="000000"/>
                <w:sz w:val="24"/>
              </w:rPr>
              <w:t>罗氏</w:t>
            </w:r>
          </w:p>
        </w:tc>
        <w:tc>
          <w:tcPr>
            <w:tcW w:w="725" w:type="dxa"/>
            <w:vAlign w:val="center"/>
          </w:tcPr>
          <w:p w:rsidR="00A575AF" w:rsidRDefault="005B2EA5">
            <w:pPr>
              <w:jc w:val="center"/>
            </w:pPr>
            <w:r>
              <w:rPr>
                <w:color w:val="000000"/>
                <w:sz w:val="24"/>
              </w:rPr>
              <w:t>ROG SW</w:t>
            </w:r>
          </w:p>
        </w:tc>
        <w:tc>
          <w:tcPr>
            <w:tcW w:w="747" w:type="dxa"/>
            <w:vAlign w:val="center"/>
          </w:tcPr>
          <w:p w:rsidR="00A575AF" w:rsidRDefault="005B2EA5">
            <w:pPr>
              <w:jc w:val="center"/>
            </w:pPr>
            <w:r>
              <w:rPr>
                <w:color w:val="000000"/>
                <w:sz w:val="24"/>
              </w:rPr>
              <w:t>瑞士证券交易所</w:t>
            </w:r>
          </w:p>
        </w:tc>
        <w:tc>
          <w:tcPr>
            <w:tcW w:w="975" w:type="dxa"/>
            <w:vAlign w:val="center"/>
          </w:tcPr>
          <w:p w:rsidR="00A575AF" w:rsidRDefault="005B2EA5">
            <w:pPr>
              <w:jc w:val="center"/>
            </w:pPr>
            <w:r>
              <w:rPr>
                <w:color w:val="000000"/>
                <w:sz w:val="24"/>
              </w:rPr>
              <w:t>瑞士</w:t>
            </w:r>
          </w:p>
        </w:tc>
        <w:tc>
          <w:tcPr>
            <w:tcW w:w="1175" w:type="dxa"/>
            <w:vAlign w:val="center"/>
          </w:tcPr>
          <w:p w:rsidR="00A575AF" w:rsidRDefault="005B2EA5">
            <w:pPr>
              <w:jc w:val="right"/>
            </w:pPr>
            <w:r>
              <w:rPr>
                <w:color w:val="000000"/>
                <w:sz w:val="24"/>
              </w:rPr>
              <w:t>1,037</w:t>
            </w:r>
          </w:p>
        </w:tc>
        <w:tc>
          <w:tcPr>
            <w:tcW w:w="975" w:type="dxa"/>
            <w:vAlign w:val="center"/>
          </w:tcPr>
          <w:p w:rsidR="00A575AF" w:rsidRDefault="005B2EA5">
            <w:pPr>
              <w:jc w:val="right"/>
            </w:pPr>
            <w:r>
              <w:rPr>
                <w:color w:val="000000"/>
                <w:sz w:val="24"/>
              </w:rPr>
              <w:t>2,422,356.67</w:t>
            </w:r>
          </w:p>
        </w:tc>
        <w:tc>
          <w:tcPr>
            <w:tcW w:w="1175" w:type="dxa"/>
            <w:vAlign w:val="center"/>
          </w:tcPr>
          <w:p w:rsidR="00A575AF" w:rsidRDefault="005B2EA5">
            <w:pPr>
              <w:jc w:val="right"/>
            </w:pPr>
            <w:r>
              <w:rPr>
                <w:color w:val="000000"/>
                <w:sz w:val="24"/>
              </w:rPr>
              <w:t>1.87</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AE0579">
        <w:rPr>
          <w:b/>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AE0579">
        <w:rPr>
          <w:b/>
          <w:color w:val="000000"/>
          <w:sz w:val="24"/>
        </w:rPr>
        <w:t>5.10.2</w:t>
      </w:r>
      <w:r w:rsidR="00521EDE" w:rsidRPr="008640AE">
        <w:rPr>
          <w:color w:val="000000"/>
          <w:sz w:val="24"/>
        </w:rPr>
        <w:t>本基金投资的前十名股票中，没有超出基金合同规定的备选股票库之外的股票。</w:t>
      </w: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090DB5">
          <w:rPr>
            <w:b/>
            <w:color w:val="000000"/>
            <w:kern w:val="0"/>
            <w:sz w:val="24"/>
          </w:rPr>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R="00B93C3A" w:rsidRPr="008640AE" w:rsidRDefault="00B93C3A" w:rsidP="00B93C3A">
      <w:pPr>
        <w:autoSpaceDE w:val="0"/>
        <w:autoSpaceDN w:val="0"/>
        <w:adjustRightInd w:val="0"/>
        <w:spacing w:before="29" w:line="288" w:lineRule="auto"/>
        <w:jc w:val="right"/>
        <w:rPr>
          <w:color w:val="000000"/>
          <w:kern w:val="0"/>
          <w:sz w:val="24"/>
        </w:rPr>
      </w:pPr>
      <w:r w:rsidRPr="00B93C3A">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111,661.14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177.38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153,130.89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264,969.41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90DB5">
          <w:rPr>
            <w:b/>
            <w:color w:val="000000"/>
            <w:kern w:val="0"/>
            <w:sz w:val="24"/>
          </w:rPr>
          <w:t>5.10.5</w:t>
        </w:r>
      </w:smartTag>
      <w:r w:rsidRPr="00090DB5">
        <w:rPr>
          <w:b/>
          <w:color w:val="000000"/>
          <w:kern w:val="0"/>
          <w:sz w:val="24"/>
        </w:rPr>
        <w:t>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5.10.6</w:t>
      </w:r>
      <w:r w:rsidR="001C46E1" w:rsidRPr="00090DB5">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59,799,309.65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4,029,065.94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6,375,129.92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57,453,245.67</w:t>
            </w:r>
          </w:p>
        </w:tc>
      </w:tr>
    </w:tbl>
    <w:p w:rsidR="00A575AF" w:rsidRDefault="005B2EA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w:t>
      </w:r>
      <w:r w:rsidRPr="008640AE">
        <w:rPr>
          <w:color w:val="000000"/>
          <w:sz w:val="24"/>
        </w:rPr>
        <w:t>28,056,424.95</w:t>
      </w:r>
      <w:r w:rsidRPr="008640AE">
        <w:rPr>
          <w:color w:val="000000"/>
          <w:sz w:val="24"/>
        </w:rPr>
        <w:t>份，占本基金期末总份额的</w:t>
      </w:r>
      <w:r w:rsidRPr="008640AE">
        <w:rPr>
          <w:color w:val="000000"/>
          <w:sz w:val="24"/>
        </w:rPr>
        <w:t>48.83%</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575AF">
        <w:tc>
          <w:tcPr>
            <w:tcW w:w="992" w:type="dxa"/>
            <w:vMerge w:val="restart"/>
          </w:tcPr>
          <w:p w:rsidR="00A575AF" w:rsidRDefault="00A575AF"/>
          <w:p w:rsidR="00A575AF" w:rsidRDefault="005B2EA5">
            <w:r>
              <w:rPr>
                <w:rFonts w:ascii="宋体" w:hAnsi="宋体" w:hint="eastAsia"/>
                <w:bCs/>
                <w:color w:val="000000"/>
                <w:kern w:val="0"/>
                <w:szCs w:val="21"/>
              </w:rPr>
              <w:t>机构</w:t>
            </w:r>
          </w:p>
        </w:tc>
        <w:tc>
          <w:tcPr>
            <w:tcW w:w="991" w:type="dxa"/>
            <w:vAlign w:val="center"/>
          </w:tcPr>
          <w:p w:rsidR="00A575AF" w:rsidRDefault="005B2EA5">
            <w:pPr>
              <w:jc w:val="center"/>
            </w:pPr>
            <w:r>
              <w:rPr>
                <w:rFonts w:ascii="宋体" w:hAnsi="宋体" w:hint="eastAsia"/>
                <w:color w:val="000000"/>
                <w:kern w:val="0"/>
                <w:szCs w:val="21"/>
              </w:rPr>
              <w:t>1</w:t>
            </w:r>
          </w:p>
        </w:tc>
        <w:tc>
          <w:tcPr>
            <w:tcW w:w="1843" w:type="dxa"/>
            <w:vAlign w:val="center"/>
          </w:tcPr>
          <w:p w:rsidR="00A575AF" w:rsidRDefault="005B2EA5">
            <w:pPr>
              <w:jc w:val="center"/>
            </w:pPr>
            <w:r>
              <w:rPr>
                <w:rFonts w:ascii="宋体" w:hAnsi="宋体" w:hint="eastAsia"/>
                <w:color w:val="000000"/>
                <w:kern w:val="0"/>
                <w:szCs w:val="21"/>
              </w:rPr>
              <w:t>2020/7/1-2020/9/30</w:t>
            </w:r>
          </w:p>
        </w:tc>
        <w:tc>
          <w:tcPr>
            <w:tcW w:w="851" w:type="dxa"/>
            <w:vAlign w:val="center"/>
          </w:tcPr>
          <w:p w:rsidR="00A575AF" w:rsidRDefault="005B2EA5">
            <w:pPr>
              <w:jc w:val="center"/>
            </w:pPr>
            <w:r>
              <w:rPr>
                <w:rFonts w:ascii="宋体" w:hAnsi="宋体" w:hint="eastAsia"/>
                <w:color w:val="000000"/>
                <w:kern w:val="0"/>
                <w:szCs w:val="21"/>
              </w:rPr>
              <w:t>28,056,424.95</w:t>
            </w:r>
          </w:p>
        </w:tc>
        <w:tc>
          <w:tcPr>
            <w:tcW w:w="850" w:type="dxa"/>
            <w:vAlign w:val="center"/>
          </w:tcPr>
          <w:p w:rsidR="00A575AF" w:rsidRDefault="005B2EA5">
            <w:pPr>
              <w:jc w:val="center"/>
            </w:pPr>
            <w:r>
              <w:rPr>
                <w:rFonts w:ascii="宋体" w:hAnsi="宋体" w:hint="eastAsia"/>
                <w:color w:val="000000"/>
                <w:kern w:val="0"/>
                <w:szCs w:val="21"/>
              </w:rPr>
              <w:t>-</w:t>
            </w:r>
          </w:p>
        </w:tc>
        <w:tc>
          <w:tcPr>
            <w:tcW w:w="1134" w:type="dxa"/>
            <w:vAlign w:val="center"/>
          </w:tcPr>
          <w:p w:rsidR="00A575AF" w:rsidRDefault="005B2EA5">
            <w:pPr>
              <w:jc w:val="center"/>
            </w:pPr>
            <w:r>
              <w:rPr>
                <w:rFonts w:ascii="宋体" w:hAnsi="宋体" w:hint="eastAsia"/>
                <w:color w:val="000000"/>
                <w:kern w:val="0"/>
                <w:szCs w:val="21"/>
              </w:rPr>
              <w:t>-</w:t>
            </w:r>
          </w:p>
        </w:tc>
        <w:tc>
          <w:tcPr>
            <w:tcW w:w="1419" w:type="dxa"/>
            <w:vAlign w:val="center"/>
          </w:tcPr>
          <w:p w:rsidR="00A575AF" w:rsidRDefault="005B2EA5">
            <w:pPr>
              <w:jc w:val="center"/>
            </w:pPr>
            <w:r>
              <w:rPr>
                <w:rFonts w:ascii="宋体" w:hAnsi="宋体" w:hint="eastAsia"/>
                <w:color w:val="000000"/>
                <w:kern w:val="0"/>
                <w:szCs w:val="21"/>
              </w:rPr>
              <w:t>28,056,424.95</w:t>
            </w:r>
          </w:p>
        </w:tc>
        <w:tc>
          <w:tcPr>
            <w:tcW w:w="1130" w:type="dxa"/>
            <w:vAlign w:val="center"/>
          </w:tcPr>
          <w:p w:rsidR="00A575AF" w:rsidRDefault="005B2EA5">
            <w:pPr>
              <w:jc w:val="center"/>
            </w:pPr>
            <w:r>
              <w:rPr>
                <w:rFonts w:ascii="宋体" w:hAnsi="宋体" w:hint="eastAsia"/>
                <w:color w:val="000000"/>
                <w:kern w:val="0"/>
                <w:szCs w:val="21"/>
              </w:rPr>
              <w:t>48.83%</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A575AF" w:rsidRDefault="005B2EA5">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A575AF" w:rsidRDefault="005B2EA5">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A575AF" w:rsidRDefault="005B2EA5">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A575AF" w:rsidRDefault="005B2EA5">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A575AF" w:rsidRDefault="005B2EA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575AF" w:rsidRDefault="005B2EA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lastRenderedPageBreak/>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A575AF" w:rsidRDefault="005B2EA5">
      <w:pPr>
        <w:spacing w:before="29" w:line="288" w:lineRule="auto"/>
        <w:ind w:firstLineChars="200" w:firstLine="480"/>
        <w:rPr>
          <w:color w:val="000000"/>
          <w:sz w:val="24"/>
        </w:rPr>
      </w:pPr>
      <w:r>
        <w:rPr>
          <w:color w:val="000000"/>
          <w:sz w:val="24"/>
        </w:rPr>
        <w:t>投资者可在办公时间内至基金管理人的办公场所免费</w:t>
      </w:r>
      <w:r>
        <w:rPr>
          <w:color w:val="000000"/>
          <w:sz w:val="24"/>
        </w:rPr>
        <w:t>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A5" w:rsidRDefault="005B2EA5">
      <w:r>
        <w:separator/>
      </w:r>
    </w:p>
  </w:endnote>
  <w:endnote w:type="continuationSeparator" w:id="0">
    <w:p w:rsidR="005B2EA5" w:rsidRDefault="005B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BE08D2">
      <w:rPr>
        <w:noProof/>
        <w:kern w:val="0"/>
        <w:szCs w:val="21"/>
      </w:rPr>
      <w:t>7</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BE08D2">
      <w:rPr>
        <w:noProof/>
        <w:kern w:val="0"/>
        <w:szCs w:val="21"/>
      </w:rPr>
      <w:t>14</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A5" w:rsidRDefault="005B2EA5">
      <w:r>
        <w:separator/>
      </w:r>
    </w:p>
  </w:footnote>
  <w:footnote w:type="continuationSeparator" w:id="0">
    <w:p w:rsidR="005B2EA5" w:rsidRDefault="005B2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19C"/>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1939"/>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2EA5"/>
    <w:rsid w:val="005B3103"/>
    <w:rsid w:val="005B6AC7"/>
    <w:rsid w:val="005B6CA6"/>
    <w:rsid w:val="005B73A5"/>
    <w:rsid w:val="005B7B0E"/>
    <w:rsid w:val="005C5409"/>
    <w:rsid w:val="005C598C"/>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674D"/>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5AF"/>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0579"/>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08D2"/>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2F2E"/>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17456"/>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118</TotalTime>
  <Pages>14</Pages>
  <Words>1285</Words>
  <Characters>7326</Characters>
  <Application>Microsoft Office Word</Application>
  <DocSecurity>0</DocSecurity>
  <Lines>61</Lines>
  <Paragraphs>17</Paragraphs>
  <ScaleCrop>false</ScaleCrop>
  <Company>TRT. Ltd. Co.</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257</cp:revision>
  <cp:lastPrinted>2007-07-19T00:46:00Z</cp:lastPrinted>
  <dcterms:created xsi:type="dcterms:W3CDTF">2013-08-01T05:26:00Z</dcterms:created>
  <dcterms:modified xsi:type="dcterms:W3CDTF">2020-10-23T09:40:00Z</dcterms:modified>
</cp:coreProperties>
</file>