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A6DF7" w:rsidRDefault="00B4546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229,714,576.73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21FCA" w:rsidRPr="00414345" w:rsidTr="00A21FC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A21FCA" w:rsidRPr="00414345" w:rsidTr="00A21F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64,952,112.87</w:t>
            </w:r>
          </w:p>
        </w:tc>
      </w:tr>
      <w:tr w:rsidR="00A21FCA" w:rsidRPr="00414345" w:rsidTr="00A21F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72,477,003.23</w:t>
            </w:r>
          </w:p>
        </w:tc>
      </w:tr>
      <w:tr w:rsidR="00A21FCA" w:rsidRPr="00414345" w:rsidTr="00A21F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0.2930</w:t>
            </w:r>
          </w:p>
        </w:tc>
      </w:tr>
      <w:tr w:rsidR="00A21FCA" w:rsidRPr="00414345" w:rsidTr="00A21FC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347,669,176.27</w:t>
            </w:r>
          </w:p>
        </w:tc>
      </w:tr>
      <w:tr w:rsidR="00A21FCA" w:rsidRPr="00414345" w:rsidTr="00A21FC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1.513</w:t>
            </w:r>
          </w:p>
        </w:tc>
      </w:tr>
    </w:tbl>
    <w:p w:rsidR="006A6DF7" w:rsidRDefault="00B4546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A6DF7">
        <w:trPr>
          <w:jc w:val="center"/>
        </w:trPr>
        <w:tc>
          <w:tcPr>
            <w:tcW w:w="1701" w:type="dxa"/>
            <w:vAlign w:val="center"/>
          </w:tcPr>
          <w:p w:rsidR="006A6DF7" w:rsidRDefault="00B4546A">
            <w:pPr>
              <w:jc w:val="left"/>
            </w:pPr>
            <w:r>
              <w:rPr>
                <w:color w:val="000000"/>
                <w:sz w:val="24"/>
                <w:szCs w:val="24"/>
              </w:rPr>
              <w:t>过去三个月</w:t>
            </w:r>
          </w:p>
        </w:tc>
        <w:tc>
          <w:tcPr>
            <w:tcW w:w="1045" w:type="dxa"/>
            <w:vAlign w:val="center"/>
          </w:tcPr>
          <w:p w:rsidR="006A6DF7" w:rsidRDefault="00B4546A">
            <w:pPr>
              <w:jc w:val="center"/>
            </w:pPr>
            <w:r>
              <w:rPr>
                <w:color w:val="000000"/>
                <w:sz w:val="24"/>
                <w:szCs w:val="24"/>
              </w:rPr>
              <w:t>21.43%</w:t>
            </w:r>
          </w:p>
        </w:tc>
        <w:tc>
          <w:tcPr>
            <w:tcW w:w="1344" w:type="dxa"/>
            <w:vAlign w:val="center"/>
          </w:tcPr>
          <w:p w:rsidR="006A6DF7" w:rsidRDefault="00B4546A">
            <w:pPr>
              <w:jc w:val="center"/>
            </w:pPr>
            <w:r>
              <w:rPr>
                <w:color w:val="000000"/>
                <w:sz w:val="24"/>
                <w:szCs w:val="24"/>
              </w:rPr>
              <w:t>1.57%</w:t>
            </w:r>
          </w:p>
        </w:tc>
        <w:tc>
          <w:tcPr>
            <w:tcW w:w="1194" w:type="dxa"/>
            <w:vAlign w:val="center"/>
          </w:tcPr>
          <w:p w:rsidR="006A6DF7" w:rsidRDefault="00B4546A">
            <w:pPr>
              <w:jc w:val="center"/>
            </w:pPr>
            <w:r>
              <w:rPr>
                <w:color w:val="000000"/>
                <w:sz w:val="24"/>
                <w:szCs w:val="24"/>
              </w:rPr>
              <w:t>5.96%</w:t>
            </w:r>
          </w:p>
        </w:tc>
        <w:tc>
          <w:tcPr>
            <w:tcW w:w="1492" w:type="dxa"/>
            <w:vAlign w:val="center"/>
          </w:tcPr>
          <w:p w:rsidR="006A6DF7" w:rsidRDefault="00B4546A">
            <w:pPr>
              <w:jc w:val="center"/>
            </w:pPr>
            <w:r>
              <w:rPr>
                <w:color w:val="000000"/>
                <w:sz w:val="24"/>
                <w:szCs w:val="24"/>
              </w:rPr>
              <w:t>0.96%</w:t>
            </w:r>
          </w:p>
        </w:tc>
        <w:tc>
          <w:tcPr>
            <w:tcW w:w="1194" w:type="dxa"/>
            <w:vAlign w:val="center"/>
          </w:tcPr>
          <w:p w:rsidR="006A6DF7" w:rsidRDefault="00B4546A">
            <w:pPr>
              <w:jc w:val="center"/>
            </w:pPr>
            <w:r>
              <w:rPr>
                <w:color w:val="000000"/>
                <w:sz w:val="24"/>
                <w:szCs w:val="24"/>
              </w:rPr>
              <w:t>15.47%</w:t>
            </w:r>
          </w:p>
        </w:tc>
        <w:tc>
          <w:tcPr>
            <w:tcW w:w="898" w:type="dxa"/>
            <w:vAlign w:val="center"/>
          </w:tcPr>
          <w:p w:rsidR="006A6DF7" w:rsidRDefault="00B4546A">
            <w:pPr>
              <w:jc w:val="center"/>
            </w:pPr>
            <w:r>
              <w:rPr>
                <w:color w:val="000000"/>
                <w:sz w:val="24"/>
                <w:szCs w:val="24"/>
              </w:rPr>
              <w:t>0.61%</w:t>
            </w:r>
          </w:p>
        </w:tc>
      </w:tr>
      <w:tr w:rsidR="006A6DF7">
        <w:trPr>
          <w:jc w:val="center"/>
        </w:trPr>
        <w:tc>
          <w:tcPr>
            <w:tcW w:w="1701" w:type="dxa"/>
            <w:vAlign w:val="center"/>
          </w:tcPr>
          <w:p w:rsidR="006A6DF7" w:rsidRDefault="00B4546A">
            <w:pPr>
              <w:jc w:val="left"/>
            </w:pPr>
            <w:r>
              <w:rPr>
                <w:color w:val="000000"/>
                <w:sz w:val="24"/>
                <w:szCs w:val="24"/>
              </w:rPr>
              <w:t>过去六个月</w:t>
            </w:r>
          </w:p>
        </w:tc>
        <w:tc>
          <w:tcPr>
            <w:tcW w:w="1045" w:type="dxa"/>
            <w:vAlign w:val="center"/>
          </w:tcPr>
          <w:p w:rsidR="006A6DF7" w:rsidRDefault="00B4546A">
            <w:pPr>
              <w:jc w:val="center"/>
            </w:pPr>
            <w:r>
              <w:rPr>
                <w:color w:val="000000"/>
                <w:sz w:val="24"/>
                <w:szCs w:val="24"/>
              </w:rPr>
              <w:t>35.45%</w:t>
            </w:r>
          </w:p>
        </w:tc>
        <w:tc>
          <w:tcPr>
            <w:tcW w:w="1344" w:type="dxa"/>
            <w:vAlign w:val="center"/>
          </w:tcPr>
          <w:p w:rsidR="006A6DF7" w:rsidRDefault="00B4546A">
            <w:pPr>
              <w:jc w:val="center"/>
            </w:pPr>
            <w:r>
              <w:rPr>
                <w:color w:val="000000"/>
                <w:sz w:val="24"/>
                <w:szCs w:val="24"/>
              </w:rPr>
              <w:t>1.28%</w:t>
            </w:r>
          </w:p>
        </w:tc>
        <w:tc>
          <w:tcPr>
            <w:tcW w:w="1194" w:type="dxa"/>
            <w:vAlign w:val="center"/>
          </w:tcPr>
          <w:p w:rsidR="006A6DF7" w:rsidRDefault="00B4546A">
            <w:pPr>
              <w:jc w:val="center"/>
            </w:pPr>
            <w:r>
              <w:rPr>
                <w:color w:val="000000"/>
                <w:sz w:val="24"/>
                <w:szCs w:val="24"/>
              </w:rPr>
              <w:t>13.95%</w:t>
            </w:r>
          </w:p>
        </w:tc>
        <w:tc>
          <w:tcPr>
            <w:tcW w:w="1492" w:type="dxa"/>
            <w:vAlign w:val="center"/>
          </w:tcPr>
          <w:p w:rsidR="006A6DF7" w:rsidRDefault="00B4546A">
            <w:pPr>
              <w:jc w:val="center"/>
            </w:pPr>
            <w:r>
              <w:rPr>
                <w:color w:val="000000"/>
                <w:sz w:val="24"/>
                <w:szCs w:val="24"/>
              </w:rPr>
              <w:t>0.79%</w:t>
            </w:r>
          </w:p>
        </w:tc>
        <w:tc>
          <w:tcPr>
            <w:tcW w:w="1194" w:type="dxa"/>
            <w:vAlign w:val="center"/>
          </w:tcPr>
          <w:p w:rsidR="006A6DF7" w:rsidRDefault="00B4546A">
            <w:pPr>
              <w:jc w:val="center"/>
            </w:pPr>
            <w:r>
              <w:rPr>
                <w:color w:val="000000"/>
                <w:sz w:val="24"/>
                <w:szCs w:val="24"/>
              </w:rPr>
              <w:t>21.50%</w:t>
            </w:r>
          </w:p>
        </w:tc>
        <w:tc>
          <w:tcPr>
            <w:tcW w:w="898" w:type="dxa"/>
            <w:vAlign w:val="center"/>
          </w:tcPr>
          <w:p w:rsidR="006A6DF7" w:rsidRDefault="00B4546A">
            <w:pPr>
              <w:jc w:val="center"/>
            </w:pPr>
            <w:r>
              <w:rPr>
                <w:color w:val="000000"/>
                <w:sz w:val="24"/>
                <w:szCs w:val="24"/>
              </w:rPr>
              <w:t>0.49%</w:t>
            </w:r>
          </w:p>
        </w:tc>
      </w:tr>
      <w:tr w:rsidR="006A6DF7">
        <w:trPr>
          <w:jc w:val="center"/>
        </w:trPr>
        <w:tc>
          <w:tcPr>
            <w:tcW w:w="1701" w:type="dxa"/>
            <w:vAlign w:val="center"/>
          </w:tcPr>
          <w:p w:rsidR="006A6DF7" w:rsidRDefault="00B4546A">
            <w:pPr>
              <w:jc w:val="left"/>
            </w:pPr>
            <w:r>
              <w:rPr>
                <w:color w:val="000000"/>
                <w:sz w:val="24"/>
                <w:szCs w:val="24"/>
              </w:rPr>
              <w:t>过去一年</w:t>
            </w:r>
          </w:p>
        </w:tc>
        <w:tc>
          <w:tcPr>
            <w:tcW w:w="1045" w:type="dxa"/>
            <w:vAlign w:val="center"/>
          </w:tcPr>
          <w:p w:rsidR="006A6DF7" w:rsidRDefault="00B4546A">
            <w:pPr>
              <w:jc w:val="center"/>
            </w:pPr>
            <w:r>
              <w:rPr>
                <w:color w:val="000000"/>
                <w:sz w:val="24"/>
                <w:szCs w:val="24"/>
              </w:rPr>
              <w:t>48.62%</w:t>
            </w:r>
          </w:p>
        </w:tc>
        <w:tc>
          <w:tcPr>
            <w:tcW w:w="1344" w:type="dxa"/>
            <w:vAlign w:val="center"/>
          </w:tcPr>
          <w:p w:rsidR="006A6DF7" w:rsidRDefault="00B4546A">
            <w:pPr>
              <w:jc w:val="center"/>
            </w:pPr>
            <w:r>
              <w:rPr>
                <w:color w:val="000000"/>
                <w:sz w:val="24"/>
                <w:szCs w:val="24"/>
              </w:rPr>
              <w:t>1.34%</w:t>
            </w:r>
          </w:p>
        </w:tc>
        <w:tc>
          <w:tcPr>
            <w:tcW w:w="1194" w:type="dxa"/>
            <w:vAlign w:val="center"/>
          </w:tcPr>
          <w:p w:rsidR="006A6DF7" w:rsidRDefault="00B4546A">
            <w:pPr>
              <w:jc w:val="center"/>
            </w:pPr>
            <w:r>
              <w:rPr>
                <w:color w:val="000000"/>
                <w:sz w:val="24"/>
                <w:szCs w:val="24"/>
              </w:rPr>
              <w:t>13.70%</w:t>
            </w:r>
          </w:p>
        </w:tc>
        <w:tc>
          <w:tcPr>
            <w:tcW w:w="1492" w:type="dxa"/>
            <w:vAlign w:val="center"/>
          </w:tcPr>
          <w:p w:rsidR="006A6DF7" w:rsidRDefault="00B4546A">
            <w:pPr>
              <w:jc w:val="center"/>
            </w:pPr>
            <w:r>
              <w:rPr>
                <w:color w:val="000000"/>
                <w:sz w:val="24"/>
                <w:szCs w:val="24"/>
              </w:rPr>
              <w:t>0.83%</w:t>
            </w:r>
          </w:p>
        </w:tc>
        <w:tc>
          <w:tcPr>
            <w:tcW w:w="1194" w:type="dxa"/>
            <w:vAlign w:val="center"/>
          </w:tcPr>
          <w:p w:rsidR="006A6DF7" w:rsidRDefault="00B4546A">
            <w:pPr>
              <w:jc w:val="center"/>
            </w:pPr>
            <w:r>
              <w:rPr>
                <w:color w:val="000000"/>
                <w:sz w:val="24"/>
                <w:szCs w:val="24"/>
              </w:rPr>
              <w:t>34.92%</w:t>
            </w:r>
          </w:p>
        </w:tc>
        <w:tc>
          <w:tcPr>
            <w:tcW w:w="898" w:type="dxa"/>
            <w:vAlign w:val="center"/>
          </w:tcPr>
          <w:p w:rsidR="006A6DF7" w:rsidRDefault="00B4546A">
            <w:pPr>
              <w:jc w:val="center"/>
            </w:pPr>
            <w:r>
              <w:rPr>
                <w:color w:val="000000"/>
                <w:sz w:val="24"/>
                <w:szCs w:val="24"/>
              </w:rPr>
              <w:t>0.51%</w:t>
            </w:r>
          </w:p>
        </w:tc>
      </w:tr>
      <w:tr w:rsidR="006A6DF7">
        <w:trPr>
          <w:jc w:val="center"/>
        </w:trPr>
        <w:tc>
          <w:tcPr>
            <w:tcW w:w="1701" w:type="dxa"/>
            <w:vAlign w:val="center"/>
          </w:tcPr>
          <w:p w:rsidR="006A6DF7" w:rsidRDefault="00B4546A">
            <w:pPr>
              <w:jc w:val="left"/>
            </w:pPr>
            <w:r>
              <w:rPr>
                <w:color w:val="000000"/>
                <w:sz w:val="24"/>
                <w:szCs w:val="24"/>
              </w:rPr>
              <w:t>过去三年</w:t>
            </w:r>
          </w:p>
        </w:tc>
        <w:tc>
          <w:tcPr>
            <w:tcW w:w="1045" w:type="dxa"/>
            <w:vAlign w:val="center"/>
          </w:tcPr>
          <w:p w:rsidR="006A6DF7" w:rsidRDefault="00B4546A">
            <w:pPr>
              <w:jc w:val="center"/>
            </w:pPr>
            <w:r>
              <w:rPr>
                <w:color w:val="000000"/>
                <w:sz w:val="24"/>
                <w:szCs w:val="24"/>
              </w:rPr>
              <w:t>36.06%</w:t>
            </w:r>
          </w:p>
        </w:tc>
        <w:tc>
          <w:tcPr>
            <w:tcW w:w="1344" w:type="dxa"/>
            <w:vAlign w:val="center"/>
          </w:tcPr>
          <w:p w:rsidR="006A6DF7" w:rsidRDefault="00B4546A">
            <w:pPr>
              <w:jc w:val="center"/>
            </w:pPr>
            <w:r>
              <w:rPr>
                <w:color w:val="000000"/>
                <w:sz w:val="24"/>
                <w:szCs w:val="24"/>
              </w:rPr>
              <w:t>1.24%</w:t>
            </w:r>
          </w:p>
        </w:tc>
        <w:tc>
          <w:tcPr>
            <w:tcW w:w="1194" w:type="dxa"/>
            <w:vAlign w:val="center"/>
          </w:tcPr>
          <w:p w:rsidR="006A6DF7" w:rsidRDefault="00B4546A">
            <w:pPr>
              <w:jc w:val="center"/>
            </w:pPr>
            <w:r>
              <w:rPr>
                <w:color w:val="000000"/>
                <w:sz w:val="24"/>
                <w:szCs w:val="24"/>
              </w:rPr>
              <w:t>19.47%</w:t>
            </w:r>
          </w:p>
        </w:tc>
        <w:tc>
          <w:tcPr>
            <w:tcW w:w="1492" w:type="dxa"/>
            <w:vAlign w:val="center"/>
          </w:tcPr>
          <w:p w:rsidR="006A6DF7" w:rsidRDefault="00B4546A">
            <w:pPr>
              <w:jc w:val="center"/>
            </w:pPr>
            <w:r>
              <w:rPr>
                <w:color w:val="000000"/>
                <w:sz w:val="24"/>
                <w:szCs w:val="24"/>
              </w:rPr>
              <w:t>0.79%</w:t>
            </w:r>
          </w:p>
        </w:tc>
        <w:tc>
          <w:tcPr>
            <w:tcW w:w="1194" w:type="dxa"/>
            <w:vAlign w:val="center"/>
          </w:tcPr>
          <w:p w:rsidR="006A6DF7" w:rsidRDefault="00B4546A">
            <w:pPr>
              <w:jc w:val="center"/>
            </w:pPr>
            <w:r>
              <w:rPr>
                <w:color w:val="000000"/>
                <w:sz w:val="24"/>
                <w:szCs w:val="24"/>
              </w:rPr>
              <w:t>16.59%</w:t>
            </w:r>
          </w:p>
        </w:tc>
        <w:tc>
          <w:tcPr>
            <w:tcW w:w="898" w:type="dxa"/>
            <w:vAlign w:val="center"/>
          </w:tcPr>
          <w:p w:rsidR="006A6DF7" w:rsidRDefault="00B4546A">
            <w:pPr>
              <w:jc w:val="center"/>
            </w:pPr>
            <w:r>
              <w:rPr>
                <w:color w:val="000000"/>
                <w:sz w:val="24"/>
                <w:szCs w:val="24"/>
              </w:rPr>
              <w:t>0.45%</w:t>
            </w:r>
          </w:p>
        </w:tc>
      </w:tr>
      <w:tr w:rsidR="006A6DF7">
        <w:trPr>
          <w:jc w:val="center"/>
        </w:trPr>
        <w:tc>
          <w:tcPr>
            <w:tcW w:w="1701" w:type="dxa"/>
            <w:vAlign w:val="center"/>
          </w:tcPr>
          <w:p w:rsidR="006A6DF7" w:rsidRDefault="00B4546A">
            <w:pPr>
              <w:jc w:val="left"/>
            </w:pPr>
            <w:r>
              <w:rPr>
                <w:color w:val="000000"/>
                <w:sz w:val="24"/>
                <w:szCs w:val="24"/>
              </w:rPr>
              <w:t>过去五年</w:t>
            </w:r>
          </w:p>
        </w:tc>
        <w:tc>
          <w:tcPr>
            <w:tcW w:w="1045" w:type="dxa"/>
            <w:vAlign w:val="center"/>
          </w:tcPr>
          <w:p w:rsidR="006A6DF7" w:rsidRDefault="00B4546A">
            <w:pPr>
              <w:jc w:val="center"/>
            </w:pPr>
            <w:r>
              <w:rPr>
                <w:color w:val="000000"/>
                <w:sz w:val="24"/>
                <w:szCs w:val="24"/>
              </w:rPr>
              <w:t>63.04%</w:t>
            </w:r>
          </w:p>
        </w:tc>
        <w:tc>
          <w:tcPr>
            <w:tcW w:w="1344" w:type="dxa"/>
            <w:vAlign w:val="center"/>
          </w:tcPr>
          <w:p w:rsidR="006A6DF7" w:rsidRDefault="00B4546A">
            <w:pPr>
              <w:jc w:val="center"/>
            </w:pPr>
            <w:r>
              <w:rPr>
                <w:color w:val="000000"/>
                <w:sz w:val="24"/>
                <w:szCs w:val="24"/>
              </w:rPr>
              <w:t>1.27%</w:t>
            </w:r>
          </w:p>
        </w:tc>
        <w:tc>
          <w:tcPr>
            <w:tcW w:w="1194" w:type="dxa"/>
            <w:vAlign w:val="center"/>
          </w:tcPr>
          <w:p w:rsidR="006A6DF7" w:rsidRDefault="00B4546A">
            <w:pPr>
              <w:jc w:val="center"/>
            </w:pPr>
            <w:r>
              <w:rPr>
                <w:color w:val="000000"/>
                <w:sz w:val="24"/>
                <w:szCs w:val="24"/>
              </w:rPr>
              <w:t>37.13%</w:t>
            </w:r>
          </w:p>
        </w:tc>
        <w:tc>
          <w:tcPr>
            <w:tcW w:w="1492" w:type="dxa"/>
            <w:vAlign w:val="center"/>
          </w:tcPr>
          <w:p w:rsidR="006A6DF7" w:rsidRDefault="00B4546A">
            <w:pPr>
              <w:jc w:val="center"/>
            </w:pPr>
            <w:r>
              <w:rPr>
                <w:color w:val="000000"/>
                <w:sz w:val="24"/>
                <w:szCs w:val="24"/>
              </w:rPr>
              <w:t>0.77%</w:t>
            </w:r>
          </w:p>
        </w:tc>
        <w:tc>
          <w:tcPr>
            <w:tcW w:w="1194" w:type="dxa"/>
            <w:vAlign w:val="center"/>
          </w:tcPr>
          <w:p w:rsidR="006A6DF7" w:rsidRDefault="00B4546A">
            <w:pPr>
              <w:jc w:val="center"/>
            </w:pPr>
            <w:r>
              <w:rPr>
                <w:color w:val="000000"/>
                <w:sz w:val="24"/>
                <w:szCs w:val="24"/>
              </w:rPr>
              <w:t>25.91%</w:t>
            </w:r>
          </w:p>
        </w:tc>
        <w:tc>
          <w:tcPr>
            <w:tcW w:w="898" w:type="dxa"/>
            <w:vAlign w:val="center"/>
          </w:tcPr>
          <w:p w:rsidR="006A6DF7" w:rsidRDefault="00B4546A">
            <w:pPr>
              <w:jc w:val="center"/>
            </w:pPr>
            <w:r>
              <w:rPr>
                <w:color w:val="000000"/>
                <w:sz w:val="24"/>
                <w:szCs w:val="24"/>
              </w:rPr>
              <w:t>0.50%</w:t>
            </w:r>
          </w:p>
        </w:tc>
      </w:tr>
      <w:tr w:rsidR="006A6DF7">
        <w:trPr>
          <w:jc w:val="center"/>
        </w:trPr>
        <w:tc>
          <w:tcPr>
            <w:tcW w:w="1701" w:type="dxa"/>
            <w:vAlign w:val="center"/>
          </w:tcPr>
          <w:p w:rsidR="006A6DF7" w:rsidRDefault="00B4546A">
            <w:pPr>
              <w:jc w:val="left"/>
            </w:pPr>
            <w:r>
              <w:rPr>
                <w:color w:val="000000"/>
                <w:sz w:val="24"/>
                <w:szCs w:val="24"/>
              </w:rPr>
              <w:lastRenderedPageBreak/>
              <w:t>自基金合同生效至今</w:t>
            </w:r>
          </w:p>
        </w:tc>
        <w:tc>
          <w:tcPr>
            <w:tcW w:w="1045" w:type="dxa"/>
            <w:vAlign w:val="center"/>
          </w:tcPr>
          <w:p w:rsidR="006A6DF7" w:rsidRDefault="00B4546A">
            <w:pPr>
              <w:jc w:val="center"/>
            </w:pPr>
            <w:r>
              <w:rPr>
                <w:color w:val="000000"/>
                <w:sz w:val="24"/>
                <w:szCs w:val="24"/>
              </w:rPr>
              <w:t>51.30%</w:t>
            </w:r>
          </w:p>
        </w:tc>
        <w:tc>
          <w:tcPr>
            <w:tcW w:w="1344" w:type="dxa"/>
            <w:vAlign w:val="center"/>
          </w:tcPr>
          <w:p w:rsidR="006A6DF7" w:rsidRDefault="00B4546A">
            <w:pPr>
              <w:jc w:val="center"/>
            </w:pPr>
            <w:r>
              <w:rPr>
                <w:color w:val="000000"/>
                <w:sz w:val="24"/>
                <w:szCs w:val="24"/>
              </w:rPr>
              <w:t>1.33%</w:t>
            </w:r>
          </w:p>
        </w:tc>
        <w:tc>
          <w:tcPr>
            <w:tcW w:w="1194" w:type="dxa"/>
            <w:vAlign w:val="center"/>
          </w:tcPr>
          <w:p w:rsidR="006A6DF7" w:rsidRDefault="00B4546A">
            <w:pPr>
              <w:jc w:val="center"/>
            </w:pPr>
            <w:r>
              <w:rPr>
                <w:color w:val="000000"/>
                <w:sz w:val="24"/>
                <w:szCs w:val="24"/>
              </w:rPr>
              <w:t>3.09%</w:t>
            </w:r>
          </w:p>
        </w:tc>
        <w:tc>
          <w:tcPr>
            <w:tcW w:w="1492" w:type="dxa"/>
            <w:vAlign w:val="center"/>
          </w:tcPr>
          <w:p w:rsidR="006A6DF7" w:rsidRDefault="00B4546A">
            <w:pPr>
              <w:jc w:val="center"/>
            </w:pPr>
            <w:r>
              <w:rPr>
                <w:color w:val="000000"/>
                <w:sz w:val="24"/>
                <w:szCs w:val="24"/>
              </w:rPr>
              <w:t>0.90%</w:t>
            </w:r>
          </w:p>
        </w:tc>
        <w:tc>
          <w:tcPr>
            <w:tcW w:w="1194" w:type="dxa"/>
            <w:vAlign w:val="center"/>
          </w:tcPr>
          <w:p w:rsidR="006A6DF7" w:rsidRDefault="00B4546A">
            <w:pPr>
              <w:jc w:val="center"/>
            </w:pPr>
            <w:r>
              <w:rPr>
                <w:color w:val="000000"/>
                <w:sz w:val="24"/>
                <w:szCs w:val="24"/>
              </w:rPr>
              <w:t>48.21%</w:t>
            </w:r>
          </w:p>
        </w:tc>
        <w:tc>
          <w:tcPr>
            <w:tcW w:w="898" w:type="dxa"/>
            <w:vAlign w:val="center"/>
          </w:tcPr>
          <w:p w:rsidR="006A6DF7" w:rsidRDefault="00B4546A">
            <w:pPr>
              <w:jc w:val="center"/>
            </w:pPr>
            <w:r>
              <w:rPr>
                <w:color w:val="000000"/>
                <w:sz w:val="24"/>
                <w:szCs w:val="24"/>
              </w:rPr>
              <w:t>0.43%</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A6DF7">
        <w:trPr>
          <w:jc w:val="center"/>
        </w:trPr>
        <w:tc>
          <w:tcPr>
            <w:tcW w:w="846" w:type="dxa"/>
            <w:vAlign w:val="center"/>
          </w:tcPr>
          <w:p w:rsidR="006A6DF7" w:rsidRDefault="00B4546A">
            <w:pPr>
              <w:jc w:val="center"/>
            </w:pPr>
            <w:r>
              <w:rPr>
                <w:color w:val="000000"/>
                <w:sz w:val="24"/>
                <w:szCs w:val="24"/>
              </w:rPr>
              <w:lastRenderedPageBreak/>
              <w:t>沈楠</w:t>
            </w:r>
          </w:p>
        </w:tc>
        <w:tc>
          <w:tcPr>
            <w:tcW w:w="845" w:type="dxa"/>
            <w:vAlign w:val="center"/>
          </w:tcPr>
          <w:p w:rsidR="006A6DF7" w:rsidRDefault="00B4546A">
            <w:pPr>
              <w:jc w:val="center"/>
            </w:pPr>
            <w:r>
              <w:rPr>
                <w:color w:val="000000"/>
                <w:sz w:val="24"/>
                <w:szCs w:val="24"/>
              </w:rPr>
              <w:t>交银主题优选混合、交银国企改革灵活配置混合、交银瑞思混合的基金经理</w:t>
            </w:r>
          </w:p>
        </w:tc>
        <w:tc>
          <w:tcPr>
            <w:tcW w:w="1549" w:type="dxa"/>
            <w:vAlign w:val="center"/>
          </w:tcPr>
          <w:p w:rsidR="006A6DF7" w:rsidRDefault="00B4546A">
            <w:pPr>
              <w:jc w:val="center"/>
            </w:pPr>
            <w:r>
              <w:rPr>
                <w:color w:val="000000"/>
                <w:sz w:val="24"/>
                <w:szCs w:val="24"/>
              </w:rPr>
              <w:t>2015-06-10</w:t>
            </w:r>
          </w:p>
        </w:tc>
        <w:tc>
          <w:tcPr>
            <w:tcW w:w="1548" w:type="dxa"/>
            <w:vAlign w:val="center"/>
          </w:tcPr>
          <w:p w:rsidR="006A6DF7" w:rsidRDefault="00B4546A">
            <w:pPr>
              <w:jc w:val="center"/>
            </w:pPr>
            <w:r>
              <w:rPr>
                <w:color w:val="000000"/>
                <w:sz w:val="24"/>
                <w:szCs w:val="24"/>
              </w:rPr>
              <w:t>-</w:t>
            </w:r>
          </w:p>
        </w:tc>
        <w:tc>
          <w:tcPr>
            <w:tcW w:w="1407" w:type="dxa"/>
            <w:vAlign w:val="center"/>
          </w:tcPr>
          <w:p w:rsidR="006A6DF7" w:rsidRDefault="00B4546A">
            <w:pPr>
              <w:jc w:val="center"/>
            </w:pPr>
            <w:r>
              <w:rPr>
                <w:color w:val="000000"/>
                <w:sz w:val="24"/>
                <w:szCs w:val="24"/>
              </w:rPr>
              <w:t>11</w:t>
            </w:r>
            <w:r>
              <w:rPr>
                <w:color w:val="000000"/>
                <w:sz w:val="24"/>
                <w:szCs w:val="24"/>
              </w:rPr>
              <w:t>年</w:t>
            </w:r>
          </w:p>
        </w:tc>
        <w:tc>
          <w:tcPr>
            <w:tcW w:w="2673" w:type="dxa"/>
            <w:vAlign w:val="center"/>
          </w:tcPr>
          <w:p w:rsidR="006A6DF7" w:rsidRDefault="00B4546A">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A6DF7" w:rsidRDefault="00B4546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A6DF7" w:rsidRDefault="00B4546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w:t>
      </w:r>
      <w:r>
        <w:rPr>
          <w:color w:val="000000"/>
          <w:sz w:val="24"/>
          <w:szCs w:val="24"/>
        </w:rPr>
        <w:t>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A6DF7" w:rsidRDefault="00B4546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A6DF7" w:rsidRDefault="00B4546A">
      <w:pPr>
        <w:spacing w:before="29" w:line="288" w:lineRule="auto"/>
        <w:ind w:firstLineChars="200" w:firstLine="480"/>
        <w:rPr>
          <w:color w:val="000000"/>
          <w:sz w:val="24"/>
          <w:szCs w:val="24"/>
        </w:rPr>
      </w:pPr>
      <w:r>
        <w:rPr>
          <w:color w:val="000000"/>
          <w:sz w:val="24"/>
          <w:szCs w:val="24"/>
        </w:rPr>
        <w:t>2020</w:t>
      </w:r>
      <w:r>
        <w:rPr>
          <w:color w:val="000000"/>
          <w:sz w:val="24"/>
          <w:szCs w:val="24"/>
        </w:rPr>
        <w:t>年三季度，受全球新冠疫情继续扩散和反复的影响，欧美实体经济在供给和需求层面均受到持续影响。国内疫情控制较好，反而受益全球相对宽松的货币政策和财政措施，对外出口形成一定拉动。我们认为国内政策在未来一段时间将逐渐回归常态，但伴随实体经济的复苏，市场有望继续呈现较强的结构性行情。</w:t>
      </w:r>
    </w:p>
    <w:p w:rsidR="006A6DF7" w:rsidRDefault="00B4546A">
      <w:pPr>
        <w:spacing w:before="29" w:line="288" w:lineRule="auto"/>
        <w:ind w:firstLineChars="200" w:firstLine="480"/>
        <w:rPr>
          <w:color w:val="000000"/>
          <w:sz w:val="24"/>
          <w:szCs w:val="24"/>
        </w:rPr>
      </w:pPr>
      <w:r>
        <w:rPr>
          <w:color w:val="000000"/>
          <w:sz w:val="24"/>
          <w:szCs w:val="24"/>
        </w:rPr>
        <w:t>国企改革的进程仍在进一步推进，今年以来上海深圳等部分地区围绕国资国企的部分综合试点仍在推进，部分上市企业通过资产置入，地方国资入股的形式重获增长动力和发展潜力。我们预计未来随着十四五规划的推出和完善，国内的结构性改革尤其是国资国</w:t>
      </w:r>
      <w:r>
        <w:rPr>
          <w:color w:val="000000"/>
          <w:sz w:val="24"/>
          <w:szCs w:val="24"/>
        </w:rPr>
        <w:t>企改革将得到进一步重视和推进，因此我们仍看好该领域的投资机会。</w:t>
      </w:r>
    </w:p>
    <w:p w:rsidR="006A6DF7" w:rsidRDefault="00B4546A">
      <w:pPr>
        <w:spacing w:before="29" w:line="288" w:lineRule="auto"/>
        <w:ind w:firstLineChars="200" w:firstLine="480"/>
        <w:rPr>
          <w:color w:val="000000"/>
          <w:sz w:val="24"/>
          <w:szCs w:val="24"/>
        </w:rPr>
      </w:pPr>
      <w:r>
        <w:rPr>
          <w:color w:val="000000"/>
          <w:sz w:val="24"/>
          <w:szCs w:val="24"/>
        </w:rPr>
        <w:t>报告期内本基金重点配置了地产金融、食品医药、传媒、汽车家电等消费领域，以及部分高端制造和</w:t>
      </w:r>
      <w:r>
        <w:rPr>
          <w:color w:val="000000"/>
          <w:sz w:val="24"/>
          <w:szCs w:val="24"/>
        </w:rPr>
        <w:t>TMT</w:t>
      </w:r>
      <w:r>
        <w:rPr>
          <w:color w:val="000000"/>
          <w:sz w:val="24"/>
          <w:szCs w:val="24"/>
        </w:rPr>
        <w:t>相关的技术领先类国企。</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认为如果新冠疫情在全球得到有效控制，那无需对海外股市过分悲观，这对国内市场也将带来积极意义。我们将通过加强学习中央及地方国资部门的文件精神，把握最新改革方向，努力在混合所有制改革、管理层及核心员工激励、产业整合等几大维度进一步布局，分享国资国企改革带来的市场化红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315,355,474.72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315,355,474.72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88.87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38,958,925.77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554,857.84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354,869,258.33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21,454,383.16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9,192,000.00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127,238,353.93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19,546,574.00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3,569,029.12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7,448,051.63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13,330,497.44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8,060,229.00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11,370,958.53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51,577,773.81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27,431,161.26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1,178,000.00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516,057.14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9,947,057.34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315,355,474.72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90.71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A6DF7">
        <w:trPr>
          <w:jc w:val="center"/>
        </w:trPr>
        <w:tc>
          <w:tcPr>
            <w:tcW w:w="855" w:type="dxa"/>
            <w:vAlign w:val="center"/>
          </w:tcPr>
          <w:p w:rsidR="006A6DF7" w:rsidRDefault="00B4546A">
            <w:pPr>
              <w:jc w:val="center"/>
            </w:pPr>
            <w:r>
              <w:rPr>
                <w:color w:val="000000"/>
                <w:sz w:val="24"/>
                <w:szCs w:val="24"/>
              </w:rPr>
              <w:t>1</w:t>
            </w:r>
          </w:p>
        </w:tc>
        <w:tc>
          <w:tcPr>
            <w:tcW w:w="1334" w:type="dxa"/>
            <w:vAlign w:val="center"/>
          </w:tcPr>
          <w:p w:rsidR="006A6DF7" w:rsidRDefault="00B4546A">
            <w:pPr>
              <w:jc w:val="center"/>
            </w:pPr>
            <w:r>
              <w:rPr>
                <w:color w:val="000000"/>
                <w:sz w:val="24"/>
                <w:szCs w:val="24"/>
              </w:rPr>
              <w:t>600030</w:t>
            </w:r>
          </w:p>
        </w:tc>
        <w:tc>
          <w:tcPr>
            <w:tcW w:w="1777" w:type="dxa"/>
            <w:vAlign w:val="center"/>
          </w:tcPr>
          <w:p w:rsidR="006A6DF7" w:rsidRDefault="00B4546A">
            <w:pPr>
              <w:jc w:val="center"/>
            </w:pPr>
            <w:r>
              <w:rPr>
                <w:color w:val="000000"/>
                <w:sz w:val="24"/>
                <w:szCs w:val="24"/>
              </w:rPr>
              <w:t>中信证券</w:t>
            </w:r>
          </w:p>
        </w:tc>
        <w:tc>
          <w:tcPr>
            <w:tcW w:w="1334" w:type="dxa"/>
            <w:vAlign w:val="center"/>
          </w:tcPr>
          <w:p w:rsidR="006A6DF7" w:rsidRDefault="00B4546A">
            <w:pPr>
              <w:jc w:val="right"/>
            </w:pPr>
            <w:r>
              <w:rPr>
                <w:color w:val="000000"/>
                <w:sz w:val="24"/>
                <w:szCs w:val="24"/>
              </w:rPr>
              <w:t>757,700</w:t>
            </w:r>
          </w:p>
        </w:tc>
        <w:tc>
          <w:tcPr>
            <w:tcW w:w="1924" w:type="dxa"/>
            <w:vAlign w:val="center"/>
          </w:tcPr>
          <w:p w:rsidR="006A6DF7" w:rsidRDefault="00B4546A">
            <w:pPr>
              <w:jc w:val="right"/>
            </w:pPr>
            <w:r>
              <w:rPr>
                <w:color w:val="000000"/>
                <w:sz w:val="24"/>
                <w:szCs w:val="24"/>
              </w:rPr>
              <w:t>22,753,731.00</w:t>
            </w:r>
          </w:p>
        </w:tc>
        <w:tc>
          <w:tcPr>
            <w:tcW w:w="1644" w:type="dxa"/>
            <w:vAlign w:val="center"/>
          </w:tcPr>
          <w:p w:rsidR="006A6DF7" w:rsidRDefault="00B4546A">
            <w:pPr>
              <w:jc w:val="right"/>
            </w:pPr>
            <w:r>
              <w:rPr>
                <w:color w:val="000000"/>
                <w:sz w:val="24"/>
                <w:szCs w:val="24"/>
              </w:rPr>
              <w:t>6.54</w:t>
            </w:r>
          </w:p>
        </w:tc>
      </w:tr>
      <w:tr w:rsidR="006A6DF7">
        <w:trPr>
          <w:jc w:val="center"/>
        </w:trPr>
        <w:tc>
          <w:tcPr>
            <w:tcW w:w="855" w:type="dxa"/>
            <w:vAlign w:val="center"/>
          </w:tcPr>
          <w:p w:rsidR="006A6DF7" w:rsidRDefault="00B4546A">
            <w:pPr>
              <w:jc w:val="center"/>
            </w:pPr>
            <w:r>
              <w:rPr>
                <w:color w:val="000000"/>
                <w:sz w:val="24"/>
                <w:szCs w:val="24"/>
              </w:rPr>
              <w:t>2</w:t>
            </w:r>
          </w:p>
        </w:tc>
        <w:tc>
          <w:tcPr>
            <w:tcW w:w="1334" w:type="dxa"/>
            <w:vAlign w:val="center"/>
          </w:tcPr>
          <w:p w:rsidR="006A6DF7" w:rsidRDefault="00B4546A">
            <w:pPr>
              <w:jc w:val="center"/>
            </w:pPr>
            <w:r>
              <w:rPr>
                <w:color w:val="000000"/>
                <w:sz w:val="24"/>
                <w:szCs w:val="24"/>
              </w:rPr>
              <w:t>601688</w:t>
            </w:r>
          </w:p>
        </w:tc>
        <w:tc>
          <w:tcPr>
            <w:tcW w:w="1777" w:type="dxa"/>
            <w:vAlign w:val="center"/>
          </w:tcPr>
          <w:p w:rsidR="006A6DF7" w:rsidRDefault="00B4546A">
            <w:pPr>
              <w:jc w:val="center"/>
            </w:pPr>
            <w:r>
              <w:rPr>
                <w:color w:val="000000"/>
                <w:sz w:val="24"/>
                <w:szCs w:val="24"/>
              </w:rPr>
              <w:t>华泰证券</w:t>
            </w:r>
          </w:p>
        </w:tc>
        <w:tc>
          <w:tcPr>
            <w:tcW w:w="1334" w:type="dxa"/>
            <w:vAlign w:val="center"/>
          </w:tcPr>
          <w:p w:rsidR="006A6DF7" w:rsidRDefault="00B4546A">
            <w:pPr>
              <w:jc w:val="right"/>
            </w:pPr>
            <w:r>
              <w:rPr>
                <w:color w:val="000000"/>
                <w:sz w:val="24"/>
                <w:szCs w:val="24"/>
              </w:rPr>
              <w:t>698,277</w:t>
            </w:r>
          </w:p>
        </w:tc>
        <w:tc>
          <w:tcPr>
            <w:tcW w:w="1924" w:type="dxa"/>
            <w:vAlign w:val="center"/>
          </w:tcPr>
          <w:p w:rsidR="006A6DF7" w:rsidRDefault="00B4546A">
            <w:pPr>
              <w:jc w:val="right"/>
            </w:pPr>
            <w:r>
              <w:rPr>
                <w:color w:val="000000"/>
                <w:sz w:val="24"/>
                <w:szCs w:val="24"/>
              </w:rPr>
              <w:t>14,335,626.81</w:t>
            </w:r>
          </w:p>
        </w:tc>
        <w:tc>
          <w:tcPr>
            <w:tcW w:w="1644" w:type="dxa"/>
            <w:vAlign w:val="center"/>
          </w:tcPr>
          <w:p w:rsidR="006A6DF7" w:rsidRDefault="00B4546A">
            <w:pPr>
              <w:jc w:val="right"/>
            </w:pPr>
            <w:r>
              <w:rPr>
                <w:color w:val="000000"/>
                <w:sz w:val="24"/>
                <w:szCs w:val="24"/>
              </w:rPr>
              <w:t>4.12</w:t>
            </w:r>
          </w:p>
        </w:tc>
      </w:tr>
      <w:tr w:rsidR="006A6DF7">
        <w:trPr>
          <w:jc w:val="center"/>
        </w:trPr>
        <w:tc>
          <w:tcPr>
            <w:tcW w:w="855" w:type="dxa"/>
            <w:vAlign w:val="center"/>
          </w:tcPr>
          <w:p w:rsidR="006A6DF7" w:rsidRDefault="00B4546A">
            <w:pPr>
              <w:jc w:val="center"/>
            </w:pPr>
            <w:r>
              <w:rPr>
                <w:color w:val="000000"/>
                <w:sz w:val="24"/>
                <w:szCs w:val="24"/>
              </w:rPr>
              <w:t>3</w:t>
            </w:r>
          </w:p>
        </w:tc>
        <w:tc>
          <w:tcPr>
            <w:tcW w:w="1334" w:type="dxa"/>
            <w:vAlign w:val="center"/>
          </w:tcPr>
          <w:p w:rsidR="006A6DF7" w:rsidRDefault="00B4546A">
            <w:pPr>
              <w:jc w:val="center"/>
            </w:pPr>
            <w:r>
              <w:rPr>
                <w:color w:val="000000"/>
                <w:sz w:val="24"/>
                <w:szCs w:val="24"/>
              </w:rPr>
              <w:t>600048</w:t>
            </w:r>
          </w:p>
        </w:tc>
        <w:tc>
          <w:tcPr>
            <w:tcW w:w="1777" w:type="dxa"/>
            <w:vAlign w:val="center"/>
          </w:tcPr>
          <w:p w:rsidR="006A6DF7" w:rsidRDefault="00B4546A">
            <w:pPr>
              <w:jc w:val="center"/>
            </w:pPr>
            <w:r>
              <w:rPr>
                <w:color w:val="000000"/>
                <w:sz w:val="24"/>
                <w:szCs w:val="24"/>
              </w:rPr>
              <w:t>保利地产</w:t>
            </w:r>
          </w:p>
        </w:tc>
        <w:tc>
          <w:tcPr>
            <w:tcW w:w="1334" w:type="dxa"/>
            <w:vAlign w:val="center"/>
          </w:tcPr>
          <w:p w:rsidR="006A6DF7" w:rsidRDefault="00B4546A">
            <w:pPr>
              <w:jc w:val="right"/>
            </w:pPr>
            <w:r>
              <w:rPr>
                <w:color w:val="000000"/>
                <w:sz w:val="24"/>
                <w:szCs w:val="24"/>
              </w:rPr>
              <w:t>804,534</w:t>
            </w:r>
          </w:p>
        </w:tc>
        <w:tc>
          <w:tcPr>
            <w:tcW w:w="1924" w:type="dxa"/>
            <w:vAlign w:val="center"/>
          </w:tcPr>
          <w:p w:rsidR="006A6DF7" w:rsidRDefault="00B4546A">
            <w:pPr>
              <w:jc w:val="right"/>
            </w:pPr>
            <w:r>
              <w:rPr>
                <w:color w:val="000000"/>
                <w:sz w:val="24"/>
                <w:szCs w:val="24"/>
              </w:rPr>
              <w:t>12,784,045.26</w:t>
            </w:r>
          </w:p>
        </w:tc>
        <w:tc>
          <w:tcPr>
            <w:tcW w:w="1644" w:type="dxa"/>
            <w:vAlign w:val="center"/>
          </w:tcPr>
          <w:p w:rsidR="006A6DF7" w:rsidRDefault="00B4546A">
            <w:pPr>
              <w:jc w:val="right"/>
            </w:pPr>
            <w:r>
              <w:rPr>
                <w:color w:val="000000"/>
                <w:sz w:val="24"/>
                <w:szCs w:val="24"/>
              </w:rPr>
              <w:t>3.68</w:t>
            </w:r>
          </w:p>
        </w:tc>
      </w:tr>
      <w:tr w:rsidR="006A6DF7">
        <w:trPr>
          <w:jc w:val="center"/>
        </w:trPr>
        <w:tc>
          <w:tcPr>
            <w:tcW w:w="855" w:type="dxa"/>
            <w:vAlign w:val="center"/>
          </w:tcPr>
          <w:p w:rsidR="006A6DF7" w:rsidRDefault="00B4546A">
            <w:pPr>
              <w:jc w:val="center"/>
            </w:pPr>
            <w:r>
              <w:rPr>
                <w:color w:val="000000"/>
                <w:sz w:val="24"/>
                <w:szCs w:val="24"/>
              </w:rPr>
              <w:t>4</w:t>
            </w:r>
          </w:p>
        </w:tc>
        <w:tc>
          <w:tcPr>
            <w:tcW w:w="1334" w:type="dxa"/>
            <w:vAlign w:val="center"/>
          </w:tcPr>
          <w:p w:rsidR="006A6DF7" w:rsidRDefault="00B4546A">
            <w:pPr>
              <w:jc w:val="center"/>
            </w:pPr>
            <w:r>
              <w:rPr>
                <w:color w:val="000000"/>
                <w:sz w:val="24"/>
                <w:szCs w:val="24"/>
              </w:rPr>
              <w:t>300087</w:t>
            </w:r>
          </w:p>
        </w:tc>
        <w:tc>
          <w:tcPr>
            <w:tcW w:w="1777" w:type="dxa"/>
            <w:vAlign w:val="center"/>
          </w:tcPr>
          <w:p w:rsidR="006A6DF7" w:rsidRDefault="00B4546A">
            <w:pPr>
              <w:jc w:val="center"/>
            </w:pPr>
            <w:r>
              <w:rPr>
                <w:color w:val="000000"/>
                <w:sz w:val="24"/>
                <w:szCs w:val="24"/>
              </w:rPr>
              <w:t>荃银高科</w:t>
            </w:r>
          </w:p>
        </w:tc>
        <w:tc>
          <w:tcPr>
            <w:tcW w:w="1334" w:type="dxa"/>
            <w:vAlign w:val="center"/>
          </w:tcPr>
          <w:p w:rsidR="006A6DF7" w:rsidRDefault="00B4546A">
            <w:pPr>
              <w:jc w:val="right"/>
            </w:pPr>
            <w:r>
              <w:rPr>
                <w:color w:val="000000"/>
                <w:sz w:val="24"/>
                <w:szCs w:val="24"/>
              </w:rPr>
              <w:t>629,988</w:t>
            </w:r>
          </w:p>
        </w:tc>
        <w:tc>
          <w:tcPr>
            <w:tcW w:w="1924" w:type="dxa"/>
            <w:vAlign w:val="center"/>
          </w:tcPr>
          <w:p w:rsidR="006A6DF7" w:rsidRDefault="00B4546A">
            <w:pPr>
              <w:jc w:val="right"/>
            </w:pPr>
            <w:r>
              <w:rPr>
                <w:color w:val="000000"/>
                <w:sz w:val="24"/>
                <w:szCs w:val="24"/>
              </w:rPr>
              <w:t>11,383,883.16</w:t>
            </w:r>
          </w:p>
        </w:tc>
        <w:tc>
          <w:tcPr>
            <w:tcW w:w="1644" w:type="dxa"/>
            <w:vAlign w:val="center"/>
          </w:tcPr>
          <w:p w:rsidR="006A6DF7" w:rsidRDefault="00B4546A">
            <w:pPr>
              <w:jc w:val="right"/>
            </w:pPr>
            <w:r>
              <w:rPr>
                <w:color w:val="000000"/>
                <w:sz w:val="24"/>
                <w:szCs w:val="24"/>
              </w:rPr>
              <w:t>3.27</w:t>
            </w:r>
          </w:p>
        </w:tc>
      </w:tr>
      <w:tr w:rsidR="006A6DF7">
        <w:trPr>
          <w:jc w:val="center"/>
        </w:trPr>
        <w:tc>
          <w:tcPr>
            <w:tcW w:w="855" w:type="dxa"/>
            <w:vAlign w:val="center"/>
          </w:tcPr>
          <w:p w:rsidR="006A6DF7" w:rsidRDefault="00B4546A">
            <w:pPr>
              <w:jc w:val="center"/>
            </w:pPr>
            <w:r>
              <w:rPr>
                <w:color w:val="000000"/>
                <w:sz w:val="24"/>
                <w:szCs w:val="24"/>
              </w:rPr>
              <w:t>5</w:t>
            </w:r>
          </w:p>
        </w:tc>
        <w:tc>
          <w:tcPr>
            <w:tcW w:w="1334" w:type="dxa"/>
            <w:vAlign w:val="center"/>
          </w:tcPr>
          <w:p w:rsidR="006A6DF7" w:rsidRDefault="00B4546A">
            <w:pPr>
              <w:jc w:val="center"/>
            </w:pPr>
            <w:r>
              <w:rPr>
                <w:color w:val="000000"/>
                <w:sz w:val="24"/>
                <w:szCs w:val="24"/>
              </w:rPr>
              <w:t>002049</w:t>
            </w:r>
          </w:p>
        </w:tc>
        <w:tc>
          <w:tcPr>
            <w:tcW w:w="1777" w:type="dxa"/>
            <w:vAlign w:val="center"/>
          </w:tcPr>
          <w:p w:rsidR="006A6DF7" w:rsidRDefault="00B4546A">
            <w:pPr>
              <w:jc w:val="center"/>
            </w:pPr>
            <w:r>
              <w:rPr>
                <w:color w:val="000000"/>
                <w:sz w:val="24"/>
                <w:szCs w:val="24"/>
              </w:rPr>
              <w:t>紫光国微</w:t>
            </w:r>
          </w:p>
        </w:tc>
        <w:tc>
          <w:tcPr>
            <w:tcW w:w="1334" w:type="dxa"/>
            <w:vAlign w:val="center"/>
          </w:tcPr>
          <w:p w:rsidR="006A6DF7" w:rsidRDefault="00B4546A">
            <w:pPr>
              <w:jc w:val="right"/>
            </w:pPr>
            <w:r>
              <w:rPr>
                <w:color w:val="000000"/>
                <w:sz w:val="24"/>
                <w:szCs w:val="24"/>
              </w:rPr>
              <w:t>93,800</w:t>
            </w:r>
          </w:p>
        </w:tc>
        <w:tc>
          <w:tcPr>
            <w:tcW w:w="1924" w:type="dxa"/>
            <w:vAlign w:val="center"/>
          </w:tcPr>
          <w:p w:rsidR="006A6DF7" w:rsidRDefault="00B4546A">
            <w:pPr>
              <w:jc w:val="right"/>
            </w:pPr>
            <w:r>
              <w:rPr>
                <w:color w:val="000000"/>
                <w:sz w:val="24"/>
                <w:szCs w:val="24"/>
              </w:rPr>
              <w:t>11,141,564.00</w:t>
            </w:r>
          </w:p>
        </w:tc>
        <w:tc>
          <w:tcPr>
            <w:tcW w:w="1644" w:type="dxa"/>
            <w:vAlign w:val="center"/>
          </w:tcPr>
          <w:p w:rsidR="006A6DF7" w:rsidRDefault="00B4546A">
            <w:pPr>
              <w:jc w:val="right"/>
            </w:pPr>
            <w:r>
              <w:rPr>
                <w:color w:val="000000"/>
                <w:sz w:val="24"/>
                <w:szCs w:val="24"/>
              </w:rPr>
              <w:t>3.20</w:t>
            </w:r>
          </w:p>
        </w:tc>
      </w:tr>
      <w:tr w:rsidR="006A6DF7">
        <w:trPr>
          <w:jc w:val="center"/>
        </w:trPr>
        <w:tc>
          <w:tcPr>
            <w:tcW w:w="855" w:type="dxa"/>
            <w:vAlign w:val="center"/>
          </w:tcPr>
          <w:p w:rsidR="006A6DF7" w:rsidRDefault="00B4546A">
            <w:pPr>
              <w:jc w:val="center"/>
            </w:pPr>
            <w:r>
              <w:rPr>
                <w:color w:val="000000"/>
                <w:sz w:val="24"/>
                <w:szCs w:val="24"/>
              </w:rPr>
              <w:t>6</w:t>
            </w:r>
          </w:p>
        </w:tc>
        <w:tc>
          <w:tcPr>
            <w:tcW w:w="1334" w:type="dxa"/>
            <w:vAlign w:val="center"/>
          </w:tcPr>
          <w:p w:rsidR="006A6DF7" w:rsidRDefault="00B4546A">
            <w:pPr>
              <w:jc w:val="center"/>
            </w:pPr>
            <w:r>
              <w:rPr>
                <w:color w:val="000000"/>
                <w:sz w:val="24"/>
                <w:szCs w:val="24"/>
              </w:rPr>
              <w:t>002507</w:t>
            </w:r>
          </w:p>
        </w:tc>
        <w:tc>
          <w:tcPr>
            <w:tcW w:w="1777" w:type="dxa"/>
            <w:vAlign w:val="center"/>
          </w:tcPr>
          <w:p w:rsidR="006A6DF7" w:rsidRDefault="00B4546A">
            <w:pPr>
              <w:jc w:val="center"/>
            </w:pPr>
            <w:r>
              <w:rPr>
                <w:color w:val="000000"/>
                <w:sz w:val="24"/>
                <w:szCs w:val="24"/>
              </w:rPr>
              <w:t>涪陵榨菜</w:t>
            </w:r>
          </w:p>
        </w:tc>
        <w:tc>
          <w:tcPr>
            <w:tcW w:w="1334" w:type="dxa"/>
            <w:vAlign w:val="center"/>
          </w:tcPr>
          <w:p w:rsidR="006A6DF7" w:rsidRDefault="00B4546A">
            <w:pPr>
              <w:jc w:val="right"/>
            </w:pPr>
            <w:r>
              <w:rPr>
                <w:color w:val="000000"/>
                <w:sz w:val="24"/>
                <w:szCs w:val="24"/>
              </w:rPr>
              <w:t>224,100</w:t>
            </w:r>
          </w:p>
        </w:tc>
        <w:tc>
          <w:tcPr>
            <w:tcW w:w="1924" w:type="dxa"/>
            <w:vAlign w:val="center"/>
          </w:tcPr>
          <w:p w:rsidR="006A6DF7" w:rsidRDefault="00B4546A">
            <w:pPr>
              <w:jc w:val="right"/>
            </w:pPr>
            <w:r>
              <w:rPr>
                <w:color w:val="000000"/>
                <w:sz w:val="24"/>
                <w:szCs w:val="24"/>
              </w:rPr>
              <w:t>10,546,146.00</w:t>
            </w:r>
          </w:p>
        </w:tc>
        <w:tc>
          <w:tcPr>
            <w:tcW w:w="1644" w:type="dxa"/>
            <w:vAlign w:val="center"/>
          </w:tcPr>
          <w:p w:rsidR="006A6DF7" w:rsidRDefault="00B4546A">
            <w:pPr>
              <w:jc w:val="right"/>
            </w:pPr>
            <w:r>
              <w:rPr>
                <w:color w:val="000000"/>
                <w:sz w:val="24"/>
                <w:szCs w:val="24"/>
              </w:rPr>
              <w:t>3.03</w:t>
            </w:r>
          </w:p>
        </w:tc>
      </w:tr>
      <w:tr w:rsidR="006A6DF7">
        <w:trPr>
          <w:jc w:val="center"/>
        </w:trPr>
        <w:tc>
          <w:tcPr>
            <w:tcW w:w="855" w:type="dxa"/>
            <w:vAlign w:val="center"/>
          </w:tcPr>
          <w:p w:rsidR="006A6DF7" w:rsidRDefault="00B4546A">
            <w:pPr>
              <w:jc w:val="center"/>
            </w:pPr>
            <w:r>
              <w:rPr>
                <w:color w:val="000000"/>
                <w:sz w:val="24"/>
                <w:szCs w:val="24"/>
              </w:rPr>
              <w:t>7</w:t>
            </w:r>
          </w:p>
        </w:tc>
        <w:tc>
          <w:tcPr>
            <w:tcW w:w="1334" w:type="dxa"/>
            <w:vAlign w:val="center"/>
          </w:tcPr>
          <w:p w:rsidR="006A6DF7" w:rsidRDefault="00B4546A">
            <w:pPr>
              <w:jc w:val="center"/>
            </w:pPr>
            <w:r>
              <w:rPr>
                <w:color w:val="000000"/>
                <w:sz w:val="24"/>
                <w:szCs w:val="24"/>
              </w:rPr>
              <w:t>000998</w:t>
            </w:r>
          </w:p>
        </w:tc>
        <w:tc>
          <w:tcPr>
            <w:tcW w:w="1777" w:type="dxa"/>
            <w:vAlign w:val="center"/>
          </w:tcPr>
          <w:p w:rsidR="006A6DF7" w:rsidRDefault="00B4546A">
            <w:pPr>
              <w:jc w:val="center"/>
            </w:pPr>
            <w:r>
              <w:rPr>
                <w:color w:val="000000"/>
                <w:sz w:val="24"/>
                <w:szCs w:val="24"/>
              </w:rPr>
              <w:t>隆平高科</w:t>
            </w:r>
          </w:p>
        </w:tc>
        <w:tc>
          <w:tcPr>
            <w:tcW w:w="1334" w:type="dxa"/>
            <w:vAlign w:val="center"/>
          </w:tcPr>
          <w:p w:rsidR="006A6DF7" w:rsidRDefault="00B4546A">
            <w:pPr>
              <w:jc w:val="right"/>
            </w:pPr>
            <w:r>
              <w:rPr>
                <w:color w:val="000000"/>
                <w:sz w:val="24"/>
                <w:szCs w:val="24"/>
              </w:rPr>
              <w:t>550,000</w:t>
            </w:r>
          </w:p>
        </w:tc>
        <w:tc>
          <w:tcPr>
            <w:tcW w:w="1924" w:type="dxa"/>
            <w:vAlign w:val="center"/>
          </w:tcPr>
          <w:p w:rsidR="006A6DF7" w:rsidRDefault="00B4546A">
            <w:pPr>
              <w:jc w:val="right"/>
            </w:pPr>
            <w:r>
              <w:rPr>
                <w:color w:val="000000"/>
                <w:sz w:val="24"/>
                <w:szCs w:val="24"/>
              </w:rPr>
              <w:t>10,070,500.00</w:t>
            </w:r>
          </w:p>
        </w:tc>
        <w:tc>
          <w:tcPr>
            <w:tcW w:w="1644" w:type="dxa"/>
            <w:vAlign w:val="center"/>
          </w:tcPr>
          <w:p w:rsidR="006A6DF7" w:rsidRDefault="00B4546A">
            <w:pPr>
              <w:jc w:val="right"/>
            </w:pPr>
            <w:r>
              <w:rPr>
                <w:color w:val="000000"/>
                <w:sz w:val="24"/>
                <w:szCs w:val="24"/>
              </w:rPr>
              <w:t>2.90</w:t>
            </w:r>
          </w:p>
        </w:tc>
      </w:tr>
      <w:tr w:rsidR="006A6DF7">
        <w:trPr>
          <w:jc w:val="center"/>
        </w:trPr>
        <w:tc>
          <w:tcPr>
            <w:tcW w:w="855" w:type="dxa"/>
            <w:vAlign w:val="center"/>
          </w:tcPr>
          <w:p w:rsidR="006A6DF7" w:rsidRDefault="00B4546A">
            <w:pPr>
              <w:jc w:val="center"/>
            </w:pPr>
            <w:r>
              <w:rPr>
                <w:color w:val="000000"/>
                <w:sz w:val="24"/>
                <w:szCs w:val="24"/>
              </w:rPr>
              <w:t>8</w:t>
            </w:r>
          </w:p>
        </w:tc>
        <w:tc>
          <w:tcPr>
            <w:tcW w:w="1334" w:type="dxa"/>
            <w:vAlign w:val="center"/>
          </w:tcPr>
          <w:p w:rsidR="006A6DF7" w:rsidRDefault="00B4546A">
            <w:pPr>
              <w:jc w:val="center"/>
            </w:pPr>
            <w:r>
              <w:rPr>
                <w:color w:val="000000"/>
                <w:sz w:val="24"/>
                <w:szCs w:val="24"/>
              </w:rPr>
              <w:t>300413</w:t>
            </w:r>
          </w:p>
        </w:tc>
        <w:tc>
          <w:tcPr>
            <w:tcW w:w="1777" w:type="dxa"/>
            <w:vAlign w:val="center"/>
          </w:tcPr>
          <w:p w:rsidR="006A6DF7" w:rsidRDefault="00B4546A">
            <w:pPr>
              <w:jc w:val="center"/>
            </w:pPr>
            <w:r>
              <w:rPr>
                <w:color w:val="000000"/>
                <w:sz w:val="24"/>
                <w:szCs w:val="24"/>
              </w:rPr>
              <w:t>芒果超媒</w:t>
            </w:r>
          </w:p>
        </w:tc>
        <w:tc>
          <w:tcPr>
            <w:tcW w:w="1334" w:type="dxa"/>
            <w:vAlign w:val="center"/>
          </w:tcPr>
          <w:p w:rsidR="006A6DF7" w:rsidRDefault="00B4546A">
            <w:pPr>
              <w:jc w:val="right"/>
            </w:pPr>
            <w:r>
              <w:rPr>
                <w:color w:val="000000"/>
                <w:sz w:val="24"/>
                <w:szCs w:val="24"/>
              </w:rPr>
              <w:t>147,303</w:t>
            </w:r>
          </w:p>
        </w:tc>
        <w:tc>
          <w:tcPr>
            <w:tcW w:w="1924" w:type="dxa"/>
            <w:vAlign w:val="center"/>
          </w:tcPr>
          <w:p w:rsidR="006A6DF7" w:rsidRDefault="00B4546A">
            <w:pPr>
              <w:jc w:val="right"/>
            </w:pPr>
            <w:r>
              <w:rPr>
                <w:color w:val="000000"/>
                <w:sz w:val="24"/>
                <w:szCs w:val="24"/>
              </w:rPr>
              <w:t>9,928,222.20</w:t>
            </w:r>
          </w:p>
        </w:tc>
        <w:tc>
          <w:tcPr>
            <w:tcW w:w="1644" w:type="dxa"/>
            <w:vAlign w:val="center"/>
          </w:tcPr>
          <w:p w:rsidR="006A6DF7" w:rsidRDefault="00B4546A">
            <w:pPr>
              <w:jc w:val="right"/>
            </w:pPr>
            <w:r>
              <w:rPr>
                <w:color w:val="000000"/>
                <w:sz w:val="24"/>
                <w:szCs w:val="24"/>
              </w:rPr>
              <w:t>2.86</w:t>
            </w:r>
          </w:p>
        </w:tc>
      </w:tr>
      <w:tr w:rsidR="006A6DF7">
        <w:trPr>
          <w:jc w:val="center"/>
        </w:trPr>
        <w:tc>
          <w:tcPr>
            <w:tcW w:w="855" w:type="dxa"/>
            <w:vAlign w:val="center"/>
          </w:tcPr>
          <w:p w:rsidR="006A6DF7" w:rsidRDefault="00B4546A">
            <w:pPr>
              <w:jc w:val="center"/>
            </w:pPr>
            <w:r>
              <w:rPr>
                <w:color w:val="000000"/>
                <w:sz w:val="24"/>
                <w:szCs w:val="24"/>
              </w:rPr>
              <w:t>9</w:t>
            </w:r>
          </w:p>
        </w:tc>
        <w:tc>
          <w:tcPr>
            <w:tcW w:w="1334" w:type="dxa"/>
            <w:vAlign w:val="center"/>
          </w:tcPr>
          <w:p w:rsidR="006A6DF7" w:rsidRDefault="00B4546A">
            <w:pPr>
              <w:jc w:val="center"/>
            </w:pPr>
            <w:r>
              <w:rPr>
                <w:color w:val="000000"/>
                <w:sz w:val="24"/>
                <w:szCs w:val="24"/>
              </w:rPr>
              <w:t>600131</w:t>
            </w:r>
          </w:p>
        </w:tc>
        <w:tc>
          <w:tcPr>
            <w:tcW w:w="1777" w:type="dxa"/>
            <w:vAlign w:val="center"/>
          </w:tcPr>
          <w:p w:rsidR="006A6DF7" w:rsidRDefault="00B4546A">
            <w:pPr>
              <w:jc w:val="center"/>
            </w:pPr>
            <w:r>
              <w:rPr>
                <w:color w:val="000000"/>
                <w:sz w:val="24"/>
                <w:szCs w:val="24"/>
              </w:rPr>
              <w:t>国网信通</w:t>
            </w:r>
          </w:p>
        </w:tc>
        <w:tc>
          <w:tcPr>
            <w:tcW w:w="1334" w:type="dxa"/>
            <w:vAlign w:val="center"/>
          </w:tcPr>
          <w:p w:rsidR="006A6DF7" w:rsidRDefault="00B4546A">
            <w:pPr>
              <w:jc w:val="right"/>
            </w:pPr>
            <w:r>
              <w:rPr>
                <w:color w:val="000000"/>
                <w:sz w:val="24"/>
                <w:szCs w:val="24"/>
              </w:rPr>
              <w:t>540,000</w:t>
            </w:r>
          </w:p>
        </w:tc>
        <w:tc>
          <w:tcPr>
            <w:tcW w:w="1924" w:type="dxa"/>
            <w:vAlign w:val="center"/>
          </w:tcPr>
          <w:p w:rsidR="006A6DF7" w:rsidRDefault="00B4546A">
            <w:pPr>
              <w:jc w:val="right"/>
            </w:pPr>
            <w:r>
              <w:rPr>
                <w:color w:val="000000"/>
                <w:sz w:val="24"/>
                <w:szCs w:val="24"/>
              </w:rPr>
              <w:t>9,903,600.00</w:t>
            </w:r>
          </w:p>
        </w:tc>
        <w:tc>
          <w:tcPr>
            <w:tcW w:w="1644" w:type="dxa"/>
            <w:vAlign w:val="center"/>
          </w:tcPr>
          <w:p w:rsidR="006A6DF7" w:rsidRDefault="00B4546A">
            <w:pPr>
              <w:jc w:val="right"/>
            </w:pPr>
            <w:r>
              <w:rPr>
                <w:color w:val="000000"/>
                <w:sz w:val="24"/>
                <w:szCs w:val="24"/>
              </w:rPr>
              <w:t>2.85</w:t>
            </w:r>
          </w:p>
        </w:tc>
      </w:tr>
      <w:tr w:rsidR="006A6DF7">
        <w:trPr>
          <w:jc w:val="center"/>
        </w:trPr>
        <w:tc>
          <w:tcPr>
            <w:tcW w:w="855" w:type="dxa"/>
            <w:vAlign w:val="center"/>
          </w:tcPr>
          <w:p w:rsidR="006A6DF7" w:rsidRDefault="00B4546A">
            <w:pPr>
              <w:jc w:val="center"/>
            </w:pPr>
            <w:r>
              <w:rPr>
                <w:color w:val="000000"/>
                <w:sz w:val="24"/>
                <w:szCs w:val="24"/>
              </w:rPr>
              <w:t>10</w:t>
            </w:r>
          </w:p>
        </w:tc>
        <w:tc>
          <w:tcPr>
            <w:tcW w:w="1334" w:type="dxa"/>
            <w:vAlign w:val="center"/>
          </w:tcPr>
          <w:p w:rsidR="006A6DF7" w:rsidRDefault="00B4546A">
            <w:pPr>
              <w:jc w:val="center"/>
            </w:pPr>
            <w:r>
              <w:rPr>
                <w:color w:val="000000"/>
                <w:sz w:val="24"/>
                <w:szCs w:val="24"/>
              </w:rPr>
              <w:t>000858</w:t>
            </w:r>
          </w:p>
        </w:tc>
        <w:tc>
          <w:tcPr>
            <w:tcW w:w="1777" w:type="dxa"/>
            <w:vAlign w:val="center"/>
          </w:tcPr>
          <w:p w:rsidR="006A6DF7" w:rsidRDefault="00B4546A">
            <w:pPr>
              <w:jc w:val="center"/>
            </w:pPr>
            <w:r>
              <w:rPr>
                <w:color w:val="000000"/>
                <w:sz w:val="24"/>
                <w:szCs w:val="24"/>
              </w:rPr>
              <w:t>五粮液</w:t>
            </w:r>
          </w:p>
        </w:tc>
        <w:tc>
          <w:tcPr>
            <w:tcW w:w="1334" w:type="dxa"/>
            <w:vAlign w:val="center"/>
          </w:tcPr>
          <w:p w:rsidR="006A6DF7" w:rsidRDefault="00B4546A">
            <w:pPr>
              <w:jc w:val="right"/>
            </w:pPr>
            <w:r>
              <w:rPr>
                <w:color w:val="000000"/>
                <w:sz w:val="24"/>
                <w:szCs w:val="24"/>
              </w:rPr>
              <w:t>44,800</w:t>
            </w:r>
          </w:p>
        </w:tc>
        <w:tc>
          <w:tcPr>
            <w:tcW w:w="1924" w:type="dxa"/>
            <w:vAlign w:val="center"/>
          </w:tcPr>
          <w:p w:rsidR="006A6DF7" w:rsidRDefault="00B4546A">
            <w:pPr>
              <w:jc w:val="right"/>
            </w:pPr>
            <w:r>
              <w:rPr>
                <w:color w:val="000000"/>
                <w:sz w:val="24"/>
                <w:szCs w:val="24"/>
              </w:rPr>
              <w:t>9,900,800.00</w:t>
            </w:r>
          </w:p>
        </w:tc>
        <w:tc>
          <w:tcPr>
            <w:tcW w:w="1644" w:type="dxa"/>
            <w:vAlign w:val="center"/>
          </w:tcPr>
          <w:p w:rsidR="006A6DF7" w:rsidRDefault="00B4546A">
            <w:pPr>
              <w:jc w:val="right"/>
            </w:pPr>
            <w:r>
              <w:rPr>
                <w:color w:val="000000"/>
                <w:sz w:val="24"/>
                <w:szCs w:val="24"/>
              </w:rPr>
              <w:t>2.85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A21FCA" w:rsidRPr="00414345" w:rsidTr="00AB4DB6">
        <w:trPr>
          <w:trHeight w:val="105"/>
          <w:jc w:val="center"/>
        </w:trPr>
        <w:tc>
          <w:tcPr>
            <w:tcW w:w="1422" w:type="dxa"/>
            <w:vAlign w:val="center"/>
          </w:tcPr>
          <w:p w:rsidR="00A21FCA" w:rsidRPr="00414345" w:rsidRDefault="00A21FCA"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A21FCA" w:rsidRPr="00414345" w:rsidRDefault="00A21FCA"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A21FCA" w:rsidRPr="00414345" w:rsidRDefault="00A21FCA"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A21FCA" w:rsidRPr="00414345" w:rsidRDefault="00A21FCA"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A21FCA" w:rsidRPr="00414345" w:rsidRDefault="00A21FCA"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A21FCA" w:rsidRPr="00414345" w:rsidRDefault="00A21FCA"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bookmarkStart w:id="0" w:name="_GoBack"/>
            <w:bookmarkEnd w:id="0"/>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291,920.00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110,812.06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420,753.60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8,960.88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14,331.30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554,857.84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282,003,812.22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15,411,652.18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67,700,887.67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229,714,576.73</w:t>
            </w:r>
          </w:p>
        </w:tc>
      </w:tr>
    </w:tbl>
    <w:p w:rsidR="006A6DF7" w:rsidRDefault="00B4546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A6DF7" w:rsidRDefault="00B4546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6A6DF7" w:rsidRDefault="00B4546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6A6DF7" w:rsidRDefault="00B4546A">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6A6DF7" w:rsidRDefault="00B4546A">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6A6DF7" w:rsidRDefault="00B4546A">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A6DF7" w:rsidRDefault="00B4546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46A" w:rsidRDefault="00B4546A" w:rsidP="00876D65">
      <w:r>
        <w:separator/>
      </w:r>
    </w:p>
  </w:endnote>
  <w:endnote w:type="continuationSeparator" w:id="0">
    <w:p w:rsidR="00B4546A" w:rsidRDefault="00B4546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21FCA">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21FCA">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46A" w:rsidRDefault="00B4546A" w:rsidP="00876D65">
      <w:r>
        <w:separator/>
      </w:r>
    </w:p>
  </w:footnote>
  <w:footnote w:type="continuationSeparator" w:id="0">
    <w:p w:rsidR="00B4546A" w:rsidRDefault="00B4546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交银施罗德国企改革灵活配置混合型证券投资基金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6DF7"/>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1FCA"/>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546A"/>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C5476-0296-479D-B133-EB2408D94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11</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601</cp:revision>
  <dcterms:created xsi:type="dcterms:W3CDTF">2012-10-16T06:07:00Z</dcterms:created>
  <dcterms:modified xsi:type="dcterms:W3CDTF">2020-10-19T07:46:00Z</dcterms:modified>
</cp:coreProperties>
</file>