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交银施罗德增强收益债券型证券投资基金</w:t>
      </w:r>
    </w:p>
    <w:p w:rsidP="00C15CAC" w:rsidR="002279D3" w:rsidRDefault="002279D3" w:rsidRPr="0081286B">
      <w:pPr>
        <w:spacing w:before="29" w:line="288" w:lineRule="auto"/>
        <w:jc w:val="center"/>
        <w:rPr>
          <w:b/>
          <w:sz w:val="36"/>
          <w:szCs w:val="36"/>
        </w:rPr>
      </w:pPr>
      <w:r w:rsidRPr="0081286B">
        <w:rPr>
          <w:b/>
          <w:sz w:val="36"/>
          <w:szCs w:val="36"/>
        </w:rPr>
        <w:t>2020年第3季度报告</w:t>
      </w:r>
    </w:p>
    <w:p w:rsidP="00C15CAC" w:rsidR="004061AC" w:rsidRDefault="00655CD8" w:rsidRPr="0081286B">
      <w:pPr>
        <w:spacing w:before="29" w:line="288" w:lineRule="auto"/>
        <w:jc w:val="center"/>
        <w:rPr>
          <w:b/>
          <w:sz w:val="36"/>
          <w:szCs w:val="36"/>
        </w:rPr>
      </w:pPr>
      <w:r w:rsidRPr="0081286B">
        <w:rPr>
          <w:b/>
          <w:sz w:val="36"/>
          <w:szCs w:val="36"/>
        </w:rPr>
        <w:t>2020年9月30日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二〇二〇年十月二十八日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基金托管人中国建设银行股份有限公司根据本基金合同规定，于2020年10月27日复核了本报告中的财务指标、净值表现和投资组合报告等内容，保证复核内容不存在虚假记载、误导性陈述或者重大遗漏。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交银增强收益债券</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519729</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519729</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2016年12月30日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12,124,798.93</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在严格控制投资风险的基础上，力争实现基金资产的长期稳定增值。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90%×中证综合债券指数收益率+10%×沪深300指数收益率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本基金为债券型证券投资基金，其长期平均的预期收益和风险高于货币市场基金，低于混合型基金和股票型基金，属于证券投资基金中中等风险品种。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(2020年7月1日-2020年9月30日)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213,068.51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31,742.58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0.0025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17,368,541.67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1.432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0.00%</w:t>
            </w:r>
          </w:p>
        </w:tc>
        <w:tc>
          <w:tcPr>
            <w:vAlign w:val="center"/>
          </w:tcPr>
          <w:p>
            <w:pPr>
              <w:jc w:val="center"/>
            </w:pPr>
            <w:r>
              <w:rPr>
                <w:color w:val="000000"/>
                <w:sz w:val="24"/>
                <w:szCs w:val="24"/>
              </w:rPr>
              <w:t>0.20%</w:t>
            </w:r>
          </w:p>
        </w:tc>
        <w:tc>
          <w:tcPr>
            <w:vAlign w:val="center"/>
          </w:tcPr>
          <w:p>
            <w:pPr>
              <w:jc w:val="center"/>
            </w:pPr>
            <w:r>
              <w:rPr>
                <w:color w:val="000000"/>
                <w:sz w:val="24"/>
                <w:szCs w:val="24"/>
              </w:rPr>
              <w:t>0.53%</w:t>
            </w:r>
          </w:p>
        </w:tc>
        <w:tc>
          <w:tcPr>
            <w:vAlign w:val="center"/>
          </w:tcPr>
          <w:p>
            <w:pPr>
              <w:jc w:val="center"/>
            </w:pPr>
            <w:r>
              <w:rPr>
                <w:color w:val="000000"/>
                <w:sz w:val="24"/>
                <w:szCs w:val="24"/>
              </w:rPr>
              <w:t>0.15%</w:t>
            </w:r>
          </w:p>
        </w:tc>
        <w:tc>
          <w:tcPr>
            <w:vAlign w:val="center"/>
          </w:tcPr>
          <w:p>
            <w:pPr>
              <w:jc w:val="center"/>
            </w:pPr>
            <w:r>
              <w:rPr>
                <w:color w:val="000000"/>
                <w:sz w:val="24"/>
                <w:szCs w:val="24"/>
              </w:rPr>
              <w:t>-0.53%</w:t>
            </w:r>
          </w:p>
        </w:tc>
        <w:tc>
          <w:tcPr>
            <w:vAlign w:val="center"/>
          </w:tcPr>
          <w:p>
            <w:pPr>
              <w:jc w:val="center"/>
            </w:pPr>
            <w:r>
              <w:rPr>
                <w:color w:val="000000"/>
                <w:sz w:val="24"/>
                <w:szCs w:val="24"/>
              </w:rPr>
              <w:t>0.05%</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1.13%</w:t>
            </w:r>
          </w:p>
        </w:tc>
        <w:tc>
          <w:tcPr>
            <w:vAlign w:val="center"/>
          </w:tcPr>
          <w:p>
            <w:pPr>
              <w:jc w:val="center"/>
            </w:pPr>
            <w:r>
              <w:rPr>
                <w:color w:val="000000"/>
                <w:sz w:val="24"/>
                <w:szCs w:val="24"/>
              </w:rPr>
              <w:t>0.18%</w:t>
            </w:r>
          </w:p>
        </w:tc>
        <w:tc>
          <w:tcPr>
            <w:vAlign w:val="center"/>
          </w:tcPr>
          <w:p>
            <w:pPr>
              <w:jc w:val="center"/>
            </w:pPr>
            <w:r>
              <w:rPr>
                <w:color w:val="000000"/>
                <w:sz w:val="24"/>
                <w:szCs w:val="24"/>
              </w:rPr>
              <w:t>1.55%</w:t>
            </w:r>
          </w:p>
        </w:tc>
        <w:tc>
          <w:tcPr>
            <w:vAlign w:val="center"/>
          </w:tcPr>
          <w:p>
            <w:pPr>
              <w:jc w:val="center"/>
            </w:pPr>
            <w:r>
              <w:rPr>
                <w:color w:val="000000"/>
                <w:sz w:val="24"/>
                <w:szCs w:val="24"/>
              </w:rPr>
              <w:t>0.14%</w:t>
            </w:r>
          </w:p>
        </w:tc>
        <w:tc>
          <w:tcPr>
            <w:vAlign w:val="center"/>
          </w:tcPr>
          <w:p>
            <w:pPr>
              <w:jc w:val="center"/>
            </w:pPr>
            <w:r>
              <w:rPr>
                <w:color w:val="000000"/>
                <w:sz w:val="24"/>
                <w:szCs w:val="24"/>
              </w:rPr>
              <w:t>-0.42%</w:t>
            </w:r>
          </w:p>
        </w:tc>
        <w:tc>
          <w:tcPr>
            <w:vAlign w:val="center"/>
          </w:tcPr>
          <w:p>
            <w:pPr>
              <w:jc w:val="center"/>
            </w:pPr>
            <w:r>
              <w:rPr>
                <w:color w:val="000000"/>
                <w:sz w:val="24"/>
                <w:szCs w:val="24"/>
              </w:rPr>
              <w:t>0.04%</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5.76%</w:t>
            </w:r>
          </w:p>
        </w:tc>
        <w:tc>
          <w:tcPr>
            <w:vAlign w:val="center"/>
          </w:tcPr>
          <w:p>
            <w:pPr>
              <w:jc w:val="center"/>
            </w:pPr>
            <w:r>
              <w:rPr>
                <w:color w:val="000000"/>
                <w:sz w:val="24"/>
                <w:szCs w:val="24"/>
              </w:rPr>
              <w:t>0.20%</w:t>
            </w:r>
          </w:p>
        </w:tc>
        <w:tc>
          <w:tcPr>
            <w:vAlign w:val="center"/>
          </w:tcPr>
          <w:p>
            <w:pPr>
              <w:jc w:val="center"/>
            </w:pPr>
            <w:r>
              <w:rPr>
                <w:color w:val="000000"/>
                <w:sz w:val="24"/>
                <w:szCs w:val="24"/>
              </w:rPr>
              <w:t>4.81%</w:t>
            </w:r>
          </w:p>
        </w:tc>
        <w:tc>
          <w:tcPr>
            <w:vAlign w:val="center"/>
          </w:tcPr>
          <w:p>
            <w:pPr>
              <w:jc w:val="center"/>
            </w:pPr>
            <w:r>
              <w:rPr>
                <w:color w:val="000000"/>
                <w:sz w:val="24"/>
                <w:szCs w:val="24"/>
              </w:rPr>
              <w:t>0.13%</w:t>
            </w:r>
          </w:p>
        </w:tc>
        <w:tc>
          <w:tcPr>
            <w:vAlign w:val="center"/>
          </w:tcPr>
          <w:p>
            <w:pPr>
              <w:jc w:val="center"/>
            </w:pPr>
            <w:r>
              <w:rPr>
                <w:color w:val="000000"/>
                <w:sz w:val="24"/>
                <w:szCs w:val="24"/>
              </w:rPr>
              <w:t>0.95%</w:t>
            </w:r>
          </w:p>
        </w:tc>
        <w:tc>
          <w:tcPr>
            <w:vAlign w:val="center"/>
          </w:tcPr>
          <w:p>
            <w:pPr>
              <w:jc w:val="center"/>
            </w:pPr>
            <w:r>
              <w:rPr>
                <w:color w:val="000000"/>
                <w:sz w:val="24"/>
                <w:szCs w:val="24"/>
              </w:rPr>
              <w:t>0.07%</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12.67%</w:t>
            </w:r>
          </w:p>
        </w:tc>
        <w:tc>
          <w:tcPr>
            <w:vAlign w:val="center"/>
          </w:tcPr>
          <w:p>
            <w:pPr>
              <w:jc w:val="center"/>
            </w:pPr>
            <w:r>
              <w:rPr>
                <w:color w:val="000000"/>
                <w:sz w:val="24"/>
                <w:szCs w:val="24"/>
              </w:rPr>
              <w:t>0.26%</w:t>
            </w:r>
          </w:p>
        </w:tc>
        <w:tc>
          <w:tcPr>
            <w:vAlign w:val="center"/>
          </w:tcPr>
          <w:p>
            <w:pPr>
              <w:jc w:val="center"/>
            </w:pPr>
            <w:r>
              <w:rPr>
                <w:color w:val="000000"/>
                <w:sz w:val="24"/>
                <w:szCs w:val="24"/>
              </w:rPr>
              <w:t>15.78%</w:t>
            </w:r>
          </w:p>
        </w:tc>
        <w:tc>
          <w:tcPr>
            <w:vAlign w:val="center"/>
          </w:tcPr>
          <w:p>
            <w:pPr>
              <w:jc w:val="center"/>
            </w:pPr>
            <w:r>
              <w:rPr>
                <w:color w:val="000000"/>
                <w:sz w:val="24"/>
                <w:szCs w:val="24"/>
              </w:rPr>
              <w:t>0.13%</w:t>
            </w:r>
          </w:p>
        </w:tc>
        <w:tc>
          <w:tcPr>
            <w:vAlign w:val="center"/>
          </w:tcPr>
          <w:p>
            <w:pPr>
              <w:jc w:val="center"/>
            </w:pPr>
            <w:r>
              <w:rPr>
                <w:color w:val="000000"/>
                <w:sz w:val="24"/>
                <w:szCs w:val="24"/>
              </w:rPr>
              <w:t>-3.11%</w:t>
            </w:r>
          </w:p>
        </w:tc>
        <w:tc>
          <w:tcPr>
            <w:vAlign w:val="center"/>
          </w:tcPr>
          <w:p>
            <w:pPr>
              <w:jc w:val="center"/>
            </w:pPr>
            <w:r>
              <w:rPr>
                <w:color w:val="000000"/>
                <w:sz w:val="24"/>
                <w:szCs w:val="24"/>
              </w:rPr>
              <w:t>0.13%</w:t>
            </w:r>
          </w:p>
        </w:tc>
      </w:tr>
      <w:tr>
        <w:tc>
          <w:tcPr>
            <w:vAlign w:val="center"/>
          </w:tcPr>
          <w:p>
            <w:pPr>
              <w:jc w:val="left"/>
            </w:pPr>
            <w:r>
              <w:rPr>
                <w:color w:val="000000"/>
                <w:sz w:val="24"/>
                <w:szCs w:val="24"/>
              </w:rPr>
              <w:t>自基金合同生效至今</w:t>
            </w:r>
          </w:p>
        </w:tc>
        <w:tc>
          <w:tcPr>
            <w:vAlign w:val="center"/>
          </w:tcPr>
          <w:p>
            <w:pPr>
              <w:jc w:val="center"/>
            </w:pPr>
            <w:r>
              <w:rPr>
                <w:color w:val="000000"/>
                <w:sz w:val="24"/>
                <w:szCs w:val="24"/>
              </w:rPr>
              <w:t>12.76%</w:t>
            </w:r>
          </w:p>
        </w:tc>
        <w:tc>
          <w:tcPr>
            <w:vAlign w:val="center"/>
          </w:tcPr>
          <w:p>
            <w:pPr>
              <w:jc w:val="center"/>
            </w:pPr>
            <w:r>
              <w:rPr>
                <w:color w:val="000000"/>
                <w:sz w:val="24"/>
                <w:szCs w:val="24"/>
              </w:rPr>
              <w:t>0.24%</w:t>
            </w:r>
          </w:p>
        </w:tc>
        <w:tc>
          <w:tcPr>
            <w:vAlign w:val="center"/>
          </w:tcPr>
          <w:p>
            <w:pPr>
              <w:jc w:val="center"/>
            </w:pPr>
            <w:r>
              <w:rPr>
                <w:color w:val="000000"/>
                <w:sz w:val="24"/>
                <w:szCs w:val="24"/>
              </w:rPr>
              <w:t>18.57%</w:t>
            </w:r>
          </w:p>
        </w:tc>
        <w:tc>
          <w:tcPr>
            <w:vAlign w:val="center"/>
          </w:tcPr>
          <w:p>
            <w:pPr>
              <w:jc w:val="center"/>
            </w:pPr>
            <w:r>
              <w:rPr>
                <w:color w:val="000000"/>
                <w:sz w:val="24"/>
                <w:szCs w:val="24"/>
              </w:rPr>
              <w:t>0.12%</w:t>
            </w:r>
          </w:p>
        </w:tc>
        <w:tc>
          <w:tcPr>
            <w:vAlign w:val="center"/>
          </w:tcPr>
          <w:p>
            <w:pPr>
              <w:jc w:val="center"/>
            </w:pPr>
            <w:r>
              <w:rPr>
                <w:color w:val="000000"/>
                <w:sz w:val="24"/>
                <w:szCs w:val="24"/>
              </w:rPr>
              <w:t>-5.81%</w:t>
            </w:r>
          </w:p>
        </w:tc>
        <w:tc>
          <w:tcPr>
            <w:vAlign w:val="center"/>
          </w:tcPr>
          <w:p>
            <w:pPr>
              <w:jc w:val="center"/>
            </w:pPr>
            <w:r>
              <w:rPr>
                <w:color w:val="000000"/>
                <w:sz w:val="24"/>
                <w:szCs w:val="24"/>
              </w:rPr>
              <w:t>0.12%</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交银施罗德增强收益债券型证券投资基金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2016年12月30日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由交银施罗德荣泰保本混合型证券投资基金转型而来。基金转型日为2016年12月30日。本基金的投资转型期为交银施罗德荣泰保本混合型证券投资基金保本周期到期期间截止日的次日（即2016年12月30日）起的3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凌超</w:t>
            </w:r>
          </w:p>
        </w:tc>
        <w:tc>
          <w:tcPr>
            <w:vAlign w:val="center"/>
          </w:tcPr>
          <w:p>
            <w:pPr>
              <w:jc w:val="center"/>
            </w:pPr>
            <w:r>
              <w:rPr>
                <w:color w:val="000000"/>
                <w:sz w:val="24"/>
                <w:szCs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szCs w:val="24"/>
              </w:rPr>
              <w:t>2018-02-13</w:t>
            </w:r>
          </w:p>
        </w:tc>
        <w:tc>
          <w:tcPr>
            <w:vAlign w:val="center"/>
          </w:tcPr>
          <w:p>
            <w:pPr>
              <w:jc w:val="center"/>
            </w:pPr>
            <w:r>
              <w:rPr>
                <w:color w:val="000000"/>
                <w:sz w:val="24"/>
                <w:szCs w:val="24"/>
              </w:rPr>
              <w:t>2020-07-23</w:t>
            </w:r>
          </w:p>
        </w:tc>
        <w:tc>
          <w:tcPr>
            <w:vAlign w:val="center"/>
          </w:tcPr>
          <w:p>
            <w:pPr>
              <w:jc w:val="center"/>
            </w:pPr>
            <w:r>
              <w:rPr>
                <w:color w:val="000000"/>
                <w:sz w:val="24"/>
                <w:szCs w:val="24"/>
              </w:rPr>
              <w:t>14年</w:t>
            </w:r>
          </w:p>
        </w:tc>
        <w:tc>
          <w:tcPr>
            <w:vAlign w:val="center"/>
          </w:tcPr>
          <w:p>
            <w:pPr>
              <w:jc w:val="both"/>
            </w:pPr>
            <w:r>
              <w:rPr>
                <w:color w:val="000000"/>
                <w:sz w:val="24"/>
                <w:szCs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2018年2月13日至2020年7月22日担任交银施罗德定期支付月月丰债券型证券投资基金、交银施罗德增强收益债券型证券投资基金（原交银荣泰保本）、交银施罗德强化回报债券型证券投资基金、交银施罗德增利增强债券型证券投资基金的基金经理。2019年2月28日至2020年7月22日担任交银施罗德稳固收益债券型证券投资基金（原交银荣祥保本)的基金经理。2019年7月20日至2020年7月22日担任交银施罗德周期回报灵活配置混合型证券投资基金、交银施罗德新回报灵活配置混合型证券投资基金、交银施罗德多策略回报灵活配置混合型证券投资基金、交银施罗德优选回报灵活配置混合型证券投资基金、交银施罗德优择回报灵活配置混合型证券投资基金、交银施罗德瑞鑫定期开放灵活配置混合型证券投资基金、交银施罗德恒益灵活配置混合型证券投资基金、交银施罗德裕祥纯债债券型证券投资基金的基金经理。</w:t>
            </w:r>
          </w:p>
        </w:tc>
      </w:tr>
      <w:tr>
        <w:tc>
          <w:tcPr>
            <w:vAlign w:val="center"/>
          </w:tcPr>
          <w:p>
            <w:pPr>
              <w:jc w:val="center"/>
            </w:pPr>
            <w:r>
              <w:rPr>
                <w:color w:val="000000"/>
                <w:sz w:val="24"/>
                <w:szCs w:val="24"/>
              </w:rPr>
              <w:t>唐赟</w:t>
            </w:r>
          </w:p>
        </w:tc>
        <w:tc>
          <w:tcPr>
            <w:vAlign w:val="center"/>
          </w:tcPr>
          <w:p>
            <w:pPr>
              <w:jc w:val="center"/>
            </w:pPr>
            <w:r>
              <w:rPr>
                <w:color w:val="000000"/>
                <w:sz w:val="24"/>
                <w:szCs w:val="24"/>
              </w:rPr>
              <w:t>交银信用添利债券(LOF)、交银双利债券、交银双轮动债券、交银定期支付月月丰债券、交银增强收益债券、交银强化回报债券、交银荣鑫灵活配置混合、交银稳固收益债券的基金经理</w:t>
            </w:r>
          </w:p>
        </w:tc>
        <w:tc>
          <w:tcPr>
            <w:vAlign w:val="center"/>
          </w:tcPr>
          <w:p>
            <w:pPr>
              <w:jc w:val="center"/>
            </w:pPr>
            <w:r>
              <w:rPr>
                <w:color w:val="000000"/>
                <w:sz w:val="24"/>
                <w:szCs w:val="24"/>
              </w:rPr>
              <w:t>2020-07-14</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唐赟先生，香港城市大学电子工程硕士。历任渣打银行环球企业部助理客户经理、平安资产管理公司信用分析员。2012年加入交银施罗德基金管理有限公司，历任固定收益研究员、基金经理助理。2015年11月7日至2018年6月1日担任转型前的交银施罗德荣和保本混合型证券投资基金的基金经理。2017年3月31日至2019年10月23日担任交银施罗德裕通纯债债券型证券投资基金的基金经理。2018年6月2日至2019年12月13日担任交银施罗德安心收益债券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本报告期内，三季度债券市场在震荡中逐步下跌。首先，从七月开始，央行在公开市场净回笼资金，叠加MLF大量到期、企业集中缴税等因素，银行间流动性出现持续收紧状态，资金利率中枢边际抬升，进入八月央行开展14天逆回购操作，引导DR007向2.2%收敛。其次，利率债供给方面，七月到九月供给压力不减，政府债券净融资量维持在高位。同时，三季度经济基本面呈现出平稳恢复的态势，出口改善带动了制造业投资修复，工业生产平稳运行，经济增长的支撑力较为充足。在以上因素的综合影响下，三季度债券市场在震荡中收益率大幅向上调整，同时收益率曲线呈现出平坦化的趋势。权益市场三季度先是经历了一波快速上涨拉升行情，但从七月中旬之后，转为震荡下跌，伴随着前期表现较好的科技、医药以及食品饮料等行业相继出现大幅的回调。</w:t>
      </w:r>
    </w:p>
    <w:p>
      <w:pPr>
        <w:spacing w:before="29" w:line="288" w:lineRule="auto"/>
        <w:ind w:firstLine="480" w:firstLineChars="200"/>
        <w:rPr>
          <w:color w:val="000000"/>
          <w:sz w:val="24"/>
          <w:szCs w:val="24"/>
        </w:rPr>
      </w:pPr>
      <w:r>
        <w:rPr>
          <w:color w:val="000000"/>
          <w:sz w:val="24"/>
          <w:szCs w:val="24"/>
        </w:rPr>
        <w:t>报告期内，我们的债券资产维持短久期低仓位配置。权益资产方面，七月中旬之前保持了中高仓位的配置。七月中旬之后科技、医药等行业的相继回调给组合净值带来了一定的回撤，我们相应地把仓位降低到了中性仓位附近，以控制组合回撤，并在配置的行业上做了一定的切换。</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四季度，一方面随着企业库存回升和通胀预期抬升，国内经济或从复苏期进入扩张期，宏观环境对权益类资产可能相对有利；另一方面预期四季度利率债的供给压力将明显减弱，叠加美国大选临近中美摩擦可能升级，海外疫情或不断反复，情绪方面可能对避险资产偏利好。组合策略方面，我们将保持债券资产相对偏低的杠杆和久期，并积极关注长端利率的波段交易机会；权益资产方面，等待优质资产过高的估值修复过程，并在控制组合回撤的前提下，积极把握权益类资产可能带来的增厚组合收益的机会。</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本基金本报告期内连续六十个工作日以上出现基金资产净值低于5000万元的情形，截至本报告期末，本基金基金资产净值仍低于5000万元。</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425,305.00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2.42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425,305.00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2.42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14,954,218.10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85.25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14,954,218.10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85.25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1,100,000.00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6.27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862,504.71</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4.92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199,752.31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1.14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17,541,780.12</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294,441.00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81,200.00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0.47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49,664.00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0.29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425,305.00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2.45</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688169</w:t>
            </w:r>
          </w:p>
        </w:tc>
        <w:tc>
          <w:tcPr>
            <w:vAlign w:val="center"/>
          </w:tcPr>
          <w:p>
            <w:pPr>
              <w:jc w:val="center"/>
            </w:pPr>
            <w:r>
              <w:rPr>
                <w:color w:val="000000"/>
                <w:sz w:val="24"/>
                <w:szCs w:val="24"/>
              </w:rPr>
              <w:t>石头科技</w:t>
            </w:r>
          </w:p>
        </w:tc>
        <w:tc>
          <w:tcPr>
            <w:vAlign w:val="center"/>
          </w:tcPr>
          <w:p>
            <w:pPr>
              <w:jc w:val="right"/>
            </w:pPr>
            <w:r>
              <w:rPr>
                <w:color w:val="000000"/>
                <w:sz w:val="24"/>
                <w:szCs w:val="24"/>
              </w:rPr>
              <w:t>200</w:t>
            </w:r>
          </w:p>
        </w:tc>
        <w:tc>
          <w:tcPr>
            <w:vAlign w:val="center"/>
          </w:tcPr>
          <w:p>
            <w:pPr>
              <w:jc w:val="right"/>
            </w:pPr>
            <w:r>
              <w:rPr>
                <w:color w:val="000000"/>
                <w:sz w:val="24"/>
                <w:szCs w:val="24"/>
              </w:rPr>
              <w:t>119,880.00</w:t>
            </w:r>
          </w:p>
        </w:tc>
        <w:tc>
          <w:tcPr>
            <w:vAlign w:val="center"/>
          </w:tcPr>
          <w:p>
            <w:pPr>
              <w:jc w:val="right"/>
            </w:pPr>
            <w:r>
              <w:rPr>
                <w:color w:val="000000"/>
                <w:sz w:val="24"/>
                <w:szCs w:val="24"/>
              </w:rPr>
              <w:t>0.69</w:t>
            </w:r>
          </w:p>
        </w:tc>
      </w:tr>
      <w:tr>
        <w:tc>
          <w:tcPr>
            <w:vAlign w:val="center"/>
          </w:tcPr>
          <w:p>
            <w:pPr>
              <w:jc w:val="center"/>
            </w:pPr>
            <w:r>
              <w:rPr>
                <w:color w:val="000000"/>
                <w:sz w:val="24"/>
                <w:szCs w:val="24"/>
              </w:rPr>
              <w:t>2</w:t>
            </w:r>
          </w:p>
        </w:tc>
        <w:tc>
          <w:tcPr>
            <w:vAlign w:val="center"/>
          </w:tcPr>
          <w:p>
            <w:pPr>
              <w:jc w:val="center"/>
            </w:pPr>
            <w:r>
              <w:rPr>
                <w:color w:val="000000"/>
                <w:sz w:val="24"/>
                <w:szCs w:val="24"/>
              </w:rPr>
              <w:t>002430</w:t>
            </w:r>
          </w:p>
        </w:tc>
        <w:tc>
          <w:tcPr>
            <w:vAlign w:val="center"/>
          </w:tcPr>
          <w:p>
            <w:pPr>
              <w:jc w:val="center"/>
            </w:pPr>
            <w:r>
              <w:rPr>
                <w:color w:val="000000"/>
                <w:sz w:val="24"/>
                <w:szCs w:val="24"/>
              </w:rPr>
              <w:t>杭氧股份</w:t>
            </w:r>
          </w:p>
        </w:tc>
        <w:tc>
          <w:tcPr>
            <w:vAlign w:val="center"/>
          </w:tcPr>
          <w:p>
            <w:pPr>
              <w:jc w:val="right"/>
            </w:pPr>
            <w:r>
              <w:rPr>
                <w:color w:val="000000"/>
                <w:sz w:val="24"/>
                <w:szCs w:val="24"/>
              </w:rPr>
              <w:t>3,900</w:t>
            </w:r>
          </w:p>
        </w:tc>
        <w:tc>
          <w:tcPr>
            <w:vAlign w:val="center"/>
          </w:tcPr>
          <w:p>
            <w:pPr>
              <w:jc w:val="right"/>
            </w:pPr>
            <w:r>
              <w:rPr>
                <w:color w:val="000000"/>
                <w:sz w:val="24"/>
                <w:szCs w:val="24"/>
              </w:rPr>
              <w:t>87,711.00</w:t>
            </w:r>
          </w:p>
        </w:tc>
        <w:tc>
          <w:tcPr>
            <w:vAlign w:val="center"/>
          </w:tcPr>
          <w:p>
            <w:pPr>
              <w:jc w:val="right"/>
            </w:pPr>
            <w:r>
              <w:rPr>
                <w:color w:val="000000"/>
                <w:sz w:val="24"/>
                <w:szCs w:val="24"/>
              </w:rPr>
              <w:t>0.50</w:t>
            </w:r>
          </w:p>
        </w:tc>
      </w:tr>
      <w:tr>
        <w:tc>
          <w:tcPr>
            <w:vAlign w:val="center"/>
          </w:tcPr>
          <w:p>
            <w:pPr>
              <w:jc w:val="center"/>
            </w:pPr>
            <w:r>
              <w:rPr>
                <w:color w:val="000000"/>
                <w:sz w:val="24"/>
                <w:szCs w:val="24"/>
              </w:rPr>
              <w:t>3</w:t>
            </w:r>
          </w:p>
        </w:tc>
        <w:tc>
          <w:tcPr>
            <w:vAlign w:val="center"/>
          </w:tcPr>
          <w:p>
            <w:pPr>
              <w:jc w:val="center"/>
            </w:pPr>
            <w:r>
              <w:rPr>
                <w:color w:val="000000"/>
                <w:sz w:val="24"/>
                <w:szCs w:val="24"/>
              </w:rPr>
              <w:t>300124</w:t>
            </w:r>
          </w:p>
        </w:tc>
        <w:tc>
          <w:tcPr>
            <w:vAlign w:val="center"/>
          </w:tcPr>
          <w:p>
            <w:pPr>
              <w:jc w:val="center"/>
            </w:pPr>
            <w:r>
              <w:rPr>
                <w:color w:val="000000"/>
                <w:sz w:val="24"/>
                <w:szCs w:val="24"/>
              </w:rPr>
              <w:t>汇川技术</w:t>
            </w:r>
          </w:p>
        </w:tc>
        <w:tc>
          <w:tcPr>
            <w:vAlign w:val="center"/>
          </w:tcPr>
          <w:p>
            <w:pPr>
              <w:jc w:val="right"/>
            </w:pPr>
            <w:r>
              <w:rPr>
                <w:color w:val="000000"/>
                <w:sz w:val="24"/>
                <w:szCs w:val="24"/>
              </w:rPr>
              <w:t>1,500</w:t>
            </w:r>
          </w:p>
        </w:tc>
        <w:tc>
          <w:tcPr>
            <w:vAlign w:val="center"/>
          </w:tcPr>
          <w:p>
            <w:pPr>
              <w:jc w:val="right"/>
            </w:pPr>
            <w:r>
              <w:rPr>
                <w:color w:val="000000"/>
                <w:sz w:val="24"/>
                <w:szCs w:val="24"/>
              </w:rPr>
              <w:t>86,850.00</w:t>
            </w:r>
          </w:p>
        </w:tc>
        <w:tc>
          <w:tcPr>
            <w:vAlign w:val="center"/>
          </w:tcPr>
          <w:p>
            <w:pPr>
              <w:jc w:val="right"/>
            </w:pPr>
            <w:r>
              <w:rPr>
                <w:color w:val="000000"/>
                <w:sz w:val="24"/>
                <w:szCs w:val="24"/>
              </w:rPr>
              <w:t>0.50</w:t>
            </w:r>
          </w:p>
        </w:tc>
      </w:tr>
      <w:tr>
        <w:tc>
          <w:tcPr>
            <w:vAlign w:val="center"/>
          </w:tcPr>
          <w:p>
            <w:pPr>
              <w:jc w:val="center"/>
            </w:pPr>
            <w:r>
              <w:rPr>
                <w:color w:val="000000"/>
                <w:sz w:val="24"/>
                <w:szCs w:val="24"/>
              </w:rPr>
              <w:t>4</w:t>
            </w:r>
          </w:p>
        </w:tc>
        <w:tc>
          <w:tcPr>
            <w:vAlign w:val="center"/>
          </w:tcPr>
          <w:p>
            <w:pPr>
              <w:jc w:val="center"/>
            </w:pPr>
            <w:r>
              <w:rPr>
                <w:color w:val="000000"/>
                <w:sz w:val="24"/>
                <w:szCs w:val="24"/>
              </w:rPr>
              <w:t>002352</w:t>
            </w:r>
          </w:p>
        </w:tc>
        <w:tc>
          <w:tcPr>
            <w:vAlign w:val="center"/>
          </w:tcPr>
          <w:p>
            <w:pPr>
              <w:jc w:val="center"/>
            </w:pPr>
            <w:r>
              <w:rPr>
                <w:color w:val="000000"/>
                <w:sz w:val="24"/>
                <w:szCs w:val="24"/>
              </w:rPr>
              <w:t>顺丰控股</w:t>
            </w:r>
          </w:p>
        </w:tc>
        <w:tc>
          <w:tcPr>
            <w:vAlign w:val="center"/>
          </w:tcPr>
          <w:p>
            <w:pPr>
              <w:jc w:val="right"/>
            </w:pPr>
            <w:r>
              <w:rPr>
                <w:color w:val="000000"/>
                <w:sz w:val="24"/>
                <w:szCs w:val="24"/>
              </w:rPr>
              <w:t>1,000</w:t>
            </w:r>
          </w:p>
        </w:tc>
        <w:tc>
          <w:tcPr>
            <w:vAlign w:val="center"/>
          </w:tcPr>
          <w:p>
            <w:pPr>
              <w:jc w:val="right"/>
            </w:pPr>
            <w:r>
              <w:rPr>
                <w:color w:val="000000"/>
                <w:sz w:val="24"/>
                <w:szCs w:val="24"/>
              </w:rPr>
              <w:t>81,200.00</w:t>
            </w:r>
          </w:p>
        </w:tc>
        <w:tc>
          <w:tcPr>
            <w:vAlign w:val="center"/>
          </w:tcPr>
          <w:p>
            <w:pPr>
              <w:jc w:val="right"/>
            </w:pPr>
            <w:r>
              <w:rPr>
                <w:color w:val="000000"/>
                <w:sz w:val="24"/>
                <w:szCs w:val="24"/>
              </w:rPr>
              <w:t>0.47</w:t>
            </w:r>
          </w:p>
        </w:tc>
      </w:tr>
      <w:tr>
        <w:tc>
          <w:tcPr>
            <w:vAlign w:val="center"/>
          </w:tcPr>
          <w:p>
            <w:pPr>
              <w:jc w:val="center"/>
            </w:pPr>
            <w:r>
              <w:rPr>
                <w:color w:val="000000"/>
                <w:sz w:val="24"/>
                <w:szCs w:val="24"/>
              </w:rPr>
              <w:t>5</w:t>
            </w:r>
          </w:p>
        </w:tc>
        <w:tc>
          <w:tcPr>
            <w:vAlign w:val="center"/>
          </w:tcPr>
          <w:p>
            <w:pPr>
              <w:jc w:val="center"/>
            </w:pPr>
            <w:r>
              <w:rPr>
                <w:color w:val="000000"/>
                <w:sz w:val="24"/>
                <w:szCs w:val="24"/>
              </w:rPr>
              <w:t>601336</w:t>
            </w:r>
          </w:p>
        </w:tc>
        <w:tc>
          <w:tcPr>
            <w:vAlign w:val="center"/>
          </w:tcPr>
          <w:p>
            <w:pPr>
              <w:jc w:val="center"/>
            </w:pPr>
            <w:r>
              <w:rPr>
                <w:color w:val="000000"/>
                <w:sz w:val="24"/>
                <w:szCs w:val="24"/>
              </w:rPr>
              <w:t>新华保险</w:t>
            </w:r>
          </w:p>
        </w:tc>
        <w:tc>
          <w:tcPr>
            <w:vAlign w:val="center"/>
          </w:tcPr>
          <w:p>
            <w:pPr>
              <w:jc w:val="right"/>
            </w:pPr>
            <w:r>
              <w:rPr>
                <w:color w:val="000000"/>
                <w:sz w:val="24"/>
                <w:szCs w:val="24"/>
              </w:rPr>
              <w:t>800</w:t>
            </w:r>
          </w:p>
        </w:tc>
        <w:tc>
          <w:tcPr>
            <w:vAlign w:val="center"/>
          </w:tcPr>
          <w:p>
            <w:pPr>
              <w:jc w:val="right"/>
            </w:pPr>
            <w:r>
              <w:rPr>
                <w:color w:val="000000"/>
                <w:sz w:val="24"/>
                <w:szCs w:val="24"/>
              </w:rPr>
              <w:t>49,664.00</w:t>
            </w:r>
          </w:p>
        </w:tc>
        <w:tc>
          <w:tcPr>
            <w:vAlign w:val="center"/>
          </w:tcPr>
          <w:p>
            <w:pPr>
              <w:jc w:val="right"/>
            </w:pPr>
            <w:r>
              <w:rPr>
                <w:color w:val="000000"/>
                <w:sz w:val="24"/>
                <w:szCs w:val="24"/>
              </w:rPr>
              <w:t>0.29</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9,939,679.00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57.23</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4,921,233.90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28.33</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4,921,233.90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28.33</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93,305.20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0.54</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14,954,218.10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86.10</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010107</w:t>
            </w:r>
          </w:p>
        </w:tc>
        <w:tc>
          <w:tcPr>
            <w:vAlign w:val="center"/>
          </w:tcPr>
          <w:p>
            <w:pPr>
              <w:jc w:val="center"/>
            </w:pPr>
            <w:r>
              <w:rPr>
                <w:color w:val="000000"/>
                <w:sz w:val="24"/>
                <w:szCs w:val="24"/>
              </w:rPr>
              <w:t>21国债⑺</w:t>
            </w:r>
          </w:p>
        </w:tc>
        <w:tc>
          <w:tcPr>
            <w:vAlign w:val="center"/>
          </w:tcPr>
          <w:p>
            <w:pPr>
              <w:jc w:val="right"/>
            </w:pPr>
            <w:r>
              <w:rPr>
                <w:color w:val="000000"/>
                <w:sz w:val="24"/>
                <w:szCs w:val="24"/>
              </w:rPr>
              <w:t>72,800</w:t>
            </w:r>
          </w:p>
        </w:tc>
        <w:tc>
          <w:tcPr>
            <w:vAlign w:val="center"/>
          </w:tcPr>
          <w:p>
            <w:pPr>
              <w:jc w:val="right"/>
            </w:pPr>
            <w:r>
              <w:rPr>
                <w:color w:val="000000"/>
                <w:sz w:val="24"/>
                <w:szCs w:val="24"/>
              </w:rPr>
              <w:t>7,405,216.00</w:t>
            </w:r>
          </w:p>
        </w:tc>
        <w:tc>
          <w:tcPr>
            <w:vAlign w:val="center"/>
          </w:tcPr>
          <w:p>
            <w:pPr>
              <w:jc w:val="right"/>
            </w:pPr>
            <w:r>
              <w:rPr>
                <w:color w:val="000000"/>
                <w:sz w:val="24"/>
                <w:szCs w:val="24"/>
              </w:rPr>
              <w:t>42.64</w:t>
            </w:r>
          </w:p>
        </w:tc>
      </w:tr>
      <w:tr>
        <w:tc>
          <w:tcPr>
            <w:vAlign w:val="center"/>
          </w:tcPr>
          <w:p>
            <w:pPr>
              <w:jc w:val="center"/>
            </w:pPr>
            <w:r>
              <w:rPr>
                <w:color w:val="000000"/>
                <w:sz w:val="24"/>
                <w:szCs w:val="24"/>
              </w:rPr>
              <w:t>2</w:t>
            </w:r>
          </w:p>
        </w:tc>
        <w:tc>
          <w:tcPr>
            <w:vAlign w:val="center"/>
          </w:tcPr>
          <w:p>
            <w:pPr>
              <w:jc w:val="center"/>
            </w:pPr>
            <w:r>
              <w:rPr>
                <w:color w:val="000000"/>
                <w:sz w:val="24"/>
                <w:szCs w:val="24"/>
              </w:rPr>
              <w:t>018006</w:t>
            </w:r>
          </w:p>
        </w:tc>
        <w:tc>
          <w:tcPr>
            <w:vAlign w:val="center"/>
          </w:tcPr>
          <w:p>
            <w:pPr>
              <w:jc w:val="center"/>
            </w:pPr>
            <w:r>
              <w:rPr>
                <w:color w:val="000000"/>
                <w:sz w:val="24"/>
                <w:szCs w:val="24"/>
              </w:rPr>
              <w:t>国开1702</w:t>
            </w:r>
          </w:p>
        </w:tc>
        <w:tc>
          <w:tcPr>
            <w:vAlign w:val="center"/>
          </w:tcPr>
          <w:p>
            <w:pPr>
              <w:jc w:val="right"/>
            </w:pPr>
            <w:r>
              <w:rPr>
                <w:color w:val="000000"/>
                <w:sz w:val="24"/>
                <w:szCs w:val="24"/>
              </w:rPr>
              <w:t>48,290</w:t>
            </w:r>
          </w:p>
        </w:tc>
        <w:tc>
          <w:tcPr>
            <w:vAlign w:val="center"/>
          </w:tcPr>
          <w:p>
            <w:pPr>
              <w:jc w:val="right"/>
            </w:pPr>
            <w:r>
              <w:rPr>
                <w:color w:val="000000"/>
                <w:sz w:val="24"/>
                <w:szCs w:val="24"/>
              </w:rPr>
              <w:t>4,921,233.90</w:t>
            </w:r>
          </w:p>
        </w:tc>
        <w:tc>
          <w:tcPr>
            <w:vAlign w:val="center"/>
          </w:tcPr>
          <w:p>
            <w:pPr>
              <w:jc w:val="right"/>
            </w:pPr>
            <w:r>
              <w:rPr>
                <w:color w:val="000000"/>
                <w:sz w:val="24"/>
                <w:szCs w:val="24"/>
              </w:rPr>
              <w:t>28.33</w:t>
            </w:r>
          </w:p>
        </w:tc>
      </w:tr>
      <w:tr>
        <w:tc>
          <w:tcPr>
            <w:vAlign w:val="center"/>
          </w:tcPr>
          <w:p>
            <w:pPr>
              <w:jc w:val="center"/>
            </w:pPr>
            <w:r>
              <w:rPr>
                <w:color w:val="000000"/>
                <w:sz w:val="24"/>
                <w:szCs w:val="24"/>
              </w:rPr>
              <w:t>3</w:t>
            </w:r>
          </w:p>
        </w:tc>
        <w:tc>
          <w:tcPr>
            <w:vAlign w:val="center"/>
          </w:tcPr>
          <w:p>
            <w:pPr>
              <w:jc w:val="center"/>
            </w:pPr>
            <w:r>
              <w:rPr>
                <w:color w:val="000000"/>
                <w:sz w:val="24"/>
                <w:szCs w:val="24"/>
              </w:rPr>
              <w:t>019627</w:t>
            </w:r>
          </w:p>
        </w:tc>
        <w:tc>
          <w:tcPr>
            <w:vAlign w:val="center"/>
          </w:tcPr>
          <w:p>
            <w:pPr>
              <w:jc w:val="center"/>
            </w:pPr>
            <w:r>
              <w:rPr>
                <w:color w:val="000000"/>
                <w:sz w:val="24"/>
                <w:szCs w:val="24"/>
              </w:rPr>
              <w:t>20国债01</w:t>
            </w:r>
          </w:p>
        </w:tc>
        <w:tc>
          <w:tcPr>
            <w:vAlign w:val="center"/>
          </w:tcPr>
          <w:p>
            <w:pPr>
              <w:jc w:val="right"/>
            </w:pPr>
            <w:r>
              <w:rPr>
                <w:color w:val="000000"/>
                <w:sz w:val="24"/>
                <w:szCs w:val="24"/>
              </w:rPr>
              <w:t>25,370</w:t>
            </w:r>
          </w:p>
        </w:tc>
        <w:tc>
          <w:tcPr>
            <w:vAlign w:val="center"/>
          </w:tcPr>
          <w:p>
            <w:pPr>
              <w:jc w:val="right"/>
            </w:pPr>
            <w:r>
              <w:rPr>
                <w:color w:val="000000"/>
                <w:sz w:val="24"/>
                <w:szCs w:val="24"/>
              </w:rPr>
              <w:t>2,534,463.00</w:t>
            </w:r>
          </w:p>
        </w:tc>
        <w:tc>
          <w:tcPr>
            <w:vAlign w:val="center"/>
          </w:tcPr>
          <w:p>
            <w:pPr>
              <w:jc w:val="right"/>
            </w:pPr>
            <w:r>
              <w:rPr>
                <w:color w:val="000000"/>
                <w:sz w:val="24"/>
                <w:szCs w:val="24"/>
              </w:rPr>
              <w:t>14.59</w:t>
            </w:r>
          </w:p>
        </w:tc>
      </w:tr>
      <w:tr>
        <w:tc>
          <w:tcPr>
            <w:vAlign w:val="center"/>
          </w:tcPr>
          <w:p>
            <w:pPr>
              <w:jc w:val="center"/>
            </w:pPr>
            <w:r>
              <w:rPr>
                <w:color w:val="000000"/>
                <w:sz w:val="24"/>
                <w:szCs w:val="24"/>
              </w:rPr>
              <w:t>4</w:t>
            </w:r>
          </w:p>
        </w:tc>
        <w:tc>
          <w:tcPr>
            <w:vAlign w:val="center"/>
          </w:tcPr>
          <w:p>
            <w:pPr>
              <w:jc w:val="center"/>
            </w:pPr>
            <w:r>
              <w:rPr>
                <w:color w:val="000000"/>
                <w:sz w:val="24"/>
                <w:szCs w:val="24"/>
              </w:rPr>
              <w:t>128112</w:t>
            </w:r>
          </w:p>
        </w:tc>
        <w:tc>
          <w:tcPr>
            <w:vAlign w:val="center"/>
          </w:tcPr>
          <w:p>
            <w:pPr>
              <w:jc w:val="center"/>
            </w:pPr>
            <w:r>
              <w:rPr>
                <w:color w:val="000000"/>
                <w:sz w:val="24"/>
                <w:szCs w:val="24"/>
              </w:rPr>
              <w:t>歌尔转2</w:t>
            </w:r>
          </w:p>
        </w:tc>
        <w:tc>
          <w:tcPr>
            <w:vAlign w:val="center"/>
          </w:tcPr>
          <w:p>
            <w:pPr>
              <w:jc w:val="right"/>
            </w:pPr>
            <w:r>
              <w:rPr>
                <w:color w:val="000000"/>
                <w:sz w:val="24"/>
                <w:szCs w:val="24"/>
              </w:rPr>
              <w:t>510</w:t>
            </w:r>
          </w:p>
        </w:tc>
        <w:tc>
          <w:tcPr>
            <w:vAlign w:val="center"/>
          </w:tcPr>
          <w:p>
            <w:pPr>
              <w:jc w:val="right"/>
            </w:pPr>
            <w:r>
              <w:rPr>
                <w:color w:val="000000"/>
                <w:sz w:val="24"/>
                <w:szCs w:val="24"/>
              </w:rPr>
              <w:t>89,913.00</w:t>
            </w:r>
          </w:p>
        </w:tc>
        <w:tc>
          <w:tcPr>
            <w:vAlign w:val="center"/>
          </w:tcPr>
          <w:p>
            <w:pPr>
              <w:jc w:val="right"/>
            </w:pPr>
            <w:r>
              <w:rPr>
                <w:color w:val="000000"/>
                <w:sz w:val="24"/>
                <w:szCs w:val="24"/>
              </w:rPr>
              <w:t>0.52</w:t>
            </w:r>
          </w:p>
        </w:tc>
      </w:tr>
      <w:tr>
        <w:tc>
          <w:tcPr>
            <w:vAlign w:val="center"/>
          </w:tcPr>
          <w:p>
            <w:pPr>
              <w:jc w:val="center"/>
            </w:pPr>
            <w:r>
              <w:rPr>
                <w:color w:val="000000"/>
                <w:sz w:val="24"/>
                <w:szCs w:val="24"/>
              </w:rPr>
              <w:t>5</w:t>
            </w:r>
          </w:p>
        </w:tc>
        <w:tc>
          <w:tcPr>
            <w:vAlign w:val="center"/>
          </w:tcPr>
          <w:p>
            <w:pPr>
              <w:jc w:val="center"/>
            </w:pPr>
            <w:r>
              <w:rPr>
                <w:color w:val="000000"/>
                <w:sz w:val="24"/>
                <w:szCs w:val="24"/>
              </w:rPr>
              <w:t>123061</w:t>
            </w:r>
          </w:p>
        </w:tc>
        <w:tc>
          <w:tcPr>
            <w:vAlign w:val="center"/>
          </w:tcPr>
          <w:p>
            <w:pPr>
              <w:jc w:val="center"/>
            </w:pPr>
            <w:r>
              <w:rPr>
                <w:color w:val="000000"/>
                <w:sz w:val="24"/>
                <w:szCs w:val="24"/>
              </w:rPr>
              <w:t>航新转债</w:t>
            </w:r>
          </w:p>
        </w:tc>
        <w:tc>
          <w:tcPr>
            <w:vAlign w:val="center"/>
          </w:tcPr>
          <w:p>
            <w:pPr>
              <w:jc w:val="right"/>
            </w:pPr>
            <w:r>
              <w:rPr>
                <w:color w:val="000000"/>
                <w:sz w:val="24"/>
                <w:szCs w:val="24"/>
              </w:rPr>
              <w:t>10</w:t>
            </w:r>
          </w:p>
        </w:tc>
        <w:tc>
          <w:tcPr>
            <w:vAlign w:val="center"/>
          </w:tcPr>
          <w:p>
            <w:pPr>
              <w:jc w:val="right"/>
            </w:pPr>
            <w:r>
              <w:rPr>
                <w:color w:val="000000"/>
                <w:sz w:val="24"/>
                <w:szCs w:val="24"/>
              </w:rPr>
              <w:t>1,297.40</w:t>
            </w:r>
          </w:p>
        </w:tc>
        <w:tc>
          <w:tcPr>
            <w:vAlign w:val="center"/>
          </w:tcPr>
          <w:p>
            <w:pPr>
              <w:jc w:val="right"/>
            </w:pPr>
            <w:r>
              <w:rPr>
                <w:color w:val="000000"/>
                <w:sz w:val="24"/>
                <w:szCs w:val="24"/>
              </w:rPr>
              <w:t>0.01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13,989.64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185,742.69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19.98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199,752.31</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13,790,776.42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392,804.84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2,058,782.33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12,124,798.93</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个人</w:t>
            </w:r>
          </w:p>
        </w:tc>
        <w:tc>
          <w:tcPr>
            <w:vAlign w:val="center"/>
          </w:tcPr>
          <w:p>
            <w:pPr>
              <w:jc w:val="center"/>
            </w:pPr>
            <w:r>
              <w:rPr>
                <w:rFonts w:ascii="宋体" w:hAnsi="宋体"/>
                <w:kern w:val="0"/>
              </w:rPr>
              <w:t>1</w:t>
            </w:r>
          </w:p>
        </w:tc>
        <w:tc>
          <w:tcPr>
            <w:vAlign w:val="center"/>
          </w:tcPr>
          <w:p>
            <w:pPr>
              <w:jc w:val="center"/>
            </w:pPr>
            <w:r>
              <w:rPr>
                <w:rFonts w:ascii="宋体" w:hAnsi="宋体"/>
                <w:kern w:val="0"/>
              </w:rPr>
              <w:t>2020/7/1-2020/9/30</w:t>
            </w:r>
          </w:p>
        </w:tc>
        <w:tc>
          <w:tcPr>
            <w:vAlign w:val="center"/>
          </w:tcPr>
          <w:p>
            <w:pPr>
              <w:jc w:val="center"/>
            </w:pPr>
            <w:r>
              <w:rPr>
                <w:rFonts w:ascii="宋体" w:hAnsi="宋体"/>
                <w:kern w:val="0"/>
              </w:rPr>
              <w:t>5,000,575.00</w:t>
            </w:r>
          </w:p>
        </w:tc>
        <w:tc>
          <w:tcPr>
            <w:vAlign w:val="center"/>
          </w:tcPr>
          <w:p>
            <w:pPr>
              <w:jc w:val="center"/>
            </w:pPr>
            <w:r>
              <w:rPr>
                <w:rFonts w:ascii="宋体" w:hAnsi="宋体"/>
                <w:kern w:val="0"/>
              </w:rPr>
              <w:t>-</w:t>
            </w:r>
          </w:p>
        </w:tc>
        <w:tc>
          <w:tcPr>
            <w:vAlign w:val="center"/>
          </w:tcPr>
          <w:p>
            <w:pPr>
              <w:jc w:val="center"/>
            </w:pPr>
            <w:r>
              <w:rPr>
                <w:rFonts w:ascii="宋体" w:hAnsi="宋体"/>
                <w:kern w:val="0"/>
              </w:rPr>
              <w:t>-</w:t>
            </w:r>
          </w:p>
        </w:tc>
        <w:tc>
          <w:tcPr>
            <w:vAlign w:val="center"/>
          </w:tcPr>
          <w:p>
            <w:pPr>
              <w:jc w:val="center"/>
            </w:pPr>
            <w:r>
              <w:rPr>
                <w:rFonts w:ascii="宋体" w:hAnsi="宋体"/>
                <w:kern w:val="0"/>
              </w:rPr>
              <w:t>5,000,575.00</w:t>
            </w:r>
          </w:p>
        </w:tc>
        <w:tc>
          <w:tcPr>
            <w:vAlign w:val="center"/>
          </w:tcPr>
          <w:p>
            <w:pPr>
              <w:jc w:val="center"/>
            </w:pPr>
            <w:r>
              <w:rPr>
                <w:rFonts w:ascii="宋体" w:hAnsi="宋体"/>
                <w:kern w:val="0"/>
              </w:rPr>
              <w:t>41.24%</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1、中国证监会批准交银施罗德荣泰保本混合型证券投资基金募集的文件； </w:t>
      </w:r>
    </w:p>
    <w:p>
      <w:pPr>
        <w:spacing w:before="29" w:line="288" w:lineRule="auto"/>
        <w:ind w:firstLine="480" w:firstLineChars="200"/>
        <w:rPr>
          <w:color w:val="000000"/>
          <w:sz w:val="24"/>
          <w:szCs w:val="24"/>
        </w:rPr>
      </w:pPr>
      <w:r>
        <w:rPr>
          <w:color w:val="000000"/>
          <w:sz w:val="24"/>
          <w:szCs w:val="24"/>
        </w:rPr>
        <w:t>2、《交银施罗德增强收益债券型证券投资基金基金合同》；</w:t>
      </w:r>
    </w:p>
    <w:p>
      <w:pPr>
        <w:spacing w:before="29" w:line="288" w:lineRule="auto"/>
        <w:ind w:firstLine="480" w:firstLineChars="200"/>
        <w:rPr>
          <w:color w:val="000000"/>
          <w:sz w:val="24"/>
          <w:szCs w:val="24"/>
        </w:rPr>
      </w:pPr>
      <w:r>
        <w:rPr>
          <w:color w:val="000000"/>
          <w:sz w:val="24"/>
          <w:szCs w:val="24"/>
        </w:rPr>
        <w:t>3、《交银施罗德增强收益债券型证券投资基金招募说明书》；</w:t>
      </w:r>
    </w:p>
    <w:p>
      <w:pPr>
        <w:spacing w:before="29" w:line="288" w:lineRule="auto"/>
        <w:ind w:firstLine="480" w:firstLineChars="200"/>
        <w:rPr>
          <w:color w:val="000000"/>
          <w:sz w:val="24"/>
          <w:szCs w:val="24"/>
        </w:rPr>
      </w:pPr>
      <w:r>
        <w:rPr>
          <w:color w:val="000000"/>
          <w:sz w:val="24"/>
          <w:szCs w:val="24"/>
        </w:rPr>
        <w:t>4、《交银施罗德增强收益债券型证券投资基金托管协议》；</w:t>
      </w:r>
    </w:p>
    <w:p>
      <w:pPr>
        <w:spacing w:before="29" w:line="288" w:lineRule="auto"/>
        <w:ind w:firstLine="480" w:firstLineChars="200"/>
        <w:rPr>
          <w:color w:val="000000"/>
          <w:sz w:val="24"/>
          <w:szCs w:val="24"/>
        </w:rPr>
      </w:pPr>
      <w:r>
        <w:rPr>
          <w:color w:val="000000"/>
          <w:sz w:val="24"/>
          <w:szCs w:val="24"/>
        </w:rPr>
        <w:t>5、《交银施罗德荣泰保本混合型证券投资基金基金合同》；</w:t>
      </w:r>
    </w:p>
    <w:p>
      <w:pPr>
        <w:spacing w:before="29" w:line="288" w:lineRule="auto"/>
        <w:ind w:firstLine="480" w:firstLineChars="200"/>
        <w:rPr>
          <w:color w:val="000000"/>
          <w:sz w:val="24"/>
          <w:szCs w:val="24"/>
        </w:rPr>
      </w:pPr>
      <w:r>
        <w:rPr>
          <w:color w:val="000000"/>
          <w:sz w:val="24"/>
          <w:szCs w:val="24"/>
        </w:rPr>
        <w:t>6、《交银施罗德荣泰保本混合型证券投资基金招募说明书》；</w:t>
      </w:r>
    </w:p>
    <w:p>
      <w:pPr>
        <w:spacing w:before="29" w:line="288" w:lineRule="auto"/>
        <w:ind w:firstLine="480" w:firstLineChars="200"/>
        <w:rPr>
          <w:color w:val="000000"/>
          <w:sz w:val="24"/>
          <w:szCs w:val="24"/>
        </w:rPr>
      </w:pPr>
      <w:r>
        <w:rPr>
          <w:color w:val="000000"/>
          <w:sz w:val="24"/>
          <w:szCs w:val="24"/>
        </w:rPr>
        <w:t>7、《交银施罗德荣泰保本混合型证券投资基金托管协议》；</w:t>
      </w:r>
    </w:p>
    <w:p>
      <w:pPr>
        <w:spacing w:before="29" w:line="288" w:lineRule="auto"/>
        <w:ind w:firstLine="480" w:firstLineChars="200"/>
        <w:rPr>
          <w:color w:val="000000"/>
          <w:sz w:val="24"/>
          <w:szCs w:val="24"/>
        </w:rPr>
      </w:pPr>
      <w:r>
        <w:rPr>
          <w:color w:val="000000"/>
          <w:sz w:val="24"/>
          <w:szCs w:val="24"/>
        </w:rPr>
        <w:t xml:space="preserve">8、《交银施罗德荣泰保本混合型证券投资基金保证合同》； </w:t>
      </w:r>
    </w:p>
    <w:p>
      <w:pPr>
        <w:spacing w:before="29" w:line="288" w:lineRule="auto"/>
        <w:ind w:firstLine="480" w:firstLineChars="200"/>
        <w:rPr>
          <w:color w:val="000000"/>
          <w:sz w:val="24"/>
          <w:szCs w:val="24"/>
        </w:rPr>
      </w:pPr>
      <w:r>
        <w:rPr>
          <w:color w:val="000000"/>
          <w:sz w:val="24"/>
          <w:szCs w:val="24"/>
        </w:rPr>
        <w:t>9、基金管理人业务资格批件、营业执照；</w:t>
      </w:r>
    </w:p>
    <w:p>
      <w:pPr>
        <w:spacing w:before="29" w:line="288" w:lineRule="auto"/>
        <w:ind w:firstLine="480" w:firstLineChars="200"/>
        <w:rPr>
          <w:color w:val="000000"/>
          <w:sz w:val="24"/>
          <w:szCs w:val="24"/>
        </w:rPr>
      </w:pPr>
      <w:r>
        <w:rPr>
          <w:color w:val="000000"/>
          <w:sz w:val="24"/>
          <w:szCs w:val="24"/>
        </w:rPr>
        <w:t>10、基金托管人业务资格批件、营业执照；</w:t>
      </w:r>
    </w:p>
    <w:p>
      <w:pPr>
        <w:spacing w:before="29" w:line="288" w:lineRule="auto"/>
        <w:ind w:firstLine="480" w:firstLineChars="200"/>
        <w:rPr>
          <w:color w:val="000000"/>
          <w:sz w:val="24"/>
          <w:szCs w:val="24"/>
        </w:rPr>
      </w:pPr>
      <w:r>
        <w:rPr>
          <w:color w:val="000000"/>
          <w:sz w:val="24"/>
          <w:szCs w:val="24"/>
        </w:rPr>
        <w:t>11、关于申请募集交银施罗德荣泰保本混合型证券投资基金之法律意见书；</w:t>
      </w:r>
    </w:p>
    <w:p>
      <w:pPr>
        <w:spacing w:before="29" w:line="288" w:lineRule="auto"/>
        <w:ind w:firstLine="480" w:firstLineChars="200"/>
        <w:rPr>
          <w:color w:val="000000"/>
          <w:sz w:val="24"/>
          <w:szCs w:val="24"/>
        </w:rPr>
      </w:pPr>
      <w:r>
        <w:rPr>
          <w:color w:val="000000"/>
          <w:sz w:val="24"/>
          <w:szCs w:val="24"/>
        </w:rPr>
        <w:t>12、关于交银施罗德荣泰保本混合型证券投资基金保本周期到期转型及基金合同修改的法律意见；</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13、报告期内交银施罗德增强收益债券型证券投资基金、交银施罗德荣泰保本混合型证券投资基金在指定报刊上各项公告的原稿。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交银施罗德增强收益债券型证券投资基金2020年第3季度报告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