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交银施罗德科技创新灵活配置混合型证券投资基金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2016年5月5日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152,819,586.14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 其中，本基金股票投资重点关注直接受益于科技创新红利、或在新科技、新技术推动下盈利水平长期显著提升的其他上市公司。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48,152,536.13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35,442,607.12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0.2322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288,274,870.33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1.886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13.89%</w:t>
            </w:r>
          </w:p>
        </w:tc>
        <w:tc>
          <w:tcPr>
            <w:vAlign w:val="center"/>
          </w:tcPr>
          <w:p>
            <w:pPr>
              <w:jc w:val="center"/>
            </w:pPr>
            <w:r>
              <w:rPr>
                <w:color w:val="000000"/>
                <w:sz w:val="24"/>
                <w:szCs w:val="24"/>
              </w:rPr>
              <w:t>1.84%</w:t>
            </w:r>
          </w:p>
        </w:tc>
        <w:tc>
          <w:tcPr>
            <w:vAlign w:val="center"/>
          </w:tcPr>
          <w:p>
            <w:pPr>
              <w:jc w:val="center"/>
            </w:pPr>
            <w:r>
              <w:rPr>
                <w:color w:val="000000"/>
                <w:sz w:val="24"/>
                <w:szCs w:val="24"/>
              </w:rPr>
              <w:t>5.96%</w:t>
            </w:r>
          </w:p>
        </w:tc>
        <w:tc>
          <w:tcPr>
            <w:vAlign w:val="center"/>
          </w:tcPr>
          <w:p>
            <w:pPr>
              <w:jc w:val="center"/>
            </w:pPr>
            <w:r>
              <w:rPr>
                <w:color w:val="000000"/>
                <w:sz w:val="24"/>
                <w:szCs w:val="24"/>
              </w:rPr>
              <w:t>0.96%</w:t>
            </w:r>
          </w:p>
        </w:tc>
        <w:tc>
          <w:tcPr>
            <w:vAlign w:val="center"/>
          </w:tcPr>
          <w:p>
            <w:pPr>
              <w:jc w:val="center"/>
            </w:pPr>
            <w:r>
              <w:rPr>
                <w:color w:val="000000"/>
                <w:sz w:val="24"/>
                <w:szCs w:val="24"/>
              </w:rPr>
              <w:t>7.93%</w:t>
            </w:r>
          </w:p>
        </w:tc>
        <w:tc>
          <w:tcPr>
            <w:vAlign w:val="center"/>
          </w:tcPr>
          <w:p>
            <w:pPr>
              <w:jc w:val="center"/>
            </w:pPr>
            <w:r>
              <w:rPr>
                <w:color w:val="000000"/>
                <w:sz w:val="24"/>
                <w:szCs w:val="24"/>
              </w:rPr>
              <w:t>0.88%</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42.77%</w:t>
            </w:r>
          </w:p>
        </w:tc>
        <w:tc>
          <w:tcPr>
            <w:vAlign w:val="center"/>
          </w:tcPr>
          <w:p>
            <w:pPr>
              <w:jc w:val="center"/>
            </w:pPr>
            <w:r>
              <w:rPr>
                <w:color w:val="000000"/>
                <w:sz w:val="24"/>
                <w:szCs w:val="24"/>
              </w:rPr>
              <w:t>1.64%</w:t>
            </w:r>
          </w:p>
        </w:tc>
        <w:tc>
          <w:tcPr>
            <w:vAlign w:val="center"/>
          </w:tcPr>
          <w:p>
            <w:pPr>
              <w:jc w:val="center"/>
            </w:pPr>
            <w:r>
              <w:rPr>
                <w:color w:val="000000"/>
                <w:sz w:val="24"/>
                <w:szCs w:val="24"/>
              </w:rPr>
              <w:t>13.95%</w:t>
            </w:r>
          </w:p>
        </w:tc>
        <w:tc>
          <w:tcPr>
            <w:vAlign w:val="center"/>
          </w:tcPr>
          <w:p>
            <w:pPr>
              <w:jc w:val="center"/>
            </w:pPr>
            <w:r>
              <w:rPr>
                <w:color w:val="000000"/>
                <w:sz w:val="24"/>
                <w:szCs w:val="24"/>
              </w:rPr>
              <w:t>0.79%</w:t>
            </w:r>
          </w:p>
        </w:tc>
        <w:tc>
          <w:tcPr>
            <w:vAlign w:val="center"/>
          </w:tcPr>
          <w:p>
            <w:pPr>
              <w:jc w:val="center"/>
            </w:pPr>
            <w:r>
              <w:rPr>
                <w:color w:val="000000"/>
                <w:sz w:val="24"/>
                <w:szCs w:val="24"/>
              </w:rPr>
              <w:t>28.82%</w:t>
            </w:r>
          </w:p>
        </w:tc>
        <w:tc>
          <w:tcPr>
            <w:vAlign w:val="center"/>
          </w:tcPr>
          <w:p>
            <w:pPr>
              <w:jc w:val="center"/>
            </w:pPr>
            <w:r>
              <w:rPr>
                <w:color w:val="000000"/>
                <w:sz w:val="24"/>
                <w:szCs w:val="24"/>
              </w:rPr>
              <w:t>0.85%</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48.39%</w:t>
            </w:r>
          </w:p>
        </w:tc>
        <w:tc>
          <w:tcPr>
            <w:vAlign w:val="center"/>
          </w:tcPr>
          <w:p>
            <w:pPr>
              <w:jc w:val="center"/>
            </w:pPr>
            <w:r>
              <w:rPr>
                <w:color w:val="000000"/>
                <w:sz w:val="24"/>
                <w:szCs w:val="24"/>
              </w:rPr>
              <w:t>1.73%</w:t>
            </w:r>
          </w:p>
        </w:tc>
        <w:tc>
          <w:tcPr>
            <w:vAlign w:val="center"/>
          </w:tcPr>
          <w:p>
            <w:pPr>
              <w:jc w:val="center"/>
            </w:pPr>
            <w:r>
              <w:rPr>
                <w:color w:val="000000"/>
                <w:sz w:val="24"/>
                <w:szCs w:val="24"/>
              </w:rPr>
              <w:t>13.70%</w:t>
            </w:r>
          </w:p>
        </w:tc>
        <w:tc>
          <w:tcPr>
            <w:vAlign w:val="center"/>
          </w:tcPr>
          <w:p>
            <w:pPr>
              <w:jc w:val="center"/>
            </w:pPr>
            <w:r>
              <w:rPr>
                <w:color w:val="000000"/>
                <w:sz w:val="24"/>
                <w:szCs w:val="24"/>
              </w:rPr>
              <w:t>0.83%</w:t>
            </w:r>
          </w:p>
        </w:tc>
        <w:tc>
          <w:tcPr>
            <w:vAlign w:val="center"/>
          </w:tcPr>
          <w:p>
            <w:pPr>
              <w:jc w:val="center"/>
            </w:pPr>
            <w:r>
              <w:rPr>
                <w:color w:val="000000"/>
                <w:sz w:val="24"/>
                <w:szCs w:val="24"/>
              </w:rPr>
              <w:t>34.69%</w:t>
            </w:r>
          </w:p>
        </w:tc>
        <w:tc>
          <w:tcPr>
            <w:vAlign w:val="center"/>
          </w:tcPr>
          <w:p>
            <w:pPr>
              <w:jc w:val="center"/>
            </w:pPr>
            <w:r>
              <w:rPr>
                <w:color w:val="000000"/>
                <w:sz w:val="24"/>
                <w:szCs w:val="24"/>
              </w:rPr>
              <w:t>0.90%</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95.04%</w:t>
            </w:r>
          </w:p>
        </w:tc>
        <w:tc>
          <w:tcPr>
            <w:vAlign w:val="center"/>
          </w:tcPr>
          <w:p>
            <w:pPr>
              <w:jc w:val="center"/>
            </w:pPr>
            <w:r>
              <w:rPr>
                <w:color w:val="000000"/>
                <w:sz w:val="24"/>
                <w:szCs w:val="24"/>
              </w:rPr>
              <w:t>1.78%</w:t>
            </w:r>
          </w:p>
        </w:tc>
        <w:tc>
          <w:tcPr>
            <w:vAlign w:val="center"/>
          </w:tcPr>
          <w:p>
            <w:pPr>
              <w:jc w:val="center"/>
            </w:pPr>
            <w:r>
              <w:rPr>
                <w:color w:val="000000"/>
                <w:sz w:val="24"/>
                <w:szCs w:val="24"/>
              </w:rPr>
              <w:t>19.47%</w:t>
            </w:r>
          </w:p>
        </w:tc>
        <w:tc>
          <w:tcPr>
            <w:vAlign w:val="center"/>
          </w:tcPr>
          <w:p>
            <w:pPr>
              <w:jc w:val="center"/>
            </w:pPr>
            <w:r>
              <w:rPr>
                <w:color w:val="000000"/>
                <w:sz w:val="24"/>
                <w:szCs w:val="24"/>
              </w:rPr>
              <w:t>0.79%</w:t>
            </w:r>
          </w:p>
        </w:tc>
        <w:tc>
          <w:tcPr>
            <w:vAlign w:val="center"/>
          </w:tcPr>
          <w:p>
            <w:pPr>
              <w:jc w:val="center"/>
            </w:pPr>
            <w:r>
              <w:rPr>
                <w:color w:val="000000"/>
                <w:sz w:val="24"/>
                <w:szCs w:val="24"/>
              </w:rPr>
              <w:t>75.57%</w:t>
            </w:r>
          </w:p>
        </w:tc>
        <w:tc>
          <w:tcPr>
            <w:vAlign w:val="center"/>
          </w:tcPr>
          <w:p>
            <w:pPr>
              <w:jc w:val="center"/>
            </w:pPr>
            <w:r>
              <w:rPr>
                <w:color w:val="000000"/>
                <w:sz w:val="24"/>
                <w:szCs w:val="24"/>
              </w:rPr>
              <w:t>0.99%</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90.43%</w:t>
            </w:r>
          </w:p>
        </w:tc>
        <w:tc>
          <w:tcPr>
            <w:vAlign w:val="center"/>
          </w:tcPr>
          <w:p>
            <w:pPr>
              <w:jc w:val="center"/>
            </w:pPr>
            <w:r>
              <w:rPr>
                <w:color w:val="000000"/>
                <w:sz w:val="24"/>
                <w:szCs w:val="24"/>
              </w:rPr>
              <w:t>1.64%</w:t>
            </w:r>
          </w:p>
        </w:tc>
        <w:tc>
          <w:tcPr>
            <w:vAlign w:val="center"/>
          </w:tcPr>
          <w:p>
            <w:pPr>
              <w:jc w:val="center"/>
            </w:pPr>
            <w:r>
              <w:rPr>
                <w:color w:val="000000"/>
                <w:sz w:val="24"/>
                <w:szCs w:val="24"/>
              </w:rPr>
              <w:t>34.42%</w:t>
            </w:r>
          </w:p>
        </w:tc>
        <w:tc>
          <w:tcPr>
            <w:vAlign w:val="center"/>
          </w:tcPr>
          <w:p>
            <w:pPr>
              <w:jc w:val="center"/>
            </w:pPr>
            <w:r>
              <w:rPr>
                <w:color w:val="000000"/>
                <w:sz w:val="24"/>
                <w:szCs w:val="24"/>
              </w:rPr>
              <w:t>0.70%</w:t>
            </w:r>
          </w:p>
        </w:tc>
        <w:tc>
          <w:tcPr>
            <w:vAlign w:val="center"/>
          </w:tcPr>
          <w:p>
            <w:pPr>
              <w:jc w:val="center"/>
            </w:pPr>
            <w:r>
              <w:rPr>
                <w:color w:val="000000"/>
                <w:sz w:val="24"/>
                <w:szCs w:val="24"/>
              </w:rPr>
              <w:t>56.01%</w:t>
            </w:r>
          </w:p>
        </w:tc>
        <w:tc>
          <w:tcPr>
            <w:vAlign w:val="center"/>
          </w:tcPr>
          <w:p>
            <w:pPr>
              <w:jc w:val="center"/>
            </w:pPr>
            <w:r>
              <w:rPr>
                <w:color w:val="000000"/>
                <w:sz w:val="24"/>
                <w:szCs w:val="24"/>
              </w:rPr>
              <w:t>0.94%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交银施罗德科技创新灵活配置混合型证券投资基金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2016年5月5日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芮晨</w:t>
            </w:r>
          </w:p>
        </w:tc>
        <w:tc>
          <w:tcPr>
            <w:vAlign w:val="center"/>
          </w:tcPr>
          <w:p>
            <w:pPr>
              <w:jc w:val="center"/>
            </w:pPr>
            <w:r>
              <w:rPr>
                <w:color w:val="000000"/>
                <w:sz w:val="24"/>
                <w:szCs w:val="24"/>
              </w:rPr>
              <w:t>交银科技创新灵活配置混合的基金经理</w:t>
            </w:r>
          </w:p>
        </w:tc>
        <w:tc>
          <w:tcPr>
            <w:vAlign w:val="center"/>
          </w:tcPr>
          <w:p>
            <w:pPr>
              <w:jc w:val="center"/>
            </w:pPr>
            <w:r>
              <w:rPr>
                <w:color w:val="000000"/>
                <w:sz w:val="24"/>
                <w:szCs w:val="24"/>
              </w:rPr>
              <w:t>2016-05-05</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芮晨先生，内蒙古科技大学工学士。历任深圳尚诚资产管理有限公司研究员、研究副总监，国联安基金管理有限公司行业研究员、投资经理，浙商证券资产管理有限公司投资主办。2015年加入交银施罗德基金管理有限公司。2016年8月16日至2019年5月29日担任交银施罗德数据产业灵活配置混合型证券投资基金的基金经理。2015年5月18日至2020年7月14日担任交银施罗德先锋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三季度，国内生产消费活动进一步恢复，国外疫情致死率大幅下降。三季度A股市场继续上涨，主板和创业板涨幅相对平均。行业层面，国防军工、汽车、食品饮料以及化工等板块涨幅居前，计算机、通信、电子及银行和地产的板块涨幅落后。</w:t>
      </w:r>
    </w:p>
    <w:p>
      <w:pPr>
        <w:spacing w:before="29" w:line="288" w:lineRule="auto"/>
        <w:ind w:firstLine="480" w:firstLineChars="200"/>
        <w:rPr>
          <w:color w:val="000000"/>
          <w:sz w:val="24"/>
          <w:szCs w:val="24"/>
        </w:rPr>
      </w:pPr>
      <w:r>
        <w:rPr>
          <w:color w:val="000000"/>
          <w:sz w:val="24"/>
          <w:szCs w:val="24"/>
        </w:rPr>
        <w:t>本基金在三季度保持中性偏高仓位，考虑到部分持仓公司的逻辑已经兑现，我们减持了化工等传统顺周期行业。保持了电子、军工，医药以及消费的仓位，同时小幅加仓了计算机。从整个季度来表现看，本基金跑赢业绩比较基准。</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我们对A股市场维持谨慎乐观的态度。考虑到当前的经济状况和利率水平，我们认为大类资产配置中权益仍然最优。但需注意以下几点：第一，随着十一月美国大选的临近，中美关系的波动可能会再次成为市场关注的焦点，A 股市场在四季度的波动可能会有所加大，我们需要从组合方面关注对回撤的控制。第二，连续两年的上涨使大部分优质股票的估值处于历史估值的上限，中长期的预期收益率可能有所调低。本基金后续拟保持中性略高仓位，按照成长为主、兼顾控回撤的配置思路。我们将关注科技、消费及金融等低估值龙头，坚守能力圈，做中长期布局，努力为持有人带来稳健持续的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258,246,099.37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258,246,099.37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23,415,052.02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9,635,731.60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3.31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291,296,882.99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188,675,012.68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65.45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26,366.38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13,847,059.68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55,645,621.89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11,639.10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13,036.86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14,333.66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258,246,099.37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89.58</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300395</w:t>
            </w:r>
          </w:p>
        </w:tc>
        <w:tc>
          <w:tcPr>
            <w:vAlign w:val="center"/>
          </w:tcPr>
          <w:p>
            <w:pPr>
              <w:jc w:val="center"/>
            </w:pPr>
            <w:r>
              <w:rPr>
                <w:color w:val="000000"/>
                <w:sz w:val="24"/>
                <w:szCs w:val="24"/>
              </w:rPr>
              <w:t>菲利华</w:t>
            </w:r>
          </w:p>
        </w:tc>
        <w:tc>
          <w:tcPr>
            <w:vAlign w:val="center"/>
          </w:tcPr>
          <w:p>
            <w:pPr>
              <w:jc w:val="right"/>
            </w:pPr>
            <w:r>
              <w:rPr>
                <w:color w:val="000000"/>
                <w:sz w:val="24"/>
                <w:szCs w:val="24"/>
              </w:rPr>
              <w:t>430,258</w:t>
            </w:r>
          </w:p>
        </w:tc>
        <w:tc>
          <w:tcPr>
            <w:vAlign w:val="center"/>
          </w:tcPr>
          <w:p>
            <w:pPr>
              <w:jc w:val="right"/>
            </w:pPr>
            <w:r>
              <w:rPr>
                <w:color w:val="000000"/>
                <w:sz w:val="24"/>
                <w:szCs w:val="24"/>
              </w:rPr>
              <w:t>18,664,592.04</w:t>
            </w:r>
          </w:p>
        </w:tc>
        <w:tc>
          <w:tcPr>
            <w:vAlign w:val="center"/>
          </w:tcPr>
          <w:p>
            <w:pPr>
              <w:jc w:val="right"/>
            </w:pPr>
            <w:r>
              <w:rPr>
                <w:color w:val="000000"/>
                <w:sz w:val="24"/>
                <w:szCs w:val="24"/>
              </w:rPr>
              <w:t>6.47</w:t>
            </w:r>
          </w:p>
        </w:tc>
      </w:tr>
      <w:tr>
        <w:tc>
          <w:tcPr>
            <w:vAlign w:val="center"/>
          </w:tcPr>
          <w:p>
            <w:pPr>
              <w:jc w:val="center"/>
            </w:pPr>
            <w:r>
              <w:rPr>
                <w:color w:val="000000"/>
                <w:sz w:val="24"/>
                <w:szCs w:val="24"/>
              </w:rPr>
              <w:t>2</w:t>
            </w:r>
          </w:p>
        </w:tc>
        <w:tc>
          <w:tcPr>
            <w:vAlign w:val="center"/>
          </w:tcPr>
          <w:p>
            <w:pPr>
              <w:jc w:val="center"/>
            </w:pPr>
            <w:r>
              <w:rPr>
                <w:color w:val="000000"/>
                <w:sz w:val="24"/>
                <w:szCs w:val="24"/>
              </w:rPr>
              <w:t>300601</w:t>
            </w:r>
          </w:p>
        </w:tc>
        <w:tc>
          <w:tcPr>
            <w:vAlign w:val="center"/>
          </w:tcPr>
          <w:p>
            <w:pPr>
              <w:jc w:val="center"/>
            </w:pPr>
            <w:r>
              <w:rPr>
                <w:color w:val="000000"/>
                <w:sz w:val="24"/>
                <w:szCs w:val="24"/>
              </w:rPr>
              <w:t>康泰生物</w:t>
            </w:r>
          </w:p>
        </w:tc>
        <w:tc>
          <w:tcPr>
            <w:vAlign w:val="center"/>
          </w:tcPr>
          <w:p>
            <w:pPr>
              <w:jc w:val="right"/>
            </w:pPr>
            <w:r>
              <w:rPr>
                <w:color w:val="000000"/>
                <w:sz w:val="24"/>
                <w:szCs w:val="24"/>
              </w:rPr>
              <w:t>101,531</w:t>
            </w:r>
          </w:p>
        </w:tc>
        <w:tc>
          <w:tcPr>
            <w:vAlign w:val="center"/>
          </w:tcPr>
          <w:p>
            <w:pPr>
              <w:jc w:val="right"/>
            </w:pPr>
            <w:r>
              <w:rPr>
                <w:color w:val="000000"/>
                <w:sz w:val="24"/>
                <w:szCs w:val="24"/>
              </w:rPr>
              <w:t>18,254,592.73</w:t>
            </w:r>
          </w:p>
        </w:tc>
        <w:tc>
          <w:tcPr>
            <w:vAlign w:val="center"/>
          </w:tcPr>
          <w:p>
            <w:pPr>
              <w:jc w:val="right"/>
            </w:pPr>
            <w:r>
              <w:rPr>
                <w:color w:val="000000"/>
                <w:sz w:val="24"/>
                <w:szCs w:val="24"/>
              </w:rPr>
              <w:t>6.33</w:t>
            </w:r>
          </w:p>
        </w:tc>
      </w:tr>
      <w:tr>
        <w:tc>
          <w:tcPr>
            <w:vAlign w:val="center"/>
          </w:tcPr>
          <w:p>
            <w:pPr>
              <w:jc w:val="center"/>
            </w:pPr>
            <w:r>
              <w:rPr>
                <w:color w:val="000000"/>
                <w:sz w:val="24"/>
                <w:szCs w:val="24"/>
              </w:rPr>
              <w:t>3</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148,328</w:t>
            </w:r>
          </w:p>
        </w:tc>
        <w:tc>
          <w:tcPr>
            <w:vAlign w:val="center"/>
          </w:tcPr>
          <w:p>
            <w:pPr>
              <w:jc w:val="right"/>
            </w:pPr>
            <w:r>
              <w:rPr>
                <w:color w:val="000000"/>
                <w:sz w:val="24"/>
                <w:szCs w:val="24"/>
              </w:rPr>
              <w:t>17,618,399.84</w:t>
            </w:r>
          </w:p>
        </w:tc>
        <w:tc>
          <w:tcPr>
            <w:vAlign w:val="center"/>
          </w:tcPr>
          <w:p>
            <w:pPr>
              <w:jc w:val="right"/>
            </w:pPr>
            <w:r>
              <w:rPr>
                <w:color w:val="000000"/>
                <w:sz w:val="24"/>
                <w:szCs w:val="24"/>
              </w:rPr>
              <w:t>6.11</w:t>
            </w:r>
          </w:p>
        </w:tc>
      </w:tr>
      <w:tr>
        <w:tc>
          <w:tcPr>
            <w:vAlign w:val="center"/>
          </w:tcPr>
          <w:p>
            <w:pPr>
              <w:jc w:val="center"/>
            </w:pPr>
            <w:r>
              <w:rPr>
                <w:color w:val="000000"/>
                <w:sz w:val="24"/>
                <w:szCs w:val="24"/>
              </w:rPr>
              <w:t>4</w:t>
            </w:r>
          </w:p>
        </w:tc>
        <w:tc>
          <w:tcPr>
            <w:vAlign w:val="center"/>
          </w:tcPr>
          <w:p>
            <w:pPr>
              <w:jc w:val="center"/>
            </w:pPr>
            <w:r>
              <w:rPr>
                <w:color w:val="000000"/>
                <w:sz w:val="24"/>
                <w:szCs w:val="24"/>
              </w:rPr>
              <w:t>603678</w:t>
            </w:r>
          </w:p>
        </w:tc>
        <w:tc>
          <w:tcPr>
            <w:vAlign w:val="center"/>
          </w:tcPr>
          <w:p>
            <w:pPr>
              <w:jc w:val="center"/>
            </w:pPr>
            <w:r>
              <w:rPr>
                <w:color w:val="000000"/>
                <w:sz w:val="24"/>
                <w:szCs w:val="24"/>
              </w:rPr>
              <w:t>火炬电子</w:t>
            </w:r>
          </w:p>
        </w:tc>
        <w:tc>
          <w:tcPr>
            <w:vAlign w:val="center"/>
          </w:tcPr>
          <w:p>
            <w:pPr>
              <w:jc w:val="right"/>
            </w:pPr>
            <w:r>
              <w:rPr>
                <w:color w:val="000000"/>
                <w:sz w:val="24"/>
                <w:szCs w:val="24"/>
              </w:rPr>
              <w:t>363,600</w:t>
            </w:r>
          </w:p>
        </w:tc>
        <w:tc>
          <w:tcPr>
            <w:vAlign w:val="center"/>
          </w:tcPr>
          <w:p>
            <w:pPr>
              <w:jc w:val="right"/>
            </w:pPr>
            <w:r>
              <w:rPr>
                <w:color w:val="000000"/>
                <w:sz w:val="24"/>
                <w:szCs w:val="24"/>
              </w:rPr>
              <w:t>16,769,232.00</w:t>
            </w:r>
          </w:p>
        </w:tc>
        <w:tc>
          <w:tcPr>
            <w:vAlign w:val="center"/>
          </w:tcPr>
          <w:p>
            <w:pPr>
              <w:jc w:val="right"/>
            </w:pPr>
            <w:r>
              <w:rPr>
                <w:color w:val="000000"/>
                <w:sz w:val="24"/>
                <w:szCs w:val="24"/>
              </w:rPr>
              <w:t>5.82</w:t>
            </w:r>
          </w:p>
        </w:tc>
      </w:tr>
      <w:tr>
        <w:tc>
          <w:tcPr>
            <w:vAlign w:val="center"/>
          </w:tcPr>
          <w:p>
            <w:pPr>
              <w:jc w:val="center"/>
            </w:pPr>
            <w:r>
              <w:rPr>
                <w:color w:val="000000"/>
                <w:sz w:val="24"/>
                <w:szCs w:val="24"/>
              </w:rPr>
              <w:t>5</w:t>
            </w:r>
          </w:p>
        </w:tc>
        <w:tc>
          <w:tcPr>
            <w:vAlign w:val="center"/>
          </w:tcPr>
          <w:p>
            <w:pPr>
              <w:jc w:val="center"/>
            </w:pPr>
            <w:r>
              <w:rPr>
                <w:color w:val="000000"/>
                <w:sz w:val="24"/>
                <w:szCs w:val="24"/>
              </w:rPr>
              <w:t>603267</w:t>
            </w:r>
          </w:p>
        </w:tc>
        <w:tc>
          <w:tcPr>
            <w:vAlign w:val="center"/>
          </w:tcPr>
          <w:p>
            <w:pPr>
              <w:jc w:val="center"/>
            </w:pPr>
            <w:r>
              <w:rPr>
                <w:color w:val="000000"/>
                <w:sz w:val="24"/>
                <w:szCs w:val="24"/>
              </w:rPr>
              <w:t>鸿远电子</w:t>
            </w:r>
          </w:p>
        </w:tc>
        <w:tc>
          <w:tcPr>
            <w:vAlign w:val="center"/>
          </w:tcPr>
          <w:p>
            <w:pPr>
              <w:jc w:val="right"/>
            </w:pPr>
            <w:r>
              <w:rPr>
                <w:color w:val="000000"/>
                <w:sz w:val="24"/>
                <w:szCs w:val="24"/>
              </w:rPr>
              <w:t>193,140</w:t>
            </w:r>
          </w:p>
        </w:tc>
        <w:tc>
          <w:tcPr>
            <w:vAlign w:val="center"/>
          </w:tcPr>
          <w:p>
            <w:pPr>
              <w:jc w:val="right"/>
            </w:pPr>
            <w:r>
              <w:rPr>
                <w:color w:val="000000"/>
                <w:sz w:val="24"/>
                <w:szCs w:val="24"/>
              </w:rPr>
              <w:t>16,445,871.00</w:t>
            </w:r>
          </w:p>
        </w:tc>
        <w:tc>
          <w:tcPr>
            <w:vAlign w:val="center"/>
          </w:tcPr>
          <w:p>
            <w:pPr>
              <w:jc w:val="right"/>
            </w:pPr>
            <w:r>
              <w:rPr>
                <w:color w:val="000000"/>
                <w:sz w:val="24"/>
                <w:szCs w:val="24"/>
              </w:rPr>
              <w:t>5.70</w:t>
            </w:r>
          </w:p>
        </w:tc>
      </w:tr>
      <w:tr>
        <w:tc>
          <w:tcPr>
            <w:vAlign w:val="center"/>
          </w:tcPr>
          <w:p>
            <w:pPr>
              <w:jc w:val="center"/>
            </w:pPr>
            <w:r>
              <w:rPr>
                <w:color w:val="000000"/>
                <w:sz w:val="24"/>
                <w:szCs w:val="24"/>
              </w:rPr>
              <w:t>6</w:t>
            </w:r>
          </w:p>
        </w:tc>
        <w:tc>
          <w:tcPr>
            <w:vAlign w:val="center"/>
          </w:tcPr>
          <w:p>
            <w:pPr>
              <w:jc w:val="center"/>
            </w:pPr>
            <w:r>
              <w:rPr>
                <w:color w:val="000000"/>
                <w:sz w:val="24"/>
                <w:szCs w:val="24"/>
              </w:rPr>
              <w:t>300454</w:t>
            </w:r>
          </w:p>
        </w:tc>
        <w:tc>
          <w:tcPr>
            <w:vAlign w:val="center"/>
          </w:tcPr>
          <w:p>
            <w:pPr>
              <w:jc w:val="center"/>
            </w:pPr>
            <w:r>
              <w:rPr>
                <w:color w:val="000000"/>
                <w:sz w:val="24"/>
                <w:szCs w:val="24"/>
              </w:rPr>
              <w:t>深信服</w:t>
            </w:r>
          </w:p>
        </w:tc>
        <w:tc>
          <w:tcPr>
            <w:vAlign w:val="center"/>
          </w:tcPr>
          <w:p>
            <w:pPr>
              <w:jc w:val="right"/>
            </w:pPr>
            <w:r>
              <w:rPr>
                <w:color w:val="000000"/>
                <w:sz w:val="24"/>
                <w:szCs w:val="24"/>
              </w:rPr>
              <w:t>70,900</w:t>
            </w:r>
          </w:p>
        </w:tc>
        <w:tc>
          <w:tcPr>
            <w:vAlign w:val="center"/>
          </w:tcPr>
          <w:p>
            <w:pPr>
              <w:jc w:val="right"/>
            </w:pPr>
            <w:r>
              <w:rPr>
                <w:color w:val="000000"/>
                <w:sz w:val="24"/>
                <w:szCs w:val="24"/>
              </w:rPr>
              <w:t>15,013,784.00</w:t>
            </w:r>
          </w:p>
        </w:tc>
        <w:tc>
          <w:tcPr>
            <w:vAlign w:val="center"/>
          </w:tcPr>
          <w:p>
            <w:pPr>
              <w:jc w:val="right"/>
            </w:pPr>
            <w:r>
              <w:rPr>
                <w:color w:val="000000"/>
                <w:sz w:val="24"/>
                <w:szCs w:val="24"/>
              </w:rPr>
              <w:t>5.21</w:t>
            </w:r>
          </w:p>
        </w:tc>
      </w:tr>
      <w:tr>
        <w:tc>
          <w:tcPr>
            <w:vAlign w:val="center"/>
          </w:tcPr>
          <w:p>
            <w:pPr>
              <w:jc w:val="center"/>
            </w:pPr>
            <w:r>
              <w:rPr>
                <w:color w:val="000000"/>
                <w:sz w:val="24"/>
                <w:szCs w:val="24"/>
              </w:rPr>
              <w:t>7</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174,046</w:t>
            </w:r>
          </w:p>
        </w:tc>
        <w:tc>
          <w:tcPr>
            <w:vAlign w:val="center"/>
          </w:tcPr>
          <w:p>
            <w:pPr>
              <w:jc w:val="right"/>
            </w:pPr>
            <w:r>
              <w:rPr>
                <w:color w:val="000000"/>
                <w:sz w:val="24"/>
                <w:szCs w:val="24"/>
              </w:rPr>
              <w:t>13,835,035.20</w:t>
            </w:r>
          </w:p>
        </w:tc>
        <w:tc>
          <w:tcPr>
            <w:vAlign w:val="center"/>
          </w:tcPr>
          <w:p>
            <w:pPr>
              <w:jc w:val="right"/>
            </w:pPr>
            <w:r>
              <w:rPr>
                <w:color w:val="000000"/>
                <w:sz w:val="24"/>
                <w:szCs w:val="24"/>
              </w:rPr>
              <w:t>4.80</w:t>
            </w:r>
          </w:p>
        </w:tc>
      </w:tr>
      <w:tr>
        <w:tc>
          <w:tcPr>
            <w:vAlign w:val="center"/>
          </w:tcPr>
          <w:p>
            <w:pPr>
              <w:jc w:val="center"/>
            </w:pPr>
            <w:r>
              <w:rPr>
                <w:color w:val="000000"/>
                <w:sz w:val="24"/>
                <w:szCs w:val="24"/>
              </w:rPr>
              <w:t>8</w:t>
            </w:r>
          </w:p>
        </w:tc>
        <w:tc>
          <w:tcPr>
            <w:vAlign w:val="center"/>
          </w:tcPr>
          <w:p>
            <w:pPr>
              <w:jc w:val="center"/>
            </w:pPr>
            <w:r>
              <w:rPr>
                <w:color w:val="000000"/>
                <w:sz w:val="24"/>
                <w:szCs w:val="24"/>
              </w:rPr>
              <w:t>300724</w:t>
            </w:r>
          </w:p>
        </w:tc>
        <w:tc>
          <w:tcPr>
            <w:vAlign w:val="center"/>
          </w:tcPr>
          <w:p>
            <w:pPr>
              <w:jc w:val="center"/>
            </w:pPr>
            <w:r>
              <w:rPr>
                <w:color w:val="000000"/>
                <w:sz w:val="24"/>
                <w:szCs w:val="24"/>
              </w:rPr>
              <w:t>捷佳伟创</w:t>
            </w:r>
          </w:p>
        </w:tc>
        <w:tc>
          <w:tcPr>
            <w:vAlign w:val="center"/>
          </w:tcPr>
          <w:p>
            <w:pPr>
              <w:jc w:val="right"/>
            </w:pPr>
            <w:r>
              <w:rPr>
                <w:color w:val="000000"/>
                <w:sz w:val="24"/>
                <w:szCs w:val="24"/>
              </w:rPr>
              <w:t>130,898</w:t>
            </w:r>
          </w:p>
        </w:tc>
        <w:tc>
          <w:tcPr>
            <w:vAlign w:val="center"/>
          </w:tcPr>
          <w:p>
            <w:pPr>
              <w:jc w:val="right"/>
            </w:pPr>
            <w:r>
              <w:rPr>
                <w:color w:val="000000"/>
                <w:sz w:val="24"/>
                <w:szCs w:val="24"/>
              </w:rPr>
              <w:t>13,754,761.84</w:t>
            </w:r>
          </w:p>
        </w:tc>
        <w:tc>
          <w:tcPr>
            <w:vAlign w:val="center"/>
          </w:tcPr>
          <w:p>
            <w:pPr>
              <w:jc w:val="right"/>
            </w:pPr>
            <w:r>
              <w:rPr>
                <w:color w:val="000000"/>
                <w:sz w:val="24"/>
                <w:szCs w:val="24"/>
              </w:rPr>
              <w:t>4.77</w:t>
            </w:r>
          </w:p>
        </w:tc>
      </w:tr>
      <w:tr>
        <w:tc>
          <w:tcPr>
            <w:vAlign w:val="center"/>
          </w:tcPr>
          <w:p>
            <w:pPr>
              <w:jc w:val="center"/>
            </w:pPr>
            <w:r>
              <w:rPr>
                <w:color w:val="000000"/>
                <w:sz w:val="24"/>
                <w:szCs w:val="24"/>
              </w:rPr>
              <w:t>9</w:t>
            </w:r>
          </w:p>
        </w:tc>
        <w:tc>
          <w:tcPr>
            <w:vAlign w:val="center"/>
          </w:tcPr>
          <w:p>
            <w:pPr>
              <w:jc w:val="center"/>
            </w:pPr>
            <w:r>
              <w:rPr>
                <w:color w:val="000000"/>
                <w:sz w:val="24"/>
                <w:szCs w:val="24"/>
              </w:rPr>
              <w:t>000725</w:t>
            </w:r>
          </w:p>
        </w:tc>
        <w:tc>
          <w:tcPr>
            <w:vAlign w:val="center"/>
          </w:tcPr>
          <w:p>
            <w:pPr>
              <w:jc w:val="center"/>
            </w:pPr>
            <w:r>
              <w:rPr>
                <w:color w:val="000000"/>
                <w:sz w:val="24"/>
                <w:szCs w:val="24"/>
              </w:rPr>
              <w:t>京东方A</w:t>
            </w:r>
          </w:p>
        </w:tc>
        <w:tc>
          <w:tcPr>
            <w:vAlign w:val="center"/>
          </w:tcPr>
          <w:p>
            <w:pPr>
              <w:jc w:val="right"/>
            </w:pPr>
            <w:r>
              <w:rPr>
                <w:color w:val="000000"/>
                <w:sz w:val="24"/>
                <w:szCs w:val="24"/>
              </w:rPr>
              <w:t>2,641,500</w:t>
            </w:r>
          </w:p>
        </w:tc>
        <w:tc>
          <w:tcPr>
            <w:vAlign w:val="center"/>
          </w:tcPr>
          <w:p>
            <w:pPr>
              <w:jc w:val="right"/>
            </w:pPr>
            <w:r>
              <w:rPr>
                <w:color w:val="000000"/>
                <w:sz w:val="24"/>
                <w:szCs w:val="24"/>
              </w:rPr>
              <w:t>12,969,765.00</w:t>
            </w:r>
          </w:p>
        </w:tc>
        <w:tc>
          <w:tcPr>
            <w:vAlign w:val="center"/>
          </w:tcPr>
          <w:p>
            <w:pPr>
              <w:jc w:val="right"/>
            </w:pPr>
            <w:r>
              <w:rPr>
                <w:color w:val="000000"/>
                <w:sz w:val="24"/>
                <w:szCs w:val="24"/>
              </w:rPr>
              <w:t>4.50</w:t>
            </w:r>
          </w:p>
        </w:tc>
      </w:tr>
      <w:tr>
        <w:tc>
          <w:tcPr>
            <w:vAlign w:val="center"/>
          </w:tcPr>
          <w:p>
            <w:pPr>
              <w:jc w:val="center"/>
            </w:pPr>
            <w:r>
              <w:rPr>
                <w:color w:val="000000"/>
                <w:sz w:val="24"/>
                <w:szCs w:val="24"/>
              </w:rPr>
              <w:t>10</w:t>
            </w:r>
          </w:p>
        </w:tc>
        <w:tc>
          <w:tcPr>
            <w:vAlign w:val="center"/>
          </w:tcPr>
          <w:p>
            <w:pPr>
              <w:jc w:val="center"/>
            </w:pPr>
            <w:r>
              <w:rPr>
                <w:color w:val="000000"/>
                <w:sz w:val="24"/>
                <w:szCs w:val="24"/>
              </w:rPr>
              <w:t>300572</w:t>
            </w:r>
          </w:p>
        </w:tc>
        <w:tc>
          <w:tcPr>
            <w:vAlign w:val="center"/>
          </w:tcPr>
          <w:p>
            <w:pPr>
              <w:jc w:val="center"/>
            </w:pPr>
            <w:r>
              <w:rPr>
                <w:color w:val="000000"/>
                <w:sz w:val="24"/>
                <w:szCs w:val="24"/>
              </w:rPr>
              <w:t>安车检测</w:t>
            </w:r>
          </w:p>
        </w:tc>
        <w:tc>
          <w:tcPr>
            <w:vAlign w:val="center"/>
          </w:tcPr>
          <w:p>
            <w:pPr>
              <w:jc w:val="right"/>
            </w:pPr>
            <w:r>
              <w:rPr>
                <w:color w:val="000000"/>
                <w:sz w:val="24"/>
                <w:szCs w:val="24"/>
              </w:rPr>
              <w:t>200,854</w:t>
            </w:r>
          </w:p>
        </w:tc>
        <w:tc>
          <w:tcPr>
            <w:vAlign w:val="center"/>
          </w:tcPr>
          <w:p>
            <w:pPr>
              <w:jc w:val="right"/>
            </w:pPr>
            <w:r>
              <w:rPr>
                <w:color w:val="000000"/>
                <w:sz w:val="24"/>
                <w:szCs w:val="24"/>
              </w:rPr>
              <w:t>12,894,826.80</w:t>
            </w:r>
          </w:p>
        </w:tc>
        <w:tc>
          <w:tcPr>
            <w:vAlign w:val="center"/>
          </w:tcPr>
          <w:p>
            <w:pPr>
              <w:jc w:val="right"/>
            </w:pPr>
            <w:r>
              <w:rPr>
                <w:color w:val="000000"/>
                <w:sz w:val="24"/>
                <w:szCs w:val="24"/>
              </w:rPr>
              <w:t>4.47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114,011.72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8,881,783.54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3,123.04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636,813.30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9,635,731.60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066A97" w:rsidR="00066A97" w:rsidRDefault="00066A97"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5F1F22">
            <w:pPr>
              <w:spacing w:before="29" w:line="288" w:lineRule="auto"/>
              <w:ind w:left="17"/>
              <w:jc w:val="center"/>
              <w:rPr>
                <w:color w:val="000000"/>
                <w:sz w:val="24"/>
                <w:szCs w:val="24"/>
              </w:rPr>
            </w:pPr>
            <w:r w:rsidRPr="00414345">
              <w:rPr>
                <w:color w:val="000000"/>
                <w:sz w:val="24"/>
                <w:szCs w:val="24"/>
              </w:rPr>
              <w:t>流通受限部分的公允价值</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5,386,500.00</w:t>
            </w:r>
          </w:p>
        </w:tc>
        <w:tc>
          <w:tcPr>
            <w:vAlign w:val="center"/>
          </w:tcPr>
          <w:p>
            <w:pPr>
              <w:jc w:val="right"/>
            </w:pPr>
            <w:r>
              <w:rPr>
                <w:color w:val="000000"/>
                <w:sz w:val="24"/>
                <w:szCs w:val="24"/>
              </w:rPr>
              <w:t>1.87</w:t>
            </w:r>
          </w:p>
        </w:tc>
        <w:tc>
          <w:tcPr>
            <w:vAlign w:val="center"/>
          </w:tcPr>
          <w:p>
            <w:pPr>
              <w:jc w:val="right"/>
            </w:pPr>
            <w:r>
              <w:rPr>
                <w:color w:val="000000"/>
                <w:sz w:val="24"/>
                <w:szCs w:val="24"/>
              </w:rPr>
              <w:t>限售股</w:t>
            </w:r>
          </w:p>
        </w:tc>
      </w:tr>
      <w:tr>
        <w:tc>
          <w:tcPr>
            <w:vAlign w:val="center"/>
          </w:tcPr>
          <w:p>
            <w:pPr>
              <w:jc w:val="center"/>
            </w:pPr>
            <w:r>
              <w:rPr>
                <w:color w:val="000000"/>
                <w:sz w:val="24"/>
                <w:szCs w:val="24"/>
              </w:rPr>
              <w:t>2</w:t>
            </w:r>
          </w:p>
        </w:tc>
        <w:tc>
          <w:tcPr>
            <w:vAlign w:val="center"/>
          </w:tcPr>
          <w:p>
            <w:pPr>
              <w:jc w:val="center"/>
            </w:pPr>
            <w:r>
              <w:rPr>
                <w:color w:val="000000"/>
                <w:sz w:val="24"/>
                <w:szCs w:val="24"/>
              </w:rPr>
              <w:t>300601</w:t>
            </w:r>
          </w:p>
        </w:tc>
        <w:tc>
          <w:tcPr>
            <w:vAlign w:val="center"/>
          </w:tcPr>
          <w:p>
            <w:pPr>
              <w:jc w:val="center"/>
            </w:pPr>
            <w:r>
              <w:rPr>
                <w:color w:val="000000"/>
                <w:sz w:val="24"/>
                <w:szCs w:val="24"/>
              </w:rPr>
              <w:t>康泰生物</w:t>
            </w:r>
          </w:p>
        </w:tc>
        <w:tc>
          <w:tcPr>
            <w:vAlign w:val="center"/>
          </w:tcPr>
          <w:p>
            <w:pPr>
              <w:jc w:val="right"/>
            </w:pPr>
            <w:r>
              <w:rPr>
                <w:color w:val="000000"/>
                <w:sz w:val="24"/>
                <w:szCs w:val="24"/>
              </w:rPr>
              <w:t>3,438,978.73</w:t>
            </w:r>
          </w:p>
        </w:tc>
        <w:tc>
          <w:tcPr>
            <w:vAlign w:val="center"/>
          </w:tcPr>
          <w:p>
            <w:pPr>
              <w:jc w:val="right"/>
            </w:pPr>
            <w:r>
              <w:rPr>
                <w:color w:val="000000"/>
                <w:sz w:val="24"/>
                <w:szCs w:val="24"/>
              </w:rPr>
              <w:t>1.19</w:t>
            </w:r>
          </w:p>
        </w:tc>
        <w:tc>
          <w:tcPr>
            <w:vAlign w:val="center"/>
          </w:tcPr>
          <w:p>
            <w:pPr>
              <w:jc w:val="right"/>
            </w:pPr>
            <w:r>
              <w:rPr>
                <w:color w:val="000000"/>
                <w:sz w:val="24"/>
                <w:szCs w:val="24"/>
              </w:rPr>
              <w:t>非公开发行</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156,228,597.86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44,953,190.43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48,362,202.15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152,819,586.14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2020/7/1-2020/9/30</w:t>
            </w:r>
          </w:p>
        </w:tc>
        <w:tc>
          <w:tcPr>
            <w:vAlign w:val="center"/>
          </w:tcPr>
          <w:p>
            <w:pPr>
              <w:jc w:val="center"/>
            </w:pPr>
            <w:r>
              <w:rPr>
                <w:rFonts w:ascii="宋体" w:hAnsi="宋体"/>
                <w:color w:val="000000"/>
                <w:kern w:val="0"/>
              </w:rPr>
              <w:t>35,575,989.78</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35,575,989.78</w:t>
            </w:r>
          </w:p>
        </w:tc>
        <w:tc>
          <w:tcPr>
            <w:vAlign w:val="center"/>
          </w:tcPr>
          <w:p>
            <w:pPr>
              <w:jc w:val="center"/>
            </w:pPr>
            <w:r>
              <w:rPr>
                <w:rFonts w:ascii="宋体" w:hAnsi="宋体"/>
                <w:color w:val="000000"/>
                <w:kern w:val="0"/>
              </w:rPr>
              <w:t>23.28%</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1、中国证监会准予交银施罗德科技创新灵活配置混合型证券投资基金募集注册的文件；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2、《交银施罗德科技创新灵活配置混合型证券投资基金基金合同》；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3、《交银施罗德科技创新灵活配置混合型证券投资基金招募说明书》；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4、《交银施罗德科技创新灵活配置混合型证券投资基金托管协议》；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5、关于申请募集注册交银施罗德科技创新灵活配置混合型证券投资基金的法律意见书；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8、报告期内交银施罗德科技创新灵活配置混合型证券投资基金在指定报刊上各项公告的原稿。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交银施罗德科技创新灵活配置混合型证券投资基金2020年第3季度报告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