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交银施罗德启明混合型证券投资基金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二〇二〇年十月二十八日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1E5629" w:rsidRDefault="00F126FE">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2020</w:t>
      </w:r>
      <w:r>
        <w:rPr>
          <w:color w:val="000000"/>
          <w:sz w:val="24"/>
          <w:szCs w:val="24"/>
        </w:rPr>
        <w:t>年</w:t>
      </w:r>
      <w:r>
        <w:rPr>
          <w:color w:val="000000"/>
          <w:sz w:val="24"/>
          <w:szCs w:val="24"/>
        </w:rPr>
        <w:t>10</w:t>
      </w:r>
      <w:r>
        <w:rPr>
          <w:color w:val="000000"/>
          <w:sz w:val="24"/>
          <w:szCs w:val="24"/>
        </w:rPr>
        <w:t>月</w:t>
      </w:r>
      <w:r>
        <w:rPr>
          <w:color w:val="000000"/>
          <w:sz w:val="24"/>
          <w:szCs w:val="24"/>
        </w:rPr>
        <w:t>27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交银启明混合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009402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009402</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2020</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3,036,627,966.56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在合理控制风险并保持基金资产良好流动性的前提下，充分发挥专业研究与管理能力，追求超越业绩比较基准的投资回报，力争实现基金资产的长期稳健增值。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×70%+</w:t>
            </w:r>
            <w:r w:rsidRPr="00414345">
              <w:rPr>
                <w:color w:val="000000"/>
                <w:kern w:val="0"/>
                <w:sz w:val="24"/>
                <w:szCs w:val="24"/>
              </w:rPr>
              <w:t>恒生指数收益率</w:t>
            </w:r>
            <w:r w:rsidRPr="00414345">
              <w:rPr>
                <w:color w:val="000000"/>
                <w:kern w:val="0"/>
                <w:sz w:val="24"/>
                <w:szCs w:val="24"/>
              </w:rPr>
              <w:t>×5%+</w:t>
            </w:r>
            <w:r w:rsidRPr="00414345">
              <w:rPr>
                <w:color w:val="000000"/>
                <w:kern w:val="0"/>
                <w:sz w:val="24"/>
                <w:szCs w:val="24"/>
              </w:rPr>
              <w:t>中证</w:t>
            </w:r>
            <w:r w:rsidRPr="00414345">
              <w:rPr>
                <w:color w:val="000000"/>
                <w:kern w:val="0"/>
                <w:sz w:val="24"/>
                <w:szCs w:val="24"/>
              </w:rPr>
              <w:lastRenderedPageBreak/>
              <w:t>综合债券指数收益率</w:t>
            </w:r>
            <w:r w:rsidRPr="00414345">
              <w:rPr>
                <w:color w:val="000000"/>
                <w:kern w:val="0"/>
                <w:sz w:val="24"/>
                <w:szCs w:val="24"/>
              </w:rPr>
              <w:t>×25%</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1E5629" w:rsidRDefault="00F126FE">
            <w:pPr>
              <w:adjustRightInd w:val="0"/>
              <w:spacing w:before="29" w:line="288" w:lineRule="auto"/>
              <w:ind w:left="17"/>
              <w:jc w:val="left"/>
              <w:rPr>
                <w:color w:val="000000"/>
                <w:sz w:val="24"/>
                <w:szCs w:val="24"/>
              </w:rPr>
            </w:pPr>
            <w:r>
              <w:rPr>
                <w:color w:val="000000"/>
                <w:kern w:val="0"/>
                <w:sz w:val="24"/>
                <w:szCs w:val="24"/>
              </w:rPr>
              <w:t>本基金是一只混合型基金，其预期风险和预期收益高于债券型基金和货币市场基金，低于股票型基金。</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本基金可投资港股通标的股票，会面临港股通机制下因投资环境、投资标的、市场制度以及交易规则等差异带来的特有风险。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126FE" w:rsidRPr="00414345" w:rsidTr="00F126FE">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F126FE" w:rsidRPr="00414345" w:rsidTr="00F126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159,650,476.71</w:t>
            </w:r>
          </w:p>
        </w:tc>
      </w:tr>
      <w:tr w:rsidR="00F126FE" w:rsidRPr="00414345" w:rsidTr="00F126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536,246,400.78</w:t>
            </w:r>
          </w:p>
        </w:tc>
      </w:tr>
      <w:tr w:rsidR="00F126FE" w:rsidRPr="00414345" w:rsidTr="00F126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0.1405</w:t>
            </w:r>
          </w:p>
        </w:tc>
      </w:tr>
      <w:tr w:rsidR="00F126FE" w:rsidRPr="00414345" w:rsidTr="00F126FE">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3,409,930,469.11</w:t>
            </w:r>
          </w:p>
        </w:tc>
      </w:tr>
      <w:tr w:rsidR="00F126FE" w:rsidRPr="00414345" w:rsidTr="00F126FE">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1.1229</w:t>
            </w:r>
          </w:p>
        </w:tc>
      </w:tr>
    </w:tbl>
    <w:p w:rsidR="001E5629" w:rsidRDefault="00F126FE">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1E5629">
        <w:trPr>
          <w:jc w:val="center"/>
        </w:trPr>
        <w:tc>
          <w:tcPr>
            <w:tcW w:w="1701" w:type="dxa"/>
            <w:vAlign w:val="center"/>
          </w:tcPr>
          <w:p w:rsidR="001E5629" w:rsidRDefault="00F126FE">
            <w:pPr>
              <w:jc w:val="left"/>
            </w:pPr>
            <w:r>
              <w:rPr>
                <w:color w:val="000000"/>
                <w:sz w:val="24"/>
                <w:szCs w:val="24"/>
              </w:rPr>
              <w:t>过去三个月</w:t>
            </w:r>
          </w:p>
        </w:tc>
        <w:tc>
          <w:tcPr>
            <w:tcW w:w="1045" w:type="dxa"/>
            <w:vAlign w:val="center"/>
          </w:tcPr>
          <w:p w:rsidR="001E5629" w:rsidRDefault="00F126FE">
            <w:pPr>
              <w:jc w:val="center"/>
            </w:pPr>
            <w:r>
              <w:rPr>
                <w:color w:val="000000"/>
                <w:sz w:val="24"/>
                <w:szCs w:val="24"/>
              </w:rPr>
              <w:t>11.80%</w:t>
            </w:r>
          </w:p>
        </w:tc>
        <w:tc>
          <w:tcPr>
            <w:tcW w:w="1344" w:type="dxa"/>
            <w:vAlign w:val="center"/>
          </w:tcPr>
          <w:p w:rsidR="001E5629" w:rsidRDefault="00F126FE">
            <w:pPr>
              <w:jc w:val="center"/>
            </w:pPr>
            <w:r>
              <w:rPr>
                <w:color w:val="000000"/>
                <w:sz w:val="24"/>
                <w:szCs w:val="24"/>
              </w:rPr>
              <w:t>1.28%</w:t>
            </w:r>
          </w:p>
        </w:tc>
        <w:tc>
          <w:tcPr>
            <w:tcW w:w="1194" w:type="dxa"/>
            <w:vAlign w:val="center"/>
          </w:tcPr>
          <w:p w:rsidR="001E5629" w:rsidRDefault="00F126FE">
            <w:pPr>
              <w:jc w:val="center"/>
            </w:pPr>
            <w:r>
              <w:rPr>
                <w:color w:val="000000"/>
                <w:sz w:val="24"/>
                <w:szCs w:val="24"/>
              </w:rPr>
              <w:t>6.84%</w:t>
            </w:r>
          </w:p>
        </w:tc>
        <w:tc>
          <w:tcPr>
            <w:tcW w:w="1492" w:type="dxa"/>
            <w:vAlign w:val="center"/>
          </w:tcPr>
          <w:p w:rsidR="001E5629" w:rsidRDefault="00F126FE">
            <w:pPr>
              <w:jc w:val="center"/>
            </w:pPr>
            <w:r>
              <w:rPr>
                <w:color w:val="000000"/>
                <w:sz w:val="24"/>
                <w:szCs w:val="24"/>
              </w:rPr>
              <w:t>1.16%</w:t>
            </w:r>
          </w:p>
        </w:tc>
        <w:tc>
          <w:tcPr>
            <w:tcW w:w="1194" w:type="dxa"/>
            <w:vAlign w:val="center"/>
          </w:tcPr>
          <w:p w:rsidR="001E5629" w:rsidRDefault="00F126FE">
            <w:pPr>
              <w:jc w:val="center"/>
            </w:pPr>
            <w:r>
              <w:rPr>
                <w:color w:val="000000"/>
                <w:sz w:val="24"/>
                <w:szCs w:val="24"/>
              </w:rPr>
              <w:t>4.96%</w:t>
            </w:r>
          </w:p>
        </w:tc>
        <w:tc>
          <w:tcPr>
            <w:tcW w:w="898" w:type="dxa"/>
            <w:vAlign w:val="center"/>
          </w:tcPr>
          <w:p w:rsidR="001E5629" w:rsidRDefault="00F126FE">
            <w:pPr>
              <w:jc w:val="center"/>
            </w:pPr>
            <w:r>
              <w:rPr>
                <w:color w:val="000000"/>
                <w:sz w:val="24"/>
                <w:szCs w:val="24"/>
              </w:rPr>
              <w:t>0.12%</w:t>
            </w:r>
          </w:p>
        </w:tc>
      </w:tr>
      <w:tr w:rsidR="001E5629">
        <w:trPr>
          <w:jc w:val="center"/>
        </w:trPr>
        <w:tc>
          <w:tcPr>
            <w:tcW w:w="1701" w:type="dxa"/>
            <w:vAlign w:val="center"/>
          </w:tcPr>
          <w:p w:rsidR="001E5629" w:rsidRDefault="00F126FE">
            <w:pPr>
              <w:jc w:val="left"/>
            </w:pPr>
            <w:r>
              <w:rPr>
                <w:color w:val="000000"/>
                <w:sz w:val="24"/>
                <w:szCs w:val="24"/>
              </w:rPr>
              <w:t>自基金合同生效至今</w:t>
            </w:r>
          </w:p>
        </w:tc>
        <w:tc>
          <w:tcPr>
            <w:tcW w:w="1045" w:type="dxa"/>
            <w:vAlign w:val="center"/>
          </w:tcPr>
          <w:p w:rsidR="001E5629" w:rsidRDefault="00F126FE">
            <w:pPr>
              <w:jc w:val="center"/>
            </w:pPr>
            <w:r>
              <w:rPr>
                <w:color w:val="000000"/>
                <w:sz w:val="24"/>
                <w:szCs w:val="24"/>
              </w:rPr>
              <w:t>12.29%</w:t>
            </w:r>
          </w:p>
        </w:tc>
        <w:tc>
          <w:tcPr>
            <w:tcW w:w="1344" w:type="dxa"/>
            <w:vAlign w:val="center"/>
          </w:tcPr>
          <w:p w:rsidR="001E5629" w:rsidRDefault="00F126FE">
            <w:pPr>
              <w:jc w:val="center"/>
            </w:pPr>
            <w:r>
              <w:rPr>
                <w:color w:val="000000"/>
                <w:sz w:val="24"/>
                <w:szCs w:val="24"/>
              </w:rPr>
              <w:t>1.10%</w:t>
            </w:r>
          </w:p>
        </w:tc>
        <w:tc>
          <w:tcPr>
            <w:tcW w:w="1194" w:type="dxa"/>
            <w:vAlign w:val="center"/>
          </w:tcPr>
          <w:p w:rsidR="001E5629" w:rsidRDefault="00F126FE">
            <w:pPr>
              <w:jc w:val="center"/>
            </w:pPr>
            <w:r>
              <w:rPr>
                <w:color w:val="000000"/>
                <w:sz w:val="24"/>
                <w:szCs w:val="24"/>
              </w:rPr>
              <w:t>12.39%</w:t>
            </w:r>
          </w:p>
        </w:tc>
        <w:tc>
          <w:tcPr>
            <w:tcW w:w="1492" w:type="dxa"/>
            <w:vAlign w:val="center"/>
          </w:tcPr>
          <w:p w:rsidR="001E5629" w:rsidRDefault="00F126FE">
            <w:pPr>
              <w:jc w:val="center"/>
            </w:pPr>
            <w:r>
              <w:rPr>
                <w:color w:val="000000"/>
                <w:sz w:val="24"/>
                <w:szCs w:val="24"/>
              </w:rPr>
              <w:t>1.05%</w:t>
            </w:r>
          </w:p>
        </w:tc>
        <w:tc>
          <w:tcPr>
            <w:tcW w:w="1194" w:type="dxa"/>
            <w:vAlign w:val="center"/>
          </w:tcPr>
          <w:p w:rsidR="001E5629" w:rsidRDefault="00F126FE">
            <w:pPr>
              <w:jc w:val="center"/>
            </w:pPr>
            <w:r>
              <w:rPr>
                <w:color w:val="000000"/>
                <w:sz w:val="24"/>
                <w:szCs w:val="24"/>
              </w:rPr>
              <w:t>-0.10%</w:t>
            </w:r>
          </w:p>
        </w:tc>
        <w:tc>
          <w:tcPr>
            <w:tcW w:w="898" w:type="dxa"/>
            <w:vAlign w:val="center"/>
          </w:tcPr>
          <w:p w:rsidR="001E5629" w:rsidRDefault="00F126FE">
            <w:pPr>
              <w:jc w:val="center"/>
            </w:pPr>
            <w:r>
              <w:rPr>
                <w:color w:val="000000"/>
                <w:sz w:val="24"/>
                <w:szCs w:val="24"/>
              </w:rPr>
              <w:t>0.05%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交银施罗德启明混合型证券投资基金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2020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2020</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27</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w:t>
      </w:r>
      <w:r w:rsidRPr="00414345">
        <w:rPr>
          <w:color w:val="000000"/>
          <w:sz w:val="24"/>
          <w:szCs w:val="24"/>
        </w:rPr>
        <w:t>2020</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日，本基金尚处于建仓期。</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1E5629">
        <w:trPr>
          <w:jc w:val="center"/>
        </w:trPr>
        <w:tc>
          <w:tcPr>
            <w:tcW w:w="846" w:type="dxa"/>
            <w:vAlign w:val="center"/>
          </w:tcPr>
          <w:p w:rsidR="001E5629" w:rsidRDefault="00F126FE">
            <w:pPr>
              <w:jc w:val="center"/>
            </w:pPr>
            <w:r>
              <w:rPr>
                <w:color w:val="000000"/>
                <w:sz w:val="24"/>
                <w:szCs w:val="24"/>
              </w:rPr>
              <w:t>刘鹏</w:t>
            </w:r>
          </w:p>
        </w:tc>
        <w:tc>
          <w:tcPr>
            <w:tcW w:w="845" w:type="dxa"/>
            <w:vAlign w:val="center"/>
          </w:tcPr>
          <w:p w:rsidR="001E5629" w:rsidRDefault="00F126FE">
            <w:pPr>
              <w:jc w:val="center"/>
            </w:pPr>
            <w:r>
              <w:rPr>
                <w:color w:val="000000"/>
                <w:sz w:val="24"/>
                <w:szCs w:val="24"/>
              </w:rPr>
              <w:t>交银先进制造混合、交银启明混合的基金经理</w:t>
            </w:r>
          </w:p>
        </w:tc>
        <w:tc>
          <w:tcPr>
            <w:tcW w:w="1549" w:type="dxa"/>
            <w:vAlign w:val="center"/>
          </w:tcPr>
          <w:p w:rsidR="001E5629" w:rsidRDefault="00F126FE">
            <w:pPr>
              <w:jc w:val="center"/>
            </w:pPr>
            <w:r>
              <w:rPr>
                <w:color w:val="000000"/>
                <w:sz w:val="24"/>
                <w:szCs w:val="24"/>
              </w:rPr>
              <w:t>2020-05-27</w:t>
            </w:r>
          </w:p>
        </w:tc>
        <w:tc>
          <w:tcPr>
            <w:tcW w:w="1548" w:type="dxa"/>
            <w:vAlign w:val="center"/>
          </w:tcPr>
          <w:p w:rsidR="001E5629" w:rsidRDefault="00F126FE">
            <w:pPr>
              <w:jc w:val="center"/>
            </w:pPr>
            <w:r>
              <w:rPr>
                <w:color w:val="000000"/>
                <w:sz w:val="24"/>
                <w:szCs w:val="24"/>
              </w:rPr>
              <w:t>-</w:t>
            </w:r>
          </w:p>
        </w:tc>
        <w:tc>
          <w:tcPr>
            <w:tcW w:w="1407" w:type="dxa"/>
            <w:vAlign w:val="center"/>
          </w:tcPr>
          <w:p w:rsidR="001E5629" w:rsidRDefault="00F126FE">
            <w:pPr>
              <w:jc w:val="center"/>
            </w:pPr>
            <w:r>
              <w:rPr>
                <w:color w:val="000000"/>
                <w:sz w:val="24"/>
                <w:szCs w:val="24"/>
              </w:rPr>
              <w:t>6</w:t>
            </w:r>
            <w:r>
              <w:rPr>
                <w:color w:val="000000"/>
                <w:sz w:val="24"/>
                <w:szCs w:val="24"/>
              </w:rPr>
              <w:t>年</w:t>
            </w:r>
          </w:p>
        </w:tc>
        <w:tc>
          <w:tcPr>
            <w:tcW w:w="2673" w:type="dxa"/>
            <w:vAlign w:val="center"/>
          </w:tcPr>
          <w:p w:rsidR="001E5629" w:rsidRDefault="00F126FE">
            <w:r>
              <w:rPr>
                <w:color w:val="000000"/>
                <w:sz w:val="24"/>
                <w:szCs w:val="24"/>
              </w:rPr>
              <w:t>刘鹏先生，中国人民大学金融学硕士，北京理工大学经济学学士。</w:t>
            </w:r>
            <w:r>
              <w:rPr>
                <w:color w:val="000000"/>
                <w:sz w:val="24"/>
                <w:szCs w:val="24"/>
              </w:rPr>
              <w:t>2014</w:t>
            </w:r>
            <w:r>
              <w:rPr>
                <w:color w:val="000000"/>
                <w:sz w:val="24"/>
                <w:szCs w:val="24"/>
              </w:rPr>
              <w:t>年</w:t>
            </w:r>
            <w:r>
              <w:rPr>
                <w:color w:val="000000"/>
                <w:sz w:val="24"/>
                <w:szCs w:val="24"/>
              </w:rPr>
              <w:t>6</w:t>
            </w:r>
            <w:r>
              <w:rPr>
                <w:color w:val="000000"/>
                <w:sz w:val="24"/>
                <w:szCs w:val="24"/>
              </w:rPr>
              <w:t>月加入交银施罗德基金管理有限公司，历任行业分析师。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1E5629" w:rsidRDefault="00F126FE">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1E5629" w:rsidRDefault="00F126FE">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1E5629" w:rsidRDefault="00F126FE">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1E5629" w:rsidRDefault="00F126FE">
      <w:pPr>
        <w:spacing w:before="29" w:line="288" w:lineRule="auto"/>
        <w:ind w:firstLineChars="200" w:firstLine="480"/>
        <w:rPr>
          <w:color w:val="000000"/>
          <w:sz w:val="24"/>
          <w:szCs w:val="24"/>
        </w:rPr>
      </w:pPr>
      <w:r>
        <w:rPr>
          <w:color w:val="000000"/>
          <w:sz w:val="24"/>
          <w:szCs w:val="24"/>
        </w:rPr>
        <w:t>2020</w:t>
      </w:r>
      <w:r>
        <w:rPr>
          <w:color w:val="000000"/>
          <w:sz w:val="24"/>
          <w:szCs w:val="24"/>
        </w:rPr>
        <w:t>年三季度，大盘涨幅</w:t>
      </w:r>
      <w:r>
        <w:rPr>
          <w:color w:val="000000"/>
          <w:sz w:val="24"/>
          <w:szCs w:val="24"/>
        </w:rPr>
        <w:t>7.8%</w:t>
      </w:r>
      <w:r>
        <w:rPr>
          <w:color w:val="000000"/>
          <w:sz w:val="24"/>
          <w:szCs w:val="24"/>
        </w:rPr>
        <w:t>，创业板上涨</w:t>
      </w:r>
      <w:r>
        <w:rPr>
          <w:color w:val="000000"/>
          <w:sz w:val="24"/>
          <w:szCs w:val="24"/>
        </w:rPr>
        <w:t>5.6%</w:t>
      </w:r>
      <w:r>
        <w:rPr>
          <w:color w:val="000000"/>
          <w:sz w:val="24"/>
          <w:szCs w:val="24"/>
        </w:rPr>
        <w:t>，沪深</w:t>
      </w:r>
      <w:r>
        <w:rPr>
          <w:color w:val="000000"/>
          <w:sz w:val="24"/>
          <w:szCs w:val="24"/>
        </w:rPr>
        <w:t>300</w:t>
      </w:r>
      <w:r>
        <w:rPr>
          <w:color w:val="000000"/>
          <w:sz w:val="24"/>
          <w:szCs w:val="24"/>
        </w:rPr>
        <w:t>涨幅</w:t>
      </w:r>
      <w:r w:rsidR="00241DDE">
        <w:rPr>
          <w:color w:val="000000"/>
          <w:sz w:val="24"/>
          <w:szCs w:val="24"/>
        </w:rPr>
        <w:t>10.17%</w:t>
      </w:r>
      <w:r>
        <w:rPr>
          <w:color w:val="000000"/>
          <w:sz w:val="24"/>
          <w:szCs w:val="24"/>
        </w:rPr>
        <w:t>。在全球疫情死亡率快速下降、疫苗进展加速的背景下，全球经济已经逐步开始复苏。</w:t>
      </w:r>
    </w:p>
    <w:p w:rsidR="001E5629" w:rsidRDefault="00F126FE">
      <w:pPr>
        <w:spacing w:before="29" w:line="288" w:lineRule="auto"/>
        <w:ind w:firstLineChars="200" w:firstLine="480"/>
        <w:rPr>
          <w:color w:val="000000"/>
          <w:sz w:val="24"/>
          <w:szCs w:val="24"/>
        </w:rPr>
      </w:pPr>
      <w:r>
        <w:rPr>
          <w:color w:val="000000"/>
          <w:sz w:val="24"/>
          <w:szCs w:val="24"/>
        </w:rPr>
        <w:t>中国疫情最先得到控制，所以复苏最快最早，相应到央行的政策宽松在二季度已经发生一定程度的</w:t>
      </w:r>
      <w:r>
        <w:rPr>
          <w:color w:val="000000"/>
          <w:sz w:val="24"/>
          <w:szCs w:val="24"/>
        </w:rPr>
        <w:t>“</w:t>
      </w:r>
      <w:r>
        <w:rPr>
          <w:color w:val="000000"/>
          <w:sz w:val="24"/>
          <w:szCs w:val="24"/>
        </w:rPr>
        <w:t>刹车</w:t>
      </w:r>
      <w:r>
        <w:rPr>
          <w:color w:val="000000"/>
          <w:sz w:val="24"/>
          <w:szCs w:val="24"/>
        </w:rPr>
        <w:t>”</w:t>
      </w:r>
      <w:r>
        <w:rPr>
          <w:color w:val="000000"/>
          <w:sz w:val="24"/>
          <w:szCs w:val="24"/>
        </w:rPr>
        <w:t>，使得流动性推动的股市上涨行情面临一定挑战，我们认为市场中期会向常态化的估值体系回归。三季度，我们已经看到以蓝筹为代表的沪深</w:t>
      </w:r>
      <w:r>
        <w:rPr>
          <w:color w:val="000000"/>
          <w:sz w:val="24"/>
          <w:szCs w:val="24"/>
        </w:rPr>
        <w:t>300</w:t>
      </w:r>
      <w:r>
        <w:rPr>
          <w:color w:val="000000"/>
          <w:sz w:val="24"/>
          <w:szCs w:val="24"/>
        </w:rPr>
        <w:t>指数开始有所表现。目前，美联储的货币政策还没有明显转向，我们认为一年维度看市场整体投资机会预计仍然不错，市场的重心会逐步聚焦到业绩优异的公司上来。</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微观调研可以发现，一些已经调整了两年多的传统周期产业链开始进入磨底期，另有一些经典成长型产业链中，已经出现了技术拐点或者景气度拐点。本基金将以更大的耐心在其中寻找配置机会，力求控制好业绩回撤，秉承在合适的价格配置创造社会价值和经济价值的公司的投资原则，力争为持有人创造稳健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2,765,081,559.41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80.39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2,765,081,559.41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80.39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1,971,587.80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1,971,587.80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645,434,701.24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18.77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26,951,811.63</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0.78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3,439,439,660.08</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1,763,323,183.66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51.71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13,029.12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59,331,293.48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379,389,990.04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35,506,395.63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308,375,511.52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94,543,308.61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180,995.16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15,348.36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42,474,552.54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2,683,153,608.12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78.69</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行业类别</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公允价值（人民币）</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占基金资产净值比例（</w:t>
            </w:r>
            <w:r w:rsidRPr="00FF0BBF">
              <w:rPr>
                <w:rFonts w:hint="eastAsia"/>
                <w:color w:val="000000"/>
                <w:sz w:val="24"/>
              </w:rPr>
              <w:t>%</w:t>
            </w:r>
            <w:r w:rsidRPr="00FF0BBF">
              <w:rPr>
                <w:rFonts w:hint="eastAsia"/>
                <w:color w:val="000000"/>
                <w:sz w:val="24"/>
              </w:rPr>
              <w:t>）</w:t>
            </w:r>
          </w:p>
        </w:tc>
      </w:tr>
      <w:tr w:rsidR="001E5629">
        <w:trPr>
          <w:jc w:val="center"/>
        </w:trPr>
        <w:tc>
          <w:tcPr>
            <w:tcW w:w="2397" w:type="dxa"/>
            <w:vAlign w:val="center"/>
          </w:tcPr>
          <w:p w:rsidR="001E5629" w:rsidRDefault="00F126FE">
            <w:pPr>
              <w:jc w:val="center"/>
            </w:pPr>
            <w:r>
              <w:rPr>
                <w:color w:val="000000"/>
                <w:sz w:val="24"/>
              </w:rPr>
              <w:t>非日常生活消费品</w:t>
            </w:r>
          </w:p>
        </w:tc>
        <w:tc>
          <w:tcPr>
            <w:tcW w:w="3119" w:type="dxa"/>
            <w:vAlign w:val="center"/>
          </w:tcPr>
          <w:p w:rsidR="001E5629" w:rsidRDefault="00F126FE">
            <w:pPr>
              <w:jc w:val="center"/>
            </w:pPr>
            <w:r>
              <w:rPr>
                <w:color w:val="000000"/>
                <w:sz w:val="24"/>
              </w:rPr>
              <w:t>19,834,379.97</w:t>
            </w:r>
          </w:p>
        </w:tc>
        <w:tc>
          <w:tcPr>
            <w:tcW w:w="3118" w:type="dxa"/>
            <w:vAlign w:val="center"/>
          </w:tcPr>
          <w:p w:rsidR="001E5629" w:rsidRDefault="00F126FE">
            <w:pPr>
              <w:jc w:val="center"/>
            </w:pPr>
            <w:r>
              <w:rPr>
                <w:color w:val="000000"/>
                <w:sz w:val="24"/>
              </w:rPr>
              <w:t>0.58</w:t>
            </w:r>
          </w:p>
        </w:tc>
      </w:tr>
      <w:tr w:rsidR="001E5629">
        <w:trPr>
          <w:jc w:val="center"/>
        </w:trPr>
        <w:tc>
          <w:tcPr>
            <w:tcW w:w="2397" w:type="dxa"/>
            <w:vAlign w:val="center"/>
          </w:tcPr>
          <w:p w:rsidR="001E5629" w:rsidRDefault="00F126FE">
            <w:pPr>
              <w:jc w:val="center"/>
            </w:pPr>
            <w:r>
              <w:rPr>
                <w:color w:val="000000"/>
                <w:sz w:val="24"/>
              </w:rPr>
              <w:t>工业</w:t>
            </w:r>
          </w:p>
        </w:tc>
        <w:tc>
          <w:tcPr>
            <w:tcW w:w="3119" w:type="dxa"/>
            <w:vAlign w:val="center"/>
          </w:tcPr>
          <w:p w:rsidR="001E5629" w:rsidRDefault="00F126FE">
            <w:pPr>
              <w:jc w:val="center"/>
            </w:pPr>
            <w:r>
              <w:rPr>
                <w:color w:val="000000"/>
                <w:sz w:val="24"/>
              </w:rPr>
              <w:t>11,796,657.83</w:t>
            </w:r>
          </w:p>
        </w:tc>
        <w:tc>
          <w:tcPr>
            <w:tcW w:w="3118" w:type="dxa"/>
            <w:vAlign w:val="center"/>
          </w:tcPr>
          <w:p w:rsidR="001E5629" w:rsidRDefault="00F126FE">
            <w:pPr>
              <w:jc w:val="center"/>
            </w:pPr>
            <w:r>
              <w:rPr>
                <w:color w:val="000000"/>
                <w:sz w:val="24"/>
              </w:rPr>
              <w:t>0.35</w:t>
            </w:r>
          </w:p>
        </w:tc>
      </w:tr>
      <w:tr w:rsidR="001E5629">
        <w:trPr>
          <w:jc w:val="center"/>
        </w:trPr>
        <w:tc>
          <w:tcPr>
            <w:tcW w:w="2397" w:type="dxa"/>
            <w:vAlign w:val="center"/>
          </w:tcPr>
          <w:p w:rsidR="001E5629" w:rsidRDefault="00F126FE">
            <w:pPr>
              <w:jc w:val="center"/>
            </w:pPr>
            <w:r>
              <w:rPr>
                <w:color w:val="000000"/>
                <w:sz w:val="24"/>
              </w:rPr>
              <w:t>金融</w:t>
            </w:r>
          </w:p>
        </w:tc>
        <w:tc>
          <w:tcPr>
            <w:tcW w:w="3119" w:type="dxa"/>
            <w:vAlign w:val="center"/>
          </w:tcPr>
          <w:p w:rsidR="001E5629" w:rsidRDefault="00F126FE">
            <w:pPr>
              <w:jc w:val="center"/>
            </w:pPr>
            <w:r>
              <w:rPr>
                <w:color w:val="000000"/>
                <w:sz w:val="24"/>
              </w:rPr>
              <w:t>36,516,308.00</w:t>
            </w:r>
          </w:p>
        </w:tc>
        <w:tc>
          <w:tcPr>
            <w:tcW w:w="3118" w:type="dxa"/>
            <w:vAlign w:val="center"/>
          </w:tcPr>
          <w:p w:rsidR="001E5629" w:rsidRDefault="00F126FE">
            <w:pPr>
              <w:jc w:val="center"/>
            </w:pPr>
            <w:r>
              <w:rPr>
                <w:color w:val="000000"/>
                <w:sz w:val="24"/>
              </w:rPr>
              <w:t>1.07</w:t>
            </w:r>
          </w:p>
        </w:tc>
      </w:tr>
      <w:tr w:rsidR="001E5629">
        <w:trPr>
          <w:jc w:val="center"/>
        </w:trPr>
        <w:tc>
          <w:tcPr>
            <w:tcW w:w="2397" w:type="dxa"/>
            <w:vAlign w:val="center"/>
          </w:tcPr>
          <w:p w:rsidR="001E5629" w:rsidRDefault="00F126FE">
            <w:pPr>
              <w:jc w:val="center"/>
            </w:pPr>
            <w:r>
              <w:rPr>
                <w:color w:val="000000"/>
                <w:sz w:val="24"/>
              </w:rPr>
              <w:t>通讯服务</w:t>
            </w:r>
          </w:p>
        </w:tc>
        <w:tc>
          <w:tcPr>
            <w:tcW w:w="3119" w:type="dxa"/>
            <w:vAlign w:val="center"/>
          </w:tcPr>
          <w:p w:rsidR="001E5629" w:rsidRDefault="00F126FE">
            <w:pPr>
              <w:jc w:val="center"/>
            </w:pPr>
            <w:r>
              <w:rPr>
                <w:color w:val="000000"/>
                <w:sz w:val="24"/>
              </w:rPr>
              <w:t>7,730,802.82</w:t>
            </w:r>
          </w:p>
        </w:tc>
        <w:tc>
          <w:tcPr>
            <w:tcW w:w="3118" w:type="dxa"/>
            <w:vAlign w:val="center"/>
          </w:tcPr>
          <w:p w:rsidR="001E5629" w:rsidRDefault="00F126FE">
            <w:pPr>
              <w:jc w:val="center"/>
            </w:pPr>
            <w:r>
              <w:rPr>
                <w:color w:val="000000"/>
                <w:sz w:val="24"/>
              </w:rPr>
              <w:t>0.23</w:t>
            </w:r>
          </w:p>
        </w:tc>
      </w:tr>
      <w:tr w:rsidR="001E5629">
        <w:trPr>
          <w:jc w:val="center"/>
        </w:trPr>
        <w:tc>
          <w:tcPr>
            <w:tcW w:w="2397" w:type="dxa"/>
            <w:vAlign w:val="center"/>
          </w:tcPr>
          <w:p w:rsidR="001E5629" w:rsidRDefault="00F126FE">
            <w:pPr>
              <w:jc w:val="center"/>
            </w:pPr>
            <w:r>
              <w:rPr>
                <w:color w:val="000000"/>
                <w:sz w:val="24"/>
              </w:rPr>
              <w:t>信息技术</w:t>
            </w:r>
          </w:p>
        </w:tc>
        <w:tc>
          <w:tcPr>
            <w:tcW w:w="3119" w:type="dxa"/>
            <w:vAlign w:val="center"/>
          </w:tcPr>
          <w:p w:rsidR="001E5629" w:rsidRDefault="00F126FE">
            <w:pPr>
              <w:jc w:val="center"/>
            </w:pPr>
            <w:r>
              <w:rPr>
                <w:color w:val="000000"/>
                <w:sz w:val="24"/>
              </w:rPr>
              <w:t>3,863,064.01</w:t>
            </w:r>
          </w:p>
        </w:tc>
        <w:tc>
          <w:tcPr>
            <w:tcW w:w="3118" w:type="dxa"/>
            <w:vAlign w:val="center"/>
          </w:tcPr>
          <w:p w:rsidR="001E5629" w:rsidRDefault="00F126FE">
            <w:pPr>
              <w:jc w:val="center"/>
            </w:pPr>
            <w:r>
              <w:rPr>
                <w:color w:val="000000"/>
                <w:sz w:val="24"/>
              </w:rPr>
              <w:t>0.11</w:t>
            </w:r>
          </w:p>
        </w:tc>
      </w:tr>
      <w:tr w:rsidR="001E5629">
        <w:trPr>
          <w:jc w:val="center"/>
        </w:trPr>
        <w:tc>
          <w:tcPr>
            <w:tcW w:w="2397" w:type="dxa"/>
            <w:vAlign w:val="center"/>
          </w:tcPr>
          <w:p w:rsidR="001E5629" w:rsidRDefault="00F126FE">
            <w:pPr>
              <w:jc w:val="center"/>
            </w:pPr>
            <w:r>
              <w:rPr>
                <w:color w:val="000000"/>
                <w:sz w:val="24"/>
              </w:rPr>
              <w:t>原材料</w:t>
            </w:r>
          </w:p>
        </w:tc>
        <w:tc>
          <w:tcPr>
            <w:tcW w:w="3119" w:type="dxa"/>
            <w:vAlign w:val="center"/>
          </w:tcPr>
          <w:p w:rsidR="001E5629" w:rsidRDefault="00F126FE">
            <w:pPr>
              <w:jc w:val="center"/>
            </w:pPr>
            <w:r>
              <w:rPr>
                <w:color w:val="000000"/>
                <w:sz w:val="24"/>
              </w:rPr>
              <w:t>2,186,738.66</w:t>
            </w:r>
          </w:p>
        </w:tc>
        <w:tc>
          <w:tcPr>
            <w:tcW w:w="3118" w:type="dxa"/>
            <w:vAlign w:val="center"/>
          </w:tcPr>
          <w:p w:rsidR="001E5629" w:rsidRDefault="00F126FE">
            <w:pPr>
              <w:jc w:val="center"/>
            </w:pPr>
            <w:r>
              <w:rPr>
                <w:color w:val="000000"/>
                <w:sz w:val="24"/>
              </w:rPr>
              <w:t>0.06</w:t>
            </w:r>
          </w:p>
        </w:tc>
      </w:tr>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合计</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81,927,951.29</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2.40</w:t>
            </w:r>
          </w:p>
        </w:tc>
      </w:tr>
    </w:tbl>
    <w:p w:rsidR="00F126FE" w:rsidRDefault="00F126FE" w:rsidP="00F126FE">
      <w:pPr>
        <w:spacing w:before="29" w:line="360" w:lineRule="auto"/>
        <w:ind w:left="17"/>
        <w:rPr>
          <w:color w:val="000000"/>
          <w:sz w:val="24"/>
        </w:rPr>
      </w:pPr>
      <w:r w:rsidRPr="00FF0BBF">
        <w:rPr>
          <w:color w:val="000000"/>
          <w:sz w:val="24"/>
        </w:rPr>
        <w:t>注：以上分类采用全球行业分类标准（</w:t>
      </w:r>
      <w:r w:rsidRPr="00FF0BBF">
        <w:rPr>
          <w:color w:val="000000"/>
          <w:sz w:val="24"/>
        </w:rPr>
        <w:t>GICS</w:t>
      </w:r>
      <w:r w:rsidRPr="00FF0BBF">
        <w:rPr>
          <w:color w:val="000000"/>
          <w:sz w:val="24"/>
        </w:rPr>
        <w:t>）。</w:t>
      </w:r>
    </w:p>
    <w:p w:rsidR="004061AC" w:rsidRPr="00F126F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pPr w:leftFromText="174" w:rightFromText="174" w:vertAnchor="text"/>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9"/>
        <w:gridCol w:w="1357"/>
        <w:gridCol w:w="1810"/>
        <w:gridCol w:w="1357"/>
        <w:gridCol w:w="1960"/>
        <w:gridCol w:w="1674"/>
      </w:tblGrid>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序号</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股票代码</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股票名称</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数量（股）</w:t>
            </w:r>
          </w:p>
        </w:tc>
        <w:tc>
          <w:tcPr>
            <w:tcW w:w="1960" w:type="dxa"/>
            <w:tcMar>
              <w:top w:w="57" w:type="dxa"/>
              <w:left w:w="108" w:type="dxa"/>
              <w:bottom w:w="57" w:type="dxa"/>
              <w:right w:w="108" w:type="dxa"/>
            </w:tcMar>
            <w:vAlign w:val="center"/>
            <w:hideMark/>
          </w:tcPr>
          <w:p w:rsidR="00EA1EAF" w:rsidRPr="00EA1EAF" w:rsidRDefault="00EA1EAF" w:rsidP="00EA1EAF">
            <w:pPr>
              <w:autoSpaceDE w:val="0"/>
              <w:autoSpaceDN w:val="0"/>
              <w:spacing w:before="29" w:line="288" w:lineRule="auto"/>
              <w:ind w:left="17"/>
              <w:jc w:val="center"/>
              <w:rPr>
                <w:color w:val="000000"/>
                <w:kern w:val="0"/>
                <w:sz w:val="24"/>
                <w:szCs w:val="24"/>
              </w:rPr>
            </w:pPr>
            <w:r w:rsidRPr="00EA1EAF">
              <w:rPr>
                <w:rFonts w:hint="eastAsia"/>
                <w:color w:val="000000"/>
                <w:kern w:val="0"/>
                <w:sz w:val="24"/>
                <w:szCs w:val="24"/>
              </w:rPr>
              <w:t>公允价值</w:t>
            </w:r>
            <w:r w:rsidRPr="00EA1EAF">
              <w:rPr>
                <w:color w:val="000000"/>
                <w:kern w:val="0"/>
                <w:sz w:val="24"/>
                <w:szCs w:val="24"/>
              </w:rPr>
              <w:t>(</w:t>
            </w:r>
            <w:r w:rsidRPr="00EA1EAF">
              <w:rPr>
                <w:rFonts w:hint="eastAsia"/>
                <w:color w:val="000000"/>
                <w:kern w:val="0"/>
                <w:sz w:val="24"/>
                <w:szCs w:val="24"/>
              </w:rPr>
              <w:t>元</w:t>
            </w:r>
            <w:r w:rsidRPr="00EA1EAF">
              <w:rPr>
                <w:color w:val="000000"/>
                <w:kern w:val="0"/>
                <w:sz w:val="24"/>
                <w:szCs w:val="24"/>
              </w:rPr>
              <w:t>)</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占基金资产净值比例（％）</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1</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002049</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紫光国微</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2,740,904</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325,564,577.12</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9.55</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2</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603267</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鸿远电子</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3,594,440</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306,066,566.00</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8.98</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3</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002928</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华夏航空</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20,008,416</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274,915,635.84</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8.06</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4</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601336</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新华保险</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1,789,394</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111,085,579.52</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3.26</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4</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01336.HK</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新华保险</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733,400</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18,592,476.20</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0.55</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5</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000733</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振华科技</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2,723,027</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121,991,609.60</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3.58</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6</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300014</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亿纬锂能</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2,371,123</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117,370,588.50</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3.44</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7</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601137</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博威合金</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7,949,026</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107,391,341.26</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3.15</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8</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000636</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风华高科</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3,306,240</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88,937,856.00</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2.61</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9</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601318</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中国平安</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991,727</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75,629,101.02</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2.22</w:t>
            </w:r>
          </w:p>
        </w:tc>
      </w:tr>
      <w:tr w:rsidR="00EA1EAF" w:rsidRPr="00EA1EAF" w:rsidTr="00EA1EAF">
        <w:tc>
          <w:tcPr>
            <w:tcW w:w="869"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10</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color w:val="000000"/>
                <w:kern w:val="0"/>
                <w:sz w:val="24"/>
                <w:szCs w:val="24"/>
              </w:rPr>
              <w:t>300119</w:t>
            </w:r>
          </w:p>
        </w:tc>
        <w:tc>
          <w:tcPr>
            <w:tcW w:w="181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center"/>
              <w:rPr>
                <w:color w:val="000000"/>
                <w:kern w:val="0"/>
                <w:sz w:val="24"/>
                <w:szCs w:val="24"/>
              </w:rPr>
            </w:pPr>
            <w:r w:rsidRPr="00EA1EAF">
              <w:rPr>
                <w:rFonts w:hint="eastAsia"/>
                <w:color w:val="000000"/>
                <w:kern w:val="0"/>
                <w:sz w:val="24"/>
                <w:szCs w:val="24"/>
              </w:rPr>
              <w:t>瑞普生物</w:t>
            </w:r>
          </w:p>
        </w:tc>
        <w:tc>
          <w:tcPr>
            <w:tcW w:w="1357"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3,330,605</w:t>
            </w:r>
          </w:p>
        </w:tc>
        <w:tc>
          <w:tcPr>
            <w:tcW w:w="1960"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67,844,423.85</w:t>
            </w:r>
          </w:p>
        </w:tc>
        <w:tc>
          <w:tcPr>
            <w:tcW w:w="1674" w:type="dxa"/>
            <w:tcMar>
              <w:top w:w="57" w:type="dxa"/>
              <w:left w:w="108" w:type="dxa"/>
              <w:bottom w:w="57" w:type="dxa"/>
              <w:right w:w="108" w:type="dxa"/>
            </w:tcMar>
            <w:vAlign w:val="center"/>
            <w:hideMark/>
          </w:tcPr>
          <w:p w:rsidR="00EA1EAF" w:rsidRPr="00EA1EAF" w:rsidRDefault="00EA1EAF" w:rsidP="00EA1EAF">
            <w:pPr>
              <w:spacing w:before="29" w:line="288" w:lineRule="auto"/>
              <w:ind w:left="17"/>
              <w:jc w:val="right"/>
              <w:rPr>
                <w:color w:val="000000"/>
                <w:kern w:val="0"/>
                <w:sz w:val="24"/>
                <w:szCs w:val="24"/>
              </w:rPr>
            </w:pPr>
            <w:r w:rsidRPr="00EA1EAF">
              <w:rPr>
                <w:color w:val="000000"/>
                <w:kern w:val="0"/>
                <w:sz w:val="24"/>
                <w:szCs w:val="24"/>
              </w:rPr>
              <w:t>1.99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bookmarkStart w:id="0" w:name="_GoBack"/>
      <w:bookmarkEnd w:id="0"/>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1,971,587.80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1,971,587.80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1E5629">
        <w:trPr>
          <w:jc w:val="center"/>
        </w:trPr>
        <w:tc>
          <w:tcPr>
            <w:tcW w:w="850" w:type="dxa"/>
            <w:vAlign w:val="center"/>
          </w:tcPr>
          <w:p w:rsidR="001E5629" w:rsidRDefault="00F126FE">
            <w:pPr>
              <w:jc w:val="center"/>
            </w:pPr>
            <w:r>
              <w:rPr>
                <w:color w:val="000000"/>
                <w:sz w:val="24"/>
                <w:szCs w:val="24"/>
              </w:rPr>
              <w:t>1</w:t>
            </w:r>
          </w:p>
        </w:tc>
        <w:tc>
          <w:tcPr>
            <w:tcW w:w="1475" w:type="dxa"/>
            <w:vAlign w:val="center"/>
          </w:tcPr>
          <w:p w:rsidR="001E5629" w:rsidRDefault="00F126FE">
            <w:pPr>
              <w:jc w:val="center"/>
            </w:pPr>
            <w:r>
              <w:rPr>
                <w:color w:val="000000"/>
                <w:sz w:val="24"/>
                <w:szCs w:val="24"/>
              </w:rPr>
              <w:t>123046</w:t>
            </w:r>
          </w:p>
        </w:tc>
        <w:tc>
          <w:tcPr>
            <w:tcW w:w="1769" w:type="dxa"/>
            <w:vAlign w:val="center"/>
          </w:tcPr>
          <w:p w:rsidR="001E5629" w:rsidRDefault="00F126FE">
            <w:pPr>
              <w:jc w:val="center"/>
            </w:pPr>
            <w:r>
              <w:rPr>
                <w:color w:val="000000"/>
                <w:sz w:val="24"/>
                <w:szCs w:val="24"/>
              </w:rPr>
              <w:t>天铁转债</w:t>
            </w:r>
          </w:p>
        </w:tc>
        <w:tc>
          <w:tcPr>
            <w:tcW w:w="1387" w:type="dxa"/>
            <w:vAlign w:val="center"/>
          </w:tcPr>
          <w:p w:rsidR="001E5629" w:rsidRDefault="00F126FE">
            <w:pPr>
              <w:jc w:val="right"/>
            </w:pPr>
            <w:r>
              <w:rPr>
                <w:color w:val="000000"/>
                <w:sz w:val="24"/>
                <w:szCs w:val="24"/>
              </w:rPr>
              <w:t>12,820</w:t>
            </w:r>
          </w:p>
        </w:tc>
        <w:tc>
          <w:tcPr>
            <w:tcW w:w="2150" w:type="dxa"/>
            <w:vAlign w:val="center"/>
          </w:tcPr>
          <w:p w:rsidR="001E5629" w:rsidRDefault="00F126FE">
            <w:pPr>
              <w:jc w:val="right"/>
            </w:pPr>
            <w:r>
              <w:rPr>
                <w:color w:val="000000"/>
                <w:sz w:val="24"/>
                <w:szCs w:val="24"/>
              </w:rPr>
              <w:t>1,971,587.80</w:t>
            </w:r>
          </w:p>
        </w:tc>
        <w:tc>
          <w:tcPr>
            <w:tcW w:w="1237" w:type="dxa"/>
            <w:vAlign w:val="center"/>
          </w:tcPr>
          <w:p w:rsidR="001E5629" w:rsidRDefault="00F126FE">
            <w:pPr>
              <w:jc w:val="right"/>
            </w:pPr>
            <w:r>
              <w:rPr>
                <w:color w:val="000000"/>
                <w:sz w:val="24"/>
                <w:szCs w:val="24"/>
              </w:rPr>
              <w:t>0.06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694E98" w:rsidRPr="00694E98" w:rsidRDefault="00BE5388" w:rsidP="00694E98">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5.11.1</w:t>
      </w:r>
      <w:r w:rsidR="00694E98" w:rsidRPr="00694E98">
        <w:rPr>
          <w:rFonts w:hint="eastAsia"/>
          <w:bCs/>
          <w:color w:val="000000"/>
          <w:kern w:val="0"/>
          <w:sz w:val="24"/>
          <w:szCs w:val="24"/>
        </w:rPr>
        <w:t>报告期内本基金投资的前十名证券的发行主体除风华高科（</w:t>
      </w:r>
      <w:r w:rsidR="00694E98" w:rsidRPr="00694E98">
        <w:rPr>
          <w:rFonts w:hint="eastAsia"/>
          <w:bCs/>
          <w:color w:val="000000"/>
          <w:kern w:val="0"/>
          <w:sz w:val="24"/>
          <w:szCs w:val="24"/>
        </w:rPr>
        <w:t>000636</w:t>
      </w:r>
      <w:r w:rsidR="00694E98" w:rsidRPr="00694E98">
        <w:rPr>
          <w:rFonts w:hint="eastAsia"/>
          <w:bCs/>
          <w:color w:val="000000"/>
          <w:kern w:val="0"/>
          <w:sz w:val="24"/>
          <w:szCs w:val="24"/>
        </w:rPr>
        <w:t>）外，未出现被监管部门立案调查，或在报告编制日前一年内受到公开谴责、处罚的情形。</w:t>
      </w:r>
    </w:p>
    <w:p w:rsidR="00694E98" w:rsidRPr="00694E98" w:rsidRDefault="00694E98" w:rsidP="00694E98">
      <w:pPr>
        <w:autoSpaceDE w:val="0"/>
        <w:autoSpaceDN w:val="0"/>
        <w:adjustRightInd w:val="0"/>
        <w:spacing w:before="29" w:line="288" w:lineRule="auto"/>
        <w:jc w:val="left"/>
        <w:rPr>
          <w:bCs/>
          <w:color w:val="000000"/>
          <w:kern w:val="0"/>
          <w:sz w:val="24"/>
          <w:szCs w:val="24"/>
        </w:rPr>
      </w:pPr>
      <w:r w:rsidRPr="00694E98">
        <w:rPr>
          <w:rFonts w:hint="eastAsia"/>
          <w:bCs/>
          <w:color w:val="000000"/>
          <w:kern w:val="0"/>
          <w:sz w:val="24"/>
          <w:szCs w:val="24"/>
        </w:rPr>
        <w:t>报告期内本基金投资的前十名证券之一风华高科（</w:t>
      </w:r>
      <w:r w:rsidRPr="00694E98">
        <w:rPr>
          <w:rFonts w:hint="eastAsia"/>
          <w:bCs/>
          <w:color w:val="000000"/>
          <w:kern w:val="0"/>
          <w:sz w:val="24"/>
          <w:szCs w:val="24"/>
        </w:rPr>
        <w:t>000636</w:t>
      </w:r>
      <w:r w:rsidRPr="00694E98">
        <w:rPr>
          <w:rFonts w:hint="eastAsia"/>
          <w:bCs/>
          <w:color w:val="000000"/>
          <w:kern w:val="0"/>
          <w:sz w:val="24"/>
          <w:szCs w:val="24"/>
        </w:rPr>
        <w:t>）于</w:t>
      </w:r>
      <w:r w:rsidRPr="00694E98">
        <w:rPr>
          <w:rFonts w:hint="eastAsia"/>
          <w:bCs/>
          <w:color w:val="000000"/>
          <w:kern w:val="0"/>
          <w:sz w:val="24"/>
          <w:szCs w:val="24"/>
        </w:rPr>
        <w:t>2019</w:t>
      </w:r>
      <w:r w:rsidRPr="00694E98">
        <w:rPr>
          <w:rFonts w:hint="eastAsia"/>
          <w:bCs/>
          <w:color w:val="000000"/>
          <w:kern w:val="0"/>
          <w:sz w:val="24"/>
          <w:szCs w:val="24"/>
        </w:rPr>
        <w:t>年</w:t>
      </w:r>
      <w:r w:rsidRPr="00694E98">
        <w:rPr>
          <w:rFonts w:hint="eastAsia"/>
          <w:bCs/>
          <w:color w:val="000000"/>
          <w:kern w:val="0"/>
          <w:sz w:val="24"/>
          <w:szCs w:val="24"/>
        </w:rPr>
        <w:t>11</w:t>
      </w:r>
      <w:r w:rsidRPr="00694E98">
        <w:rPr>
          <w:rFonts w:hint="eastAsia"/>
          <w:bCs/>
          <w:color w:val="000000"/>
          <w:kern w:val="0"/>
          <w:sz w:val="24"/>
          <w:szCs w:val="24"/>
        </w:rPr>
        <w:t>月</w:t>
      </w:r>
      <w:r w:rsidRPr="00694E98">
        <w:rPr>
          <w:rFonts w:hint="eastAsia"/>
          <w:bCs/>
          <w:color w:val="000000"/>
          <w:kern w:val="0"/>
          <w:sz w:val="24"/>
          <w:szCs w:val="24"/>
        </w:rPr>
        <w:t>25</w:t>
      </w:r>
      <w:r w:rsidRPr="00694E98">
        <w:rPr>
          <w:rFonts w:hint="eastAsia"/>
          <w:bCs/>
          <w:color w:val="000000"/>
          <w:kern w:val="0"/>
          <w:sz w:val="24"/>
          <w:szCs w:val="24"/>
        </w:rPr>
        <w:t>日公告，公司及相关当事人于</w:t>
      </w:r>
      <w:r w:rsidRPr="00694E98">
        <w:rPr>
          <w:rFonts w:hint="eastAsia"/>
          <w:bCs/>
          <w:color w:val="000000"/>
          <w:kern w:val="0"/>
          <w:sz w:val="24"/>
          <w:szCs w:val="24"/>
        </w:rPr>
        <w:t>2019</w:t>
      </w:r>
      <w:r w:rsidRPr="00694E98">
        <w:rPr>
          <w:rFonts w:hint="eastAsia"/>
          <w:bCs/>
          <w:color w:val="000000"/>
          <w:kern w:val="0"/>
          <w:sz w:val="24"/>
          <w:szCs w:val="24"/>
        </w:rPr>
        <w:t>年</w:t>
      </w:r>
      <w:r w:rsidRPr="00694E98">
        <w:rPr>
          <w:rFonts w:hint="eastAsia"/>
          <w:bCs/>
          <w:color w:val="000000"/>
          <w:kern w:val="0"/>
          <w:sz w:val="24"/>
          <w:szCs w:val="24"/>
        </w:rPr>
        <w:t>11</w:t>
      </w:r>
      <w:r w:rsidRPr="00694E98">
        <w:rPr>
          <w:rFonts w:hint="eastAsia"/>
          <w:bCs/>
          <w:color w:val="000000"/>
          <w:kern w:val="0"/>
          <w:sz w:val="24"/>
          <w:szCs w:val="24"/>
        </w:rPr>
        <w:t>月</w:t>
      </w:r>
      <w:r w:rsidRPr="00694E98">
        <w:rPr>
          <w:rFonts w:hint="eastAsia"/>
          <w:bCs/>
          <w:color w:val="000000"/>
          <w:kern w:val="0"/>
          <w:sz w:val="24"/>
          <w:szCs w:val="24"/>
        </w:rPr>
        <w:t>22</w:t>
      </w:r>
      <w:r w:rsidRPr="00694E98">
        <w:rPr>
          <w:rFonts w:hint="eastAsia"/>
          <w:bCs/>
          <w:color w:val="000000"/>
          <w:kern w:val="0"/>
          <w:sz w:val="24"/>
          <w:szCs w:val="24"/>
        </w:rPr>
        <w:t>日收到中国证监会广东监管局下发的《行政处罚决定书》（</w:t>
      </w:r>
      <w:r w:rsidRPr="00694E98">
        <w:rPr>
          <w:rFonts w:hint="eastAsia"/>
          <w:bCs/>
          <w:color w:val="000000"/>
          <w:kern w:val="0"/>
          <w:sz w:val="24"/>
          <w:szCs w:val="24"/>
        </w:rPr>
        <w:t>[2019]13</w:t>
      </w:r>
      <w:r w:rsidRPr="00694E98">
        <w:rPr>
          <w:rFonts w:hint="eastAsia"/>
          <w:bCs/>
          <w:color w:val="000000"/>
          <w:kern w:val="0"/>
          <w:sz w:val="24"/>
          <w:szCs w:val="24"/>
        </w:rPr>
        <w:t>号），《行政处罚决定书》主要内容：一、公告的信息存在虚假记载；二、未及时披露董事会及监事会决议。责令风华高科改正，给予警告，并处以</w:t>
      </w:r>
      <w:r w:rsidRPr="00694E98">
        <w:rPr>
          <w:rFonts w:hint="eastAsia"/>
          <w:bCs/>
          <w:color w:val="000000"/>
          <w:kern w:val="0"/>
          <w:sz w:val="24"/>
          <w:szCs w:val="24"/>
        </w:rPr>
        <w:t>40</w:t>
      </w:r>
      <w:r w:rsidRPr="00694E98">
        <w:rPr>
          <w:rFonts w:hint="eastAsia"/>
          <w:bCs/>
          <w:color w:val="000000"/>
          <w:kern w:val="0"/>
          <w:sz w:val="24"/>
          <w:szCs w:val="24"/>
        </w:rPr>
        <w:t>万元罚款。</w:t>
      </w:r>
    </w:p>
    <w:p w:rsidR="00694E98" w:rsidRDefault="00694E98" w:rsidP="00694E98">
      <w:pPr>
        <w:autoSpaceDE w:val="0"/>
        <w:autoSpaceDN w:val="0"/>
        <w:adjustRightInd w:val="0"/>
        <w:spacing w:before="29" w:line="288" w:lineRule="auto"/>
        <w:jc w:val="left"/>
        <w:rPr>
          <w:bCs/>
          <w:color w:val="000000"/>
          <w:kern w:val="0"/>
          <w:sz w:val="24"/>
          <w:szCs w:val="24"/>
        </w:rPr>
      </w:pPr>
      <w:r w:rsidRPr="00694E98">
        <w:rPr>
          <w:rFonts w:hint="eastAsia"/>
          <w:bCs/>
          <w:color w:val="000000"/>
          <w:kern w:val="0"/>
          <w:sz w:val="24"/>
          <w:szCs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并在上述事件发生时及时分析其对投资决策的影响，后续本基金管理人将持续跟踪事态进展。</w:t>
      </w:r>
    </w:p>
    <w:p w:rsidR="00BE5388" w:rsidRPr="00AA3969" w:rsidRDefault="00BE5388" w:rsidP="00694E98">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1,316,399.64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24,703,506.26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15,029.79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71,544.75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845,331.19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26,951,811.63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173B44" w:rsidRPr="00414345" w:rsidRDefault="00173B44" w:rsidP="00173B44">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rsidR="001E5629">
        <w:trPr>
          <w:jc w:val="center"/>
        </w:trPr>
        <w:tc>
          <w:tcPr>
            <w:tcW w:w="1883" w:type="dxa"/>
            <w:vAlign w:val="center"/>
          </w:tcPr>
          <w:p w:rsidR="001E5629" w:rsidRDefault="00F126FE">
            <w:pPr>
              <w:jc w:val="center"/>
            </w:pPr>
            <w:r>
              <w:rPr>
                <w:color w:val="000000"/>
                <w:sz w:val="24"/>
                <w:szCs w:val="24"/>
              </w:rPr>
              <w:t>1</w:t>
            </w:r>
          </w:p>
        </w:tc>
        <w:tc>
          <w:tcPr>
            <w:tcW w:w="1801" w:type="dxa"/>
            <w:vAlign w:val="center"/>
          </w:tcPr>
          <w:p w:rsidR="001E5629" w:rsidRDefault="00F126FE">
            <w:pPr>
              <w:jc w:val="center"/>
            </w:pPr>
            <w:r>
              <w:rPr>
                <w:color w:val="000000"/>
                <w:sz w:val="24"/>
                <w:szCs w:val="24"/>
              </w:rPr>
              <w:t>123046</w:t>
            </w:r>
          </w:p>
        </w:tc>
        <w:tc>
          <w:tcPr>
            <w:tcW w:w="1727" w:type="dxa"/>
            <w:vAlign w:val="center"/>
          </w:tcPr>
          <w:p w:rsidR="001E5629" w:rsidRDefault="00F126FE">
            <w:pPr>
              <w:jc w:val="center"/>
            </w:pPr>
            <w:r>
              <w:rPr>
                <w:color w:val="000000"/>
                <w:sz w:val="24"/>
                <w:szCs w:val="24"/>
              </w:rPr>
              <w:t>天铁转债</w:t>
            </w:r>
          </w:p>
        </w:tc>
        <w:tc>
          <w:tcPr>
            <w:tcW w:w="1768" w:type="dxa"/>
            <w:vAlign w:val="center"/>
          </w:tcPr>
          <w:p w:rsidR="001E5629" w:rsidRDefault="00F126FE">
            <w:pPr>
              <w:jc w:val="right"/>
            </w:pPr>
            <w:r>
              <w:rPr>
                <w:color w:val="000000"/>
                <w:sz w:val="24"/>
                <w:szCs w:val="24"/>
              </w:rPr>
              <w:t>1,971,587.80</w:t>
            </w:r>
          </w:p>
        </w:tc>
        <w:tc>
          <w:tcPr>
            <w:tcW w:w="1689" w:type="dxa"/>
            <w:vAlign w:val="center"/>
          </w:tcPr>
          <w:p w:rsidR="001E5629" w:rsidRDefault="00F126FE">
            <w:pPr>
              <w:jc w:val="right"/>
            </w:pPr>
            <w:r>
              <w:rPr>
                <w:color w:val="000000"/>
                <w:sz w:val="24"/>
                <w:szCs w:val="24"/>
              </w:rPr>
              <w:t>0.06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4,790,396,457.84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516,825,193.40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2,270,593,684.68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3,036,627,966.56</w:t>
            </w:r>
          </w:p>
        </w:tc>
      </w:tr>
    </w:tbl>
    <w:p w:rsidR="001E5629" w:rsidRDefault="00F126FE">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1E5629" w:rsidRDefault="00F126FE">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、中国证监会准予交银施罗德启明混合型证券投资基金募集注册的文件；</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、《交银施罗德启明混合型证券投资基金基金合同》；</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、《交银施罗德启明混合型证券投资基金招募说明书》；</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、《交银施罗德启明混合型证券投资基金托管协议》；</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、关于申请募集注册交银施罗德启明混合型证券投资基金的法律意见书；</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1E5629" w:rsidRDefault="00F126FE">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、报告期内交银施罗德启明混合型证券投资基金在指定报刊上各项公告的原稿。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1E5629" w:rsidRDefault="00F126FE">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9F5" w:rsidRDefault="00E679F5" w:rsidP="00876D65">
      <w:r>
        <w:separator/>
      </w:r>
    </w:p>
  </w:endnote>
  <w:endnote w:type="continuationSeparator" w:id="0">
    <w:p w:rsidR="00E679F5" w:rsidRDefault="00E679F5"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EA1EAF">
      <w:rPr>
        <w:noProof/>
        <w:kern w:val="0"/>
        <w:szCs w:val="21"/>
      </w:rPr>
      <w:t>8</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EA1EAF">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9F5" w:rsidRDefault="00E679F5" w:rsidP="00876D65">
      <w:r>
        <w:separator/>
      </w:r>
    </w:p>
  </w:footnote>
  <w:footnote w:type="continuationSeparator" w:id="0">
    <w:p w:rsidR="00E679F5" w:rsidRDefault="00E679F5"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交银施罗德启明混合型证券投资基金</w:t>
    </w:r>
    <w:r w:rsidRPr="003E676C">
      <w:rPr>
        <w:sz w:val="24"/>
        <w:szCs w:val="24"/>
      </w:rPr>
      <w:t>2020</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94203"/>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E5629"/>
    <w:rsid w:val="001F0964"/>
    <w:rsid w:val="001F30DA"/>
    <w:rsid w:val="001F3E2A"/>
    <w:rsid w:val="001F5DC5"/>
    <w:rsid w:val="00200FAB"/>
    <w:rsid w:val="00213821"/>
    <w:rsid w:val="00213DFB"/>
    <w:rsid w:val="00217B92"/>
    <w:rsid w:val="0022309F"/>
    <w:rsid w:val="00224294"/>
    <w:rsid w:val="002279D3"/>
    <w:rsid w:val="00240248"/>
    <w:rsid w:val="00241DDE"/>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1F15"/>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94E98"/>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47E2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679F5"/>
    <w:rsid w:val="00E705CC"/>
    <w:rsid w:val="00E84C7E"/>
    <w:rsid w:val="00E85E4B"/>
    <w:rsid w:val="00E8670B"/>
    <w:rsid w:val="00EA1826"/>
    <w:rsid w:val="00EA1EAF"/>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26FE"/>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6BBC-9A86-4429-964C-AD078126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12</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605</cp:revision>
  <dcterms:created xsi:type="dcterms:W3CDTF">2012-10-16T06:07:00Z</dcterms:created>
  <dcterms:modified xsi:type="dcterms:W3CDTF">2020-10-26T06:05:00Z</dcterms:modified>
</cp:coreProperties>
</file>