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德裕泰两年定期开放债券型证券投资基金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基金托管人：上海浦东发展银行股份有限公司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07FDB" w:rsidRDefault="0003219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基金托管人上海浦东发展银行股份有限公司根据本基金合同规定，于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proofErr w:type="gramStart"/>
            <w:r w:rsidRPr="00414345">
              <w:rPr>
                <w:color w:val="000000"/>
                <w:kern w:val="0"/>
                <w:sz w:val="24"/>
                <w:szCs w:val="24"/>
              </w:rPr>
              <w:t>交银裕泰</w:t>
            </w:r>
            <w:proofErr w:type="gramEnd"/>
            <w:r w:rsidRPr="00414345">
              <w:rPr>
                <w:color w:val="000000"/>
                <w:kern w:val="0"/>
                <w:sz w:val="24"/>
                <w:szCs w:val="24"/>
              </w:rPr>
              <w:t>两年定期开放债券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008223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008223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11,650,253,428.57</w:t>
            </w:r>
            <w:r w:rsidRPr="00414345">
              <w:rPr>
                <w:color w:val="000000"/>
                <w:kern w:val="0"/>
                <w:sz w:val="24"/>
                <w:szCs w:val="24"/>
              </w:rPr>
              <w:t>份</w:t>
            </w:r>
          </w:p>
        </w:tc>
      </w:tr>
      <w:tr w:rsidR="001B2F35" w:rsidRPr="00414345" w:rsidTr="00E11369">
        <w:trPr>
          <w:jc w:val="center"/>
        </w:trPr>
        <w:tc>
          <w:tcPr>
            <w:tcW w:w="3023" w:type="dxa"/>
            <w:tcBorders>
              <w:bottom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tcBorders>
              <w:bottom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本基金封闭期内采取严格的买入持有到期投资策略，投资于剩余期限（或回售期限）不超过基金剩余封闭期的固定收益类工具，力争基金资产的稳健增值。</w:t>
            </w:r>
            <w:r w:rsidRPr="00414345">
              <w:rPr>
                <w:color w:val="000000"/>
                <w:kern w:val="0"/>
                <w:sz w:val="24"/>
                <w:szCs w:val="24"/>
              </w:rPr>
              <w:t xml:space="preserve"> </w:t>
            </w:r>
          </w:p>
        </w:tc>
      </w:tr>
      <w:tr w:rsidR="001B2F35" w:rsidRPr="00414345" w:rsidTr="00E11369">
        <w:trPr>
          <w:jc w:val="center"/>
        </w:trPr>
        <w:tc>
          <w:tcPr>
            <w:tcW w:w="3023" w:type="dxa"/>
            <w:tcBorders>
              <w:bottom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tcBorders>
              <w:bottom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本基金以封闭期为周期进行投资运作。在封闭期内，本基金将在坚持</w:t>
            </w:r>
            <w:proofErr w:type="gramStart"/>
            <w:r w:rsidRPr="00414345">
              <w:rPr>
                <w:color w:val="000000"/>
                <w:kern w:val="0"/>
                <w:sz w:val="24"/>
                <w:szCs w:val="24"/>
              </w:rPr>
              <w:t>组合久期与</w:t>
            </w:r>
            <w:proofErr w:type="gramEnd"/>
            <w:r w:rsidRPr="00414345">
              <w:rPr>
                <w:color w:val="000000"/>
                <w:kern w:val="0"/>
                <w:sz w:val="24"/>
                <w:szCs w:val="24"/>
              </w:rPr>
              <w:t>封闭期基本匹配的原则下，采用持有到期策略构建投资组合，基本保持大类品种配置的比例恒定，所投资金融资产以收取合同现金流量为目的，并持有到期，所投资资产到期日（或回售日）不晚于封闭期的到期日。本基金投资含回售权的债券时，应在投资该债券前，确定行使回售权或持有至到期的时间；债券到期日晚于封闭期到期日的，基金管理人应当行使回售权而不得持有至到期日。开</w:t>
            </w:r>
            <w:r w:rsidRPr="00414345">
              <w:rPr>
                <w:color w:val="000000"/>
                <w:kern w:val="0"/>
                <w:sz w:val="24"/>
                <w:szCs w:val="24"/>
              </w:rPr>
              <w:lastRenderedPageBreak/>
              <w:t>放期内，本基金为保持较高的流动性，在遵守本基金有关投资限制与投资比例的前提下，主要配置高流动性的投资品种，防范流动性风险，满足开放期流动性的需求。</w:t>
            </w:r>
            <w:r w:rsidRPr="00414345">
              <w:rPr>
                <w:color w:val="000000"/>
                <w:kern w:val="0"/>
                <w:sz w:val="24"/>
                <w:szCs w:val="24"/>
              </w:rPr>
              <w:t xml:space="preserve"> </w:t>
            </w:r>
          </w:p>
        </w:tc>
      </w:tr>
      <w:tr w:rsidR="001B2F35" w:rsidRPr="00414345" w:rsidTr="00E11369">
        <w:trPr>
          <w:jc w:val="center"/>
        </w:trPr>
        <w:tc>
          <w:tcPr>
            <w:tcW w:w="3023" w:type="dxa"/>
            <w:tcBorders>
              <w:top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tcBorders>
              <w:top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在每个封闭期，本基金的业绩比较基准为该封闭期起始日的中国人民银行公布并执行的金融机构两年期定期存款利率（税后）</w:t>
            </w:r>
            <w:r w:rsidRPr="00414345">
              <w:rPr>
                <w:color w:val="000000"/>
                <w:kern w:val="0"/>
                <w:sz w:val="24"/>
                <w:szCs w:val="24"/>
              </w:rPr>
              <w:t>+1%</w:t>
            </w:r>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本基金是一只债券型基金，其预期风险与预期收益高于货币市场基金，低于混合型基金和股票型基金。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上海浦东发展银行股份有限公司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32191" w:rsidRPr="00414345" w:rsidTr="0003219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32191" w:rsidRPr="00414345" w:rsidTr="000321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82,798,160.19</w:t>
            </w:r>
          </w:p>
        </w:tc>
      </w:tr>
      <w:tr w:rsidR="00032191" w:rsidRPr="00414345" w:rsidTr="000321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82,798,160.19</w:t>
            </w:r>
          </w:p>
        </w:tc>
      </w:tr>
      <w:tr w:rsidR="00032191" w:rsidRPr="00414345" w:rsidTr="000321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0.0071</w:t>
            </w:r>
          </w:p>
        </w:tc>
      </w:tr>
      <w:tr w:rsidR="00032191" w:rsidRPr="00414345" w:rsidTr="0003219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11,909,708,571.49</w:t>
            </w:r>
          </w:p>
        </w:tc>
      </w:tr>
      <w:tr w:rsidR="00032191" w:rsidRPr="00414345" w:rsidTr="0003219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1.0223</w:t>
            </w:r>
          </w:p>
        </w:tc>
      </w:tr>
    </w:tbl>
    <w:p w:rsidR="00107FDB" w:rsidRDefault="0003219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07FDB">
        <w:trPr>
          <w:jc w:val="center"/>
        </w:trPr>
        <w:tc>
          <w:tcPr>
            <w:tcW w:w="1701" w:type="dxa"/>
            <w:vAlign w:val="center"/>
          </w:tcPr>
          <w:p w:rsidR="00107FDB" w:rsidRDefault="00032191">
            <w:pPr>
              <w:jc w:val="left"/>
            </w:pPr>
            <w:r>
              <w:rPr>
                <w:color w:val="000000"/>
                <w:sz w:val="24"/>
                <w:szCs w:val="24"/>
              </w:rPr>
              <w:lastRenderedPageBreak/>
              <w:t>过去三个月</w:t>
            </w:r>
          </w:p>
        </w:tc>
        <w:tc>
          <w:tcPr>
            <w:tcW w:w="1045" w:type="dxa"/>
            <w:vAlign w:val="center"/>
          </w:tcPr>
          <w:p w:rsidR="00107FDB" w:rsidRDefault="00032191">
            <w:pPr>
              <w:jc w:val="center"/>
            </w:pPr>
            <w:r>
              <w:rPr>
                <w:color w:val="000000"/>
                <w:sz w:val="24"/>
                <w:szCs w:val="24"/>
              </w:rPr>
              <w:t>0.70%</w:t>
            </w:r>
          </w:p>
        </w:tc>
        <w:tc>
          <w:tcPr>
            <w:tcW w:w="1344" w:type="dxa"/>
            <w:vAlign w:val="center"/>
          </w:tcPr>
          <w:p w:rsidR="00107FDB" w:rsidRDefault="00032191">
            <w:pPr>
              <w:jc w:val="center"/>
            </w:pPr>
            <w:r>
              <w:rPr>
                <w:color w:val="000000"/>
                <w:sz w:val="24"/>
                <w:szCs w:val="24"/>
              </w:rPr>
              <w:t>0.01%</w:t>
            </w:r>
          </w:p>
        </w:tc>
        <w:tc>
          <w:tcPr>
            <w:tcW w:w="1194" w:type="dxa"/>
            <w:vAlign w:val="center"/>
          </w:tcPr>
          <w:p w:rsidR="00107FDB" w:rsidRDefault="00032191">
            <w:pPr>
              <w:jc w:val="center"/>
            </w:pPr>
            <w:r>
              <w:rPr>
                <w:color w:val="000000"/>
                <w:sz w:val="24"/>
                <w:szCs w:val="24"/>
              </w:rPr>
              <w:t>0.79%</w:t>
            </w:r>
          </w:p>
        </w:tc>
        <w:tc>
          <w:tcPr>
            <w:tcW w:w="1492" w:type="dxa"/>
            <w:vAlign w:val="center"/>
          </w:tcPr>
          <w:p w:rsidR="00107FDB" w:rsidRDefault="00032191">
            <w:pPr>
              <w:jc w:val="center"/>
            </w:pPr>
            <w:r>
              <w:rPr>
                <w:color w:val="000000"/>
                <w:sz w:val="24"/>
                <w:szCs w:val="24"/>
              </w:rPr>
              <w:t>0.01%</w:t>
            </w:r>
          </w:p>
        </w:tc>
        <w:tc>
          <w:tcPr>
            <w:tcW w:w="1194" w:type="dxa"/>
            <w:vAlign w:val="center"/>
          </w:tcPr>
          <w:p w:rsidR="00107FDB" w:rsidRDefault="00032191">
            <w:pPr>
              <w:jc w:val="center"/>
            </w:pPr>
            <w:r>
              <w:rPr>
                <w:color w:val="000000"/>
                <w:sz w:val="24"/>
                <w:szCs w:val="24"/>
              </w:rPr>
              <w:t>-0.09%</w:t>
            </w:r>
          </w:p>
        </w:tc>
        <w:tc>
          <w:tcPr>
            <w:tcW w:w="898" w:type="dxa"/>
            <w:vAlign w:val="center"/>
          </w:tcPr>
          <w:p w:rsidR="00107FDB" w:rsidRDefault="00032191">
            <w:pPr>
              <w:jc w:val="center"/>
            </w:pPr>
            <w:r>
              <w:rPr>
                <w:color w:val="000000"/>
                <w:sz w:val="24"/>
                <w:szCs w:val="24"/>
              </w:rPr>
              <w:t>0.00%</w:t>
            </w:r>
          </w:p>
        </w:tc>
      </w:tr>
      <w:tr w:rsidR="00107FDB">
        <w:trPr>
          <w:jc w:val="center"/>
        </w:trPr>
        <w:tc>
          <w:tcPr>
            <w:tcW w:w="1701" w:type="dxa"/>
            <w:vAlign w:val="center"/>
          </w:tcPr>
          <w:p w:rsidR="00107FDB" w:rsidRDefault="00032191">
            <w:pPr>
              <w:jc w:val="left"/>
            </w:pPr>
            <w:r>
              <w:rPr>
                <w:color w:val="000000"/>
                <w:sz w:val="24"/>
                <w:szCs w:val="24"/>
              </w:rPr>
              <w:t>过去六个月</w:t>
            </w:r>
          </w:p>
        </w:tc>
        <w:tc>
          <w:tcPr>
            <w:tcW w:w="1045" w:type="dxa"/>
            <w:vAlign w:val="center"/>
          </w:tcPr>
          <w:p w:rsidR="00107FDB" w:rsidRDefault="00032191">
            <w:pPr>
              <w:jc w:val="center"/>
            </w:pPr>
            <w:r>
              <w:rPr>
                <w:color w:val="000000"/>
                <w:sz w:val="24"/>
                <w:szCs w:val="24"/>
              </w:rPr>
              <w:t>1.40%</w:t>
            </w:r>
          </w:p>
        </w:tc>
        <w:tc>
          <w:tcPr>
            <w:tcW w:w="1344" w:type="dxa"/>
            <w:vAlign w:val="center"/>
          </w:tcPr>
          <w:p w:rsidR="00107FDB" w:rsidRDefault="00032191">
            <w:pPr>
              <w:jc w:val="center"/>
            </w:pPr>
            <w:r>
              <w:rPr>
                <w:color w:val="000000"/>
                <w:sz w:val="24"/>
                <w:szCs w:val="24"/>
              </w:rPr>
              <w:t>0.01%</w:t>
            </w:r>
          </w:p>
        </w:tc>
        <w:tc>
          <w:tcPr>
            <w:tcW w:w="1194" w:type="dxa"/>
            <w:vAlign w:val="center"/>
          </w:tcPr>
          <w:p w:rsidR="00107FDB" w:rsidRDefault="00032191">
            <w:pPr>
              <w:jc w:val="center"/>
            </w:pPr>
            <w:r>
              <w:rPr>
                <w:color w:val="000000"/>
                <w:sz w:val="24"/>
                <w:szCs w:val="24"/>
              </w:rPr>
              <w:t>1.58%</w:t>
            </w:r>
          </w:p>
        </w:tc>
        <w:tc>
          <w:tcPr>
            <w:tcW w:w="1492" w:type="dxa"/>
            <w:vAlign w:val="center"/>
          </w:tcPr>
          <w:p w:rsidR="00107FDB" w:rsidRDefault="00032191">
            <w:pPr>
              <w:jc w:val="center"/>
            </w:pPr>
            <w:r>
              <w:rPr>
                <w:color w:val="000000"/>
                <w:sz w:val="24"/>
                <w:szCs w:val="24"/>
              </w:rPr>
              <w:t>0.01%</w:t>
            </w:r>
          </w:p>
        </w:tc>
        <w:tc>
          <w:tcPr>
            <w:tcW w:w="1194" w:type="dxa"/>
            <w:vAlign w:val="center"/>
          </w:tcPr>
          <w:p w:rsidR="00107FDB" w:rsidRDefault="00032191">
            <w:pPr>
              <w:jc w:val="center"/>
            </w:pPr>
            <w:r>
              <w:rPr>
                <w:color w:val="000000"/>
                <w:sz w:val="24"/>
                <w:szCs w:val="24"/>
              </w:rPr>
              <w:t>-0.18%</w:t>
            </w:r>
          </w:p>
        </w:tc>
        <w:tc>
          <w:tcPr>
            <w:tcW w:w="898" w:type="dxa"/>
            <w:vAlign w:val="center"/>
          </w:tcPr>
          <w:p w:rsidR="00107FDB" w:rsidRDefault="00032191">
            <w:pPr>
              <w:jc w:val="center"/>
            </w:pPr>
            <w:r>
              <w:rPr>
                <w:color w:val="000000"/>
                <w:sz w:val="24"/>
                <w:szCs w:val="24"/>
              </w:rPr>
              <w:t>0.00%</w:t>
            </w:r>
          </w:p>
        </w:tc>
      </w:tr>
      <w:tr w:rsidR="00107FDB">
        <w:trPr>
          <w:jc w:val="center"/>
        </w:trPr>
        <w:tc>
          <w:tcPr>
            <w:tcW w:w="1701" w:type="dxa"/>
            <w:vAlign w:val="center"/>
          </w:tcPr>
          <w:p w:rsidR="00107FDB" w:rsidRDefault="00032191">
            <w:pPr>
              <w:jc w:val="left"/>
            </w:pPr>
            <w:r>
              <w:rPr>
                <w:color w:val="000000"/>
                <w:sz w:val="24"/>
                <w:szCs w:val="24"/>
              </w:rPr>
              <w:t>自基金合同生效至今</w:t>
            </w:r>
          </w:p>
        </w:tc>
        <w:tc>
          <w:tcPr>
            <w:tcW w:w="1045" w:type="dxa"/>
            <w:vAlign w:val="center"/>
          </w:tcPr>
          <w:p w:rsidR="00107FDB" w:rsidRDefault="00032191">
            <w:pPr>
              <w:jc w:val="center"/>
            </w:pPr>
            <w:r>
              <w:rPr>
                <w:color w:val="000000"/>
                <w:sz w:val="24"/>
                <w:szCs w:val="24"/>
              </w:rPr>
              <w:t>2.23%</w:t>
            </w:r>
          </w:p>
        </w:tc>
        <w:tc>
          <w:tcPr>
            <w:tcW w:w="1344" w:type="dxa"/>
            <w:vAlign w:val="center"/>
          </w:tcPr>
          <w:p w:rsidR="00107FDB" w:rsidRDefault="00032191">
            <w:pPr>
              <w:jc w:val="center"/>
            </w:pPr>
            <w:r>
              <w:rPr>
                <w:color w:val="000000"/>
                <w:sz w:val="24"/>
                <w:szCs w:val="24"/>
              </w:rPr>
              <w:t>0.01%</w:t>
            </w:r>
          </w:p>
        </w:tc>
        <w:tc>
          <w:tcPr>
            <w:tcW w:w="1194" w:type="dxa"/>
            <w:vAlign w:val="center"/>
          </w:tcPr>
          <w:p w:rsidR="00107FDB" w:rsidRDefault="00032191">
            <w:pPr>
              <w:jc w:val="center"/>
            </w:pPr>
            <w:r>
              <w:rPr>
                <w:color w:val="000000"/>
                <w:sz w:val="24"/>
                <w:szCs w:val="24"/>
              </w:rPr>
              <w:t>2.55%</w:t>
            </w:r>
          </w:p>
        </w:tc>
        <w:tc>
          <w:tcPr>
            <w:tcW w:w="1492" w:type="dxa"/>
            <w:vAlign w:val="center"/>
          </w:tcPr>
          <w:p w:rsidR="00107FDB" w:rsidRDefault="00032191">
            <w:pPr>
              <w:jc w:val="center"/>
            </w:pPr>
            <w:r>
              <w:rPr>
                <w:color w:val="000000"/>
                <w:sz w:val="24"/>
                <w:szCs w:val="24"/>
              </w:rPr>
              <w:t>0.01%</w:t>
            </w:r>
          </w:p>
        </w:tc>
        <w:tc>
          <w:tcPr>
            <w:tcW w:w="1194" w:type="dxa"/>
            <w:vAlign w:val="center"/>
          </w:tcPr>
          <w:p w:rsidR="00107FDB" w:rsidRDefault="00032191">
            <w:pPr>
              <w:jc w:val="center"/>
            </w:pPr>
            <w:r>
              <w:rPr>
                <w:color w:val="000000"/>
                <w:sz w:val="24"/>
                <w:szCs w:val="24"/>
              </w:rPr>
              <w:t>-0.32%</w:t>
            </w:r>
          </w:p>
        </w:tc>
        <w:tc>
          <w:tcPr>
            <w:tcW w:w="898" w:type="dxa"/>
            <w:vAlign w:val="center"/>
          </w:tcPr>
          <w:p w:rsidR="00107FDB" w:rsidRDefault="00032191">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交银施罗德裕泰两年定期开放债券型证券投资基金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3</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07FDB">
        <w:trPr>
          <w:jc w:val="center"/>
        </w:trPr>
        <w:tc>
          <w:tcPr>
            <w:tcW w:w="846" w:type="dxa"/>
            <w:vAlign w:val="center"/>
          </w:tcPr>
          <w:p w:rsidR="00107FDB" w:rsidRDefault="00032191">
            <w:pPr>
              <w:jc w:val="center"/>
            </w:pPr>
            <w:proofErr w:type="gramStart"/>
            <w:r>
              <w:rPr>
                <w:color w:val="000000"/>
                <w:sz w:val="24"/>
                <w:szCs w:val="24"/>
              </w:rPr>
              <w:t>于海颖</w:t>
            </w:r>
            <w:proofErr w:type="gramEnd"/>
          </w:p>
        </w:tc>
        <w:tc>
          <w:tcPr>
            <w:tcW w:w="845" w:type="dxa"/>
            <w:vAlign w:val="center"/>
          </w:tcPr>
          <w:p w:rsidR="00107FDB" w:rsidRDefault="00032191">
            <w:pPr>
              <w:jc w:val="center"/>
            </w:pPr>
            <w:r>
              <w:rPr>
                <w:color w:val="000000"/>
                <w:sz w:val="24"/>
                <w:szCs w:val="24"/>
              </w:rPr>
              <w:t>交</w:t>
            </w:r>
            <w:proofErr w:type="gramStart"/>
            <w:r>
              <w:rPr>
                <w:color w:val="000000"/>
                <w:sz w:val="24"/>
                <w:szCs w:val="24"/>
              </w:rPr>
              <w:t>银纯债</w:t>
            </w:r>
            <w:proofErr w:type="gramEnd"/>
            <w:r>
              <w:rPr>
                <w:color w:val="000000"/>
                <w:sz w:val="24"/>
                <w:szCs w:val="24"/>
              </w:rPr>
              <w:lastRenderedPageBreak/>
              <w:t>债券发起、交银丰晟收益债券、交银</w:t>
            </w:r>
            <w:proofErr w:type="gramStart"/>
            <w:r>
              <w:rPr>
                <w:color w:val="000000"/>
                <w:sz w:val="24"/>
                <w:szCs w:val="24"/>
              </w:rPr>
              <w:t>裕如纯债债券</w:t>
            </w:r>
            <w:proofErr w:type="gramEnd"/>
            <w:r>
              <w:rPr>
                <w:color w:val="000000"/>
                <w:sz w:val="24"/>
                <w:szCs w:val="24"/>
              </w:rPr>
              <w:t>、</w:t>
            </w:r>
            <w:proofErr w:type="gramStart"/>
            <w:r>
              <w:rPr>
                <w:color w:val="000000"/>
                <w:sz w:val="24"/>
                <w:szCs w:val="24"/>
              </w:rPr>
              <w:t>交银裕泰</w:t>
            </w:r>
            <w:proofErr w:type="gramEnd"/>
            <w:r>
              <w:rPr>
                <w:color w:val="000000"/>
                <w:sz w:val="24"/>
                <w:szCs w:val="24"/>
              </w:rPr>
              <w:t>两年定期开放债券、交</w:t>
            </w:r>
            <w:proofErr w:type="gramStart"/>
            <w:r>
              <w:rPr>
                <w:color w:val="000000"/>
                <w:sz w:val="24"/>
                <w:szCs w:val="24"/>
              </w:rPr>
              <w:t>银裕坤纯债</w:t>
            </w:r>
            <w:proofErr w:type="gramEnd"/>
            <w:r>
              <w:rPr>
                <w:color w:val="000000"/>
                <w:sz w:val="24"/>
                <w:szCs w:val="24"/>
              </w:rPr>
              <w:t>一年定期开放债券的基金经理，公司固定收益（公募）投资总监</w:t>
            </w:r>
          </w:p>
        </w:tc>
        <w:tc>
          <w:tcPr>
            <w:tcW w:w="1549" w:type="dxa"/>
            <w:vAlign w:val="center"/>
          </w:tcPr>
          <w:p w:rsidR="00107FDB" w:rsidRDefault="00032191">
            <w:pPr>
              <w:jc w:val="center"/>
            </w:pPr>
            <w:r>
              <w:rPr>
                <w:color w:val="000000"/>
                <w:sz w:val="24"/>
                <w:szCs w:val="24"/>
              </w:rPr>
              <w:lastRenderedPageBreak/>
              <w:t>2019-12-10</w:t>
            </w:r>
          </w:p>
        </w:tc>
        <w:tc>
          <w:tcPr>
            <w:tcW w:w="1548" w:type="dxa"/>
            <w:vAlign w:val="center"/>
          </w:tcPr>
          <w:p w:rsidR="00107FDB" w:rsidRDefault="00032191">
            <w:pPr>
              <w:jc w:val="center"/>
            </w:pPr>
            <w:r>
              <w:rPr>
                <w:color w:val="000000"/>
                <w:sz w:val="24"/>
                <w:szCs w:val="24"/>
              </w:rPr>
              <w:t>-</w:t>
            </w:r>
          </w:p>
        </w:tc>
        <w:tc>
          <w:tcPr>
            <w:tcW w:w="1407" w:type="dxa"/>
            <w:vAlign w:val="center"/>
          </w:tcPr>
          <w:p w:rsidR="00107FDB" w:rsidRDefault="00032191">
            <w:pPr>
              <w:jc w:val="center"/>
            </w:pPr>
            <w:r>
              <w:rPr>
                <w:color w:val="000000"/>
                <w:sz w:val="24"/>
                <w:szCs w:val="24"/>
              </w:rPr>
              <w:t>14</w:t>
            </w:r>
            <w:r>
              <w:rPr>
                <w:color w:val="000000"/>
                <w:sz w:val="24"/>
                <w:szCs w:val="24"/>
              </w:rPr>
              <w:t>年</w:t>
            </w:r>
          </w:p>
        </w:tc>
        <w:tc>
          <w:tcPr>
            <w:tcW w:w="2673" w:type="dxa"/>
            <w:vAlign w:val="center"/>
          </w:tcPr>
          <w:p w:rsidR="00107FDB" w:rsidRDefault="00032191">
            <w:r>
              <w:rPr>
                <w:color w:val="000000"/>
                <w:sz w:val="24"/>
                <w:szCs w:val="24"/>
              </w:rPr>
              <w:t>于海颖女士，天津大学数量经济学硕士、经济</w:t>
            </w:r>
            <w:r>
              <w:rPr>
                <w:color w:val="000000"/>
                <w:sz w:val="24"/>
                <w:szCs w:val="24"/>
              </w:rPr>
              <w:lastRenderedPageBreak/>
              <w:t>学学士。历任北方国际信托投资股份有限公司固定收益研究员，光大保德信基金管理有限公司交易员、基金经理助理、基金经理，银华基金管理有限公司基金经理，五</w:t>
            </w:r>
            <w:proofErr w:type="gramStart"/>
            <w:r>
              <w:rPr>
                <w:color w:val="000000"/>
                <w:sz w:val="24"/>
                <w:szCs w:val="24"/>
              </w:rPr>
              <w:t>矿证券</w:t>
            </w:r>
            <w:proofErr w:type="gramEnd"/>
            <w:r>
              <w:rPr>
                <w:color w:val="000000"/>
                <w:sz w:val="24"/>
                <w:szCs w:val="24"/>
              </w:rPr>
              <w:t>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w:t>
            </w:r>
            <w:proofErr w:type="gramStart"/>
            <w:r>
              <w:rPr>
                <w:color w:val="000000"/>
                <w:sz w:val="24"/>
                <w:szCs w:val="24"/>
              </w:rPr>
              <w:t>信货</w:t>
            </w:r>
            <w:proofErr w:type="gramEnd"/>
            <w:r>
              <w:rPr>
                <w:color w:val="000000"/>
                <w:sz w:val="24"/>
                <w:szCs w:val="24"/>
              </w:rPr>
              <w:t>币市场</w:t>
            </w:r>
            <w:proofErr w:type="gramStart"/>
            <w:r>
              <w:rPr>
                <w:color w:val="000000"/>
                <w:sz w:val="24"/>
                <w:szCs w:val="24"/>
              </w:rPr>
              <w:t>基金基金</w:t>
            </w:r>
            <w:proofErr w:type="gramEnd"/>
            <w:r>
              <w:rPr>
                <w:color w:val="000000"/>
                <w:sz w:val="24"/>
                <w:szCs w:val="24"/>
              </w:rPr>
              <w:t>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proofErr w:type="gramStart"/>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w:t>
            </w:r>
            <w:proofErr w:type="gramEnd"/>
            <w:r>
              <w:rPr>
                <w:color w:val="000000"/>
                <w:sz w:val="24"/>
                <w:szCs w:val="24"/>
              </w:rPr>
              <w:t>保本混合型证券投资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w:t>
            </w:r>
            <w:proofErr w:type="gramEnd"/>
            <w:r>
              <w:rPr>
                <w:color w:val="000000"/>
                <w:sz w:val="24"/>
                <w:szCs w:val="24"/>
              </w:rPr>
              <w:t>货币市场证券投资</w:t>
            </w:r>
            <w:proofErr w:type="gramStart"/>
            <w:r>
              <w:rPr>
                <w:color w:val="000000"/>
                <w:sz w:val="24"/>
                <w:szCs w:val="24"/>
              </w:rPr>
              <w:t>基金基金</w:t>
            </w:r>
            <w:proofErr w:type="gramEnd"/>
            <w:r>
              <w:rPr>
                <w:color w:val="000000"/>
                <w:sz w:val="24"/>
                <w:szCs w:val="24"/>
              </w:rPr>
              <w:t>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w:t>
            </w:r>
            <w:proofErr w:type="gramStart"/>
            <w:r>
              <w:rPr>
                <w:color w:val="000000"/>
                <w:sz w:val="24"/>
                <w:szCs w:val="24"/>
              </w:rPr>
              <w:t>任银华纯债</w:t>
            </w:r>
            <w:proofErr w:type="gramEnd"/>
            <w:r>
              <w:rPr>
                <w:color w:val="000000"/>
                <w:sz w:val="24"/>
                <w:szCs w:val="24"/>
              </w:rPr>
              <w:t>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w:t>
            </w:r>
            <w:proofErr w:type="gramStart"/>
            <w:r>
              <w:rPr>
                <w:color w:val="000000"/>
                <w:sz w:val="24"/>
                <w:szCs w:val="24"/>
              </w:rPr>
              <w:t>任银华交易</w:t>
            </w:r>
            <w:proofErr w:type="gramEnd"/>
            <w:r>
              <w:rPr>
                <w:color w:val="000000"/>
                <w:sz w:val="24"/>
                <w:szCs w:val="24"/>
              </w:rPr>
              <w:t>型货币市场</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信用四季红债券型证券投资</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信用季季红债券型证券投资</w:t>
            </w:r>
            <w:proofErr w:type="gramStart"/>
            <w:r>
              <w:rPr>
                <w:color w:val="000000"/>
                <w:sz w:val="24"/>
                <w:szCs w:val="24"/>
              </w:rPr>
              <w:t>基金基金</w:t>
            </w:r>
            <w:proofErr w:type="gramEnd"/>
            <w:r>
              <w:rPr>
                <w:color w:val="000000"/>
                <w:sz w:val="24"/>
                <w:szCs w:val="24"/>
              </w:rPr>
              <w:t>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proofErr w:type="gramStart"/>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w:t>
            </w:r>
            <w:proofErr w:type="gramEnd"/>
            <w:r>
              <w:rPr>
                <w:color w:val="000000"/>
                <w:sz w:val="24"/>
                <w:szCs w:val="24"/>
              </w:rPr>
              <w:t>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lastRenderedPageBreak/>
              <w:t>年加入交银施罗德基金管理有限公司。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日至</w:t>
            </w:r>
            <w:r>
              <w:rPr>
                <w:color w:val="000000"/>
                <w:sz w:val="24"/>
                <w:szCs w:val="24"/>
              </w:rPr>
              <w:t>2020</w:t>
            </w:r>
            <w:r>
              <w:rPr>
                <w:color w:val="000000"/>
                <w:sz w:val="24"/>
                <w:szCs w:val="24"/>
              </w:rPr>
              <w:t>年</w:t>
            </w:r>
            <w:r>
              <w:rPr>
                <w:color w:val="000000"/>
                <w:sz w:val="24"/>
                <w:szCs w:val="24"/>
              </w:rPr>
              <w:t>8</w:t>
            </w:r>
            <w:r>
              <w:rPr>
                <w:color w:val="000000"/>
                <w:sz w:val="24"/>
                <w:szCs w:val="24"/>
              </w:rPr>
              <w:t>月</w:t>
            </w:r>
            <w:r>
              <w:rPr>
                <w:color w:val="000000"/>
                <w:sz w:val="24"/>
                <w:szCs w:val="24"/>
              </w:rPr>
              <w:t>21</w:t>
            </w:r>
            <w:r>
              <w:rPr>
                <w:color w:val="000000"/>
                <w:sz w:val="24"/>
                <w:szCs w:val="24"/>
              </w:rPr>
              <w:t>日担任交银施罗德丰盈收益债券型证券投资基金的基金经理。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2020</w:t>
            </w:r>
            <w:r>
              <w:rPr>
                <w:color w:val="000000"/>
                <w:sz w:val="24"/>
                <w:szCs w:val="24"/>
              </w:rPr>
              <w:t>年</w:t>
            </w:r>
            <w:r>
              <w:rPr>
                <w:color w:val="000000"/>
                <w:sz w:val="24"/>
                <w:szCs w:val="24"/>
              </w:rPr>
              <w:t>8</w:t>
            </w:r>
            <w:r>
              <w:rPr>
                <w:color w:val="000000"/>
                <w:sz w:val="24"/>
                <w:szCs w:val="24"/>
              </w:rPr>
              <w:t>月</w:t>
            </w:r>
            <w:r>
              <w:rPr>
                <w:color w:val="000000"/>
                <w:sz w:val="24"/>
                <w:szCs w:val="24"/>
              </w:rPr>
              <w:t>21</w:t>
            </w:r>
            <w:r>
              <w:rPr>
                <w:color w:val="000000"/>
                <w:sz w:val="24"/>
                <w:szCs w:val="24"/>
              </w:rPr>
              <w:t>日担任交银施罗德增利债券证券投资基金的基金经理。</w:t>
            </w:r>
          </w:p>
        </w:tc>
      </w:tr>
      <w:tr w:rsidR="00107FDB">
        <w:trPr>
          <w:jc w:val="center"/>
        </w:trPr>
        <w:tc>
          <w:tcPr>
            <w:tcW w:w="846" w:type="dxa"/>
            <w:vAlign w:val="center"/>
          </w:tcPr>
          <w:p w:rsidR="00107FDB" w:rsidRDefault="00032191">
            <w:pPr>
              <w:jc w:val="center"/>
            </w:pPr>
            <w:r>
              <w:rPr>
                <w:color w:val="000000"/>
                <w:sz w:val="24"/>
                <w:szCs w:val="24"/>
              </w:rPr>
              <w:lastRenderedPageBreak/>
              <w:t>魏玉敏</w:t>
            </w:r>
          </w:p>
        </w:tc>
        <w:tc>
          <w:tcPr>
            <w:tcW w:w="845" w:type="dxa"/>
            <w:vAlign w:val="center"/>
          </w:tcPr>
          <w:p w:rsidR="00107FDB" w:rsidRDefault="00032191">
            <w:pPr>
              <w:jc w:val="center"/>
            </w:pPr>
            <w:r>
              <w:rPr>
                <w:color w:val="000000"/>
                <w:sz w:val="24"/>
                <w:szCs w:val="24"/>
              </w:rPr>
              <w:t>交银增利债券、交</w:t>
            </w:r>
            <w:proofErr w:type="gramStart"/>
            <w:r>
              <w:rPr>
                <w:color w:val="000000"/>
                <w:sz w:val="24"/>
                <w:szCs w:val="24"/>
              </w:rPr>
              <w:t>银纯债</w:t>
            </w:r>
            <w:proofErr w:type="gramEnd"/>
            <w:r>
              <w:rPr>
                <w:color w:val="000000"/>
                <w:sz w:val="24"/>
                <w:szCs w:val="24"/>
              </w:rPr>
              <w:t>债券发起、交银丰润收益债券、交银增利增强</w:t>
            </w:r>
            <w:r>
              <w:rPr>
                <w:color w:val="000000"/>
                <w:sz w:val="24"/>
                <w:szCs w:val="24"/>
              </w:rPr>
              <w:lastRenderedPageBreak/>
              <w:t>债券、交银丰晟收益债券、交银</w:t>
            </w:r>
            <w:proofErr w:type="gramStart"/>
            <w:r>
              <w:rPr>
                <w:color w:val="000000"/>
                <w:sz w:val="24"/>
                <w:szCs w:val="24"/>
              </w:rPr>
              <w:t>裕如纯债债券</w:t>
            </w:r>
            <w:proofErr w:type="gramEnd"/>
            <w:r>
              <w:rPr>
                <w:color w:val="000000"/>
                <w:sz w:val="24"/>
                <w:szCs w:val="24"/>
              </w:rPr>
              <w:t>、交银中债</w:t>
            </w:r>
            <w:r>
              <w:rPr>
                <w:color w:val="000000"/>
                <w:sz w:val="24"/>
                <w:szCs w:val="24"/>
              </w:rPr>
              <w:t>1-3</w:t>
            </w:r>
            <w:r>
              <w:rPr>
                <w:color w:val="000000"/>
                <w:sz w:val="24"/>
                <w:szCs w:val="24"/>
              </w:rPr>
              <w:t>年农发债指数、交银可转债债券、</w:t>
            </w:r>
            <w:proofErr w:type="gramStart"/>
            <w:r>
              <w:rPr>
                <w:color w:val="000000"/>
                <w:sz w:val="24"/>
                <w:szCs w:val="24"/>
              </w:rPr>
              <w:t>交银裕泰</w:t>
            </w:r>
            <w:proofErr w:type="gramEnd"/>
            <w:r>
              <w:rPr>
                <w:color w:val="000000"/>
                <w:sz w:val="24"/>
                <w:szCs w:val="24"/>
              </w:rPr>
              <w:t>两年定期开放债券的基金经理</w:t>
            </w:r>
          </w:p>
        </w:tc>
        <w:tc>
          <w:tcPr>
            <w:tcW w:w="1549" w:type="dxa"/>
            <w:vAlign w:val="center"/>
          </w:tcPr>
          <w:p w:rsidR="00107FDB" w:rsidRDefault="00032191">
            <w:pPr>
              <w:jc w:val="center"/>
            </w:pPr>
            <w:r>
              <w:rPr>
                <w:color w:val="000000"/>
                <w:sz w:val="24"/>
                <w:szCs w:val="24"/>
              </w:rPr>
              <w:lastRenderedPageBreak/>
              <w:t>2019-12-10</w:t>
            </w:r>
          </w:p>
        </w:tc>
        <w:tc>
          <w:tcPr>
            <w:tcW w:w="1548" w:type="dxa"/>
            <w:vAlign w:val="center"/>
          </w:tcPr>
          <w:p w:rsidR="00107FDB" w:rsidRDefault="00032191">
            <w:pPr>
              <w:jc w:val="center"/>
            </w:pPr>
            <w:r>
              <w:rPr>
                <w:color w:val="000000"/>
                <w:sz w:val="24"/>
                <w:szCs w:val="24"/>
              </w:rPr>
              <w:t>-</w:t>
            </w:r>
          </w:p>
        </w:tc>
        <w:tc>
          <w:tcPr>
            <w:tcW w:w="1407" w:type="dxa"/>
            <w:vAlign w:val="center"/>
          </w:tcPr>
          <w:p w:rsidR="00107FDB" w:rsidRDefault="00032191">
            <w:pPr>
              <w:jc w:val="center"/>
            </w:pPr>
            <w:r>
              <w:rPr>
                <w:color w:val="000000"/>
                <w:sz w:val="24"/>
                <w:szCs w:val="24"/>
              </w:rPr>
              <w:t>8</w:t>
            </w:r>
            <w:r>
              <w:rPr>
                <w:color w:val="000000"/>
                <w:sz w:val="24"/>
                <w:szCs w:val="24"/>
              </w:rPr>
              <w:t>年</w:t>
            </w:r>
          </w:p>
        </w:tc>
        <w:tc>
          <w:tcPr>
            <w:tcW w:w="2673" w:type="dxa"/>
            <w:vAlign w:val="center"/>
          </w:tcPr>
          <w:p w:rsidR="00107FDB" w:rsidRDefault="00032191">
            <w:r>
              <w:rPr>
                <w:color w:val="000000"/>
                <w:sz w:val="24"/>
                <w:szCs w:val="24"/>
              </w:rPr>
              <w:t>魏玉敏女士，厦门大学金融学硕士、学士。</w:t>
            </w:r>
            <w:r>
              <w:rPr>
                <w:color w:val="000000"/>
                <w:sz w:val="24"/>
                <w:szCs w:val="24"/>
              </w:rPr>
              <w:t>2012</w:t>
            </w:r>
            <w:r>
              <w:rPr>
                <w:color w:val="000000"/>
                <w:sz w:val="24"/>
                <w:szCs w:val="24"/>
              </w:rPr>
              <w:t>年至</w:t>
            </w:r>
            <w:r>
              <w:rPr>
                <w:color w:val="000000"/>
                <w:sz w:val="24"/>
                <w:szCs w:val="24"/>
              </w:rPr>
              <w:t>2013</w:t>
            </w:r>
            <w:r>
              <w:rPr>
                <w:color w:val="000000"/>
                <w:sz w:val="24"/>
                <w:szCs w:val="24"/>
              </w:rPr>
              <w:t>年任招商证券固定收益研究员，</w:t>
            </w:r>
            <w:r>
              <w:rPr>
                <w:color w:val="000000"/>
                <w:sz w:val="24"/>
                <w:szCs w:val="24"/>
              </w:rPr>
              <w:t>2013</w:t>
            </w:r>
            <w:r>
              <w:rPr>
                <w:color w:val="000000"/>
                <w:sz w:val="24"/>
                <w:szCs w:val="24"/>
              </w:rPr>
              <w:t>年至</w:t>
            </w:r>
            <w:r>
              <w:rPr>
                <w:color w:val="000000"/>
                <w:sz w:val="24"/>
                <w:szCs w:val="24"/>
              </w:rPr>
              <w:t>2016</w:t>
            </w:r>
            <w:r>
              <w:rPr>
                <w:color w:val="000000"/>
                <w:sz w:val="24"/>
                <w:szCs w:val="24"/>
              </w:rPr>
              <w:t>年任国信证券固定收益高级分析师。</w:t>
            </w:r>
            <w:r>
              <w:rPr>
                <w:color w:val="000000"/>
                <w:sz w:val="24"/>
                <w:szCs w:val="24"/>
              </w:rPr>
              <w:t>2016</w:t>
            </w:r>
            <w:r>
              <w:rPr>
                <w:color w:val="000000"/>
                <w:sz w:val="24"/>
                <w:szCs w:val="24"/>
              </w:rPr>
              <w:t>年加入交银施罗德基金管理有限公司，历任基金经理助理。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07FDB" w:rsidRDefault="0003219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07FDB" w:rsidRDefault="0003219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w:t>
      </w:r>
      <w:r>
        <w:rPr>
          <w:color w:val="000000"/>
          <w:sz w:val="24"/>
          <w:szCs w:val="24"/>
        </w:rPr>
        <w:lastRenderedPageBreak/>
        <w:t>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07FDB" w:rsidRDefault="0003219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07FDB" w:rsidRDefault="00032191">
      <w:pPr>
        <w:spacing w:before="29" w:line="288" w:lineRule="auto"/>
        <w:ind w:firstLineChars="200" w:firstLine="480"/>
        <w:rPr>
          <w:color w:val="000000"/>
          <w:sz w:val="24"/>
          <w:szCs w:val="24"/>
        </w:rPr>
      </w:pPr>
      <w:r>
        <w:rPr>
          <w:color w:val="000000"/>
          <w:sz w:val="24"/>
          <w:szCs w:val="24"/>
        </w:rPr>
        <w:t>回顾</w:t>
      </w:r>
      <w:r>
        <w:rPr>
          <w:color w:val="000000"/>
          <w:sz w:val="24"/>
          <w:szCs w:val="24"/>
        </w:rPr>
        <w:t>2020</w:t>
      </w:r>
      <w:r>
        <w:rPr>
          <w:color w:val="000000"/>
          <w:sz w:val="24"/>
          <w:szCs w:val="24"/>
        </w:rPr>
        <w:t>年三季度，债券收益率整体呈现震荡上行的趋势，经济复苏预期下叠加货币政策回归中性，资金面呈现出阶段性紧张局面，债券市场弱势震荡。具体来看，本季度初，同时央行公开市场操作持续净回笼传递货币政策偏紧预期，特别国债发行导致供给压力增大，债券市场延续弱势调整。季度中期，债市在配置资金和避险情绪催化下开启一波反弹行情。进入季度末，在超储率低位的情况下，资金面持续维持平衡偏紧格局，银行负债压力加大，存单发行利率不断上行，带动曲线平坦化上行。</w:t>
      </w:r>
    </w:p>
    <w:p w:rsidR="00107FDB" w:rsidRDefault="00032191">
      <w:pPr>
        <w:spacing w:before="29" w:line="288" w:lineRule="auto"/>
        <w:ind w:firstLineChars="200" w:firstLine="480"/>
        <w:rPr>
          <w:color w:val="000000"/>
          <w:sz w:val="24"/>
          <w:szCs w:val="24"/>
        </w:rPr>
      </w:pPr>
      <w:r>
        <w:rPr>
          <w:color w:val="000000"/>
          <w:sz w:val="24"/>
          <w:szCs w:val="24"/>
        </w:rPr>
        <w:t>报告期内，组合以政策性金融债和商业银行债为主要配置品种，结合资产到期情况和市场收益率变动，增配部分期限符合的资产，同时，坚持控制组</w:t>
      </w:r>
      <w:proofErr w:type="gramStart"/>
      <w:r>
        <w:rPr>
          <w:color w:val="000000"/>
          <w:sz w:val="24"/>
          <w:szCs w:val="24"/>
        </w:rPr>
        <w:t>合资金</w:t>
      </w:r>
      <w:proofErr w:type="gramEnd"/>
      <w:r>
        <w:rPr>
          <w:color w:val="000000"/>
          <w:sz w:val="24"/>
          <w:szCs w:val="24"/>
        </w:rPr>
        <w:t>成本，增厚组合杠杆收益。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年四季度，国内基本</w:t>
      </w:r>
      <w:proofErr w:type="gramStart"/>
      <w:r w:rsidRPr="00414345">
        <w:rPr>
          <w:color w:val="000000"/>
          <w:sz w:val="24"/>
          <w:szCs w:val="24"/>
        </w:rPr>
        <w:t>面恢复</w:t>
      </w:r>
      <w:proofErr w:type="gramEnd"/>
      <w:r w:rsidRPr="00414345">
        <w:rPr>
          <w:color w:val="000000"/>
          <w:sz w:val="24"/>
          <w:szCs w:val="24"/>
        </w:rPr>
        <w:t>的节奏和货币信用的边际变化将成为影响债市的主要因素。短期来看经济延续改善趋势、工业品价格上行压力增大，货币政策回归中性以及银行负债端压力较大等因素影响下，我们认为债券市场将维持震荡上行，趋势性机会仍需要等待。但随着年末供给压力减弱</w:t>
      </w:r>
      <w:bookmarkStart w:id="0" w:name="_GoBack"/>
      <w:bookmarkEnd w:id="0"/>
      <w:r w:rsidRPr="00414345">
        <w:rPr>
          <w:color w:val="000000"/>
          <w:sz w:val="24"/>
          <w:szCs w:val="24"/>
        </w:rPr>
        <w:t>、信用增速放缓以及中美关系不确定性提升，债券市场或存在波段交易机会。操作策略方面，我们将关注本基金可配置券种的投资机会，结合资产到期安排和市场情况，择机进行再配置，同时控制融资成本，以期提升组合整体静态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16,448,006,040.07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16,448,006,040.07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15,519,887.62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315,556,929.26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16,779,082,856.95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23A63" w:rsidRPr="00414345" w:rsidRDefault="00423A63" w:rsidP="00C15CAC">
      <w:pPr>
        <w:autoSpaceDE w:val="0"/>
        <w:autoSpaceDN w:val="0"/>
        <w:adjustRightInd w:val="0"/>
        <w:spacing w:before="29" w:line="288" w:lineRule="auto"/>
        <w:jc w:val="left"/>
        <w:rPr>
          <w:rFonts w:hint="eastAsia"/>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w:t>
      </w:r>
      <w:proofErr w:type="gramStart"/>
      <w:r w:rsidRPr="00414345">
        <w:rPr>
          <w:b/>
          <w:bCs/>
          <w:color w:val="000000"/>
          <w:kern w:val="0"/>
          <w:sz w:val="24"/>
          <w:szCs w:val="24"/>
        </w:rPr>
        <w:t>按</w:t>
      </w:r>
      <w:r w:rsidR="00032191" w:rsidRPr="00032191">
        <w:rPr>
          <w:rFonts w:hint="eastAsia"/>
          <w:b/>
          <w:bCs/>
          <w:color w:val="000000"/>
          <w:kern w:val="0"/>
          <w:sz w:val="24"/>
          <w:szCs w:val="24"/>
        </w:rPr>
        <w:t>摊余成本</w:t>
      </w:r>
      <w:proofErr w:type="gramEnd"/>
      <w:r w:rsidRPr="00414345">
        <w:rPr>
          <w:b/>
          <w:bCs/>
          <w:color w:val="000000"/>
          <w:kern w:val="0"/>
          <w:sz w:val="24"/>
          <w:szCs w:val="24"/>
        </w:rPr>
        <w:t>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032191" w:rsidP="00C15CAC">
            <w:pPr>
              <w:spacing w:before="29" w:line="288" w:lineRule="auto"/>
              <w:ind w:left="17"/>
              <w:jc w:val="center"/>
              <w:rPr>
                <w:color w:val="000000"/>
                <w:sz w:val="24"/>
                <w:szCs w:val="24"/>
              </w:rPr>
            </w:pPr>
            <w:r w:rsidRPr="00032191">
              <w:rPr>
                <w:rFonts w:hint="eastAsia"/>
                <w:color w:val="000000"/>
                <w:sz w:val="24"/>
                <w:szCs w:val="24"/>
              </w:rPr>
              <w:t>摊</w:t>
            </w:r>
            <w:proofErr w:type="gramStart"/>
            <w:r w:rsidRPr="00032191">
              <w:rPr>
                <w:rFonts w:hint="eastAsia"/>
                <w:color w:val="000000"/>
                <w:sz w:val="24"/>
                <w:szCs w:val="24"/>
              </w:rPr>
              <w:t>余成本</w:t>
            </w:r>
            <w:proofErr w:type="gramEnd"/>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16,448,006,040.07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138.11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8,214,557,462.26</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68.97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16,448,006,040.07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138.11</w:t>
            </w:r>
          </w:p>
        </w:tc>
      </w:tr>
    </w:tbl>
    <w:p w:rsidR="004061AC" w:rsidRDefault="00032191" w:rsidP="00C15CAC">
      <w:pPr>
        <w:autoSpaceDE w:val="0"/>
        <w:autoSpaceDN w:val="0"/>
        <w:adjustRightInd w:val="0"/>
        <w:spacing w:before="29" w:line="288" w:lineRule="auto"/>
        <w:jc w:val="left"/>
        <w:rPr>
          <w:color w:val="000000"/>
          <w:kern w:val="0"/>
          <w:sz w:val="24"/>
          <w:szCs w:val="24"/>
        </w:rPr>
      </w:pPr>
      <w:r w:rsidRPr="00032191">
        <w:rPr>
          <w:rFonts w:hint="eastAsia"/>
          <w:color w:val="000000"/>
          <w:kern w:val="0"/>
          <w:sz w:val="24"/>
          <w:szCs w:val="24"/>
        </w:rPr>
        <w:t>注：上表中，附息债券的成本包括债券面值和折溢价，贴现式债券的成本包括债券投资成本和内在应收利息。</w:t>
      </w:r>
    </w:p>
    <w:p w:rsidR="00032191" w:rsidRPr="00414345" w:rsidRDefault="00032191"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w:t>
      </w:r>
      <w:proofErr w:type="gramStart"/>
      <w:r w:rsidRPr="00414345">
        <w:rPr>
          <w:b/>
          <w:bCs/>
          <w:color w:val="000000"/>
          <w:kern w:val="0"/>
          <w:sz w:val="24"/>
          <w:szCs w:val="24"/>
        </w:rPr>
        <w:t>按</w:t>
      </w:r>
      <w:r w:rsidR="00032191" w:rsidRPr="00032191">
        <w:rPr>
          <w:rFonts w:hint="eastAsia"/>
          <w:b/>
          <w:bCs/>
          <w:color w:val="000000"/>
          <w:kern w:val="0"/>
          <w:sz w:val="24"/>
          <w:szCs w:val="24"/>
        </w:rPr>
        <w:t>摊余成本</w:t>
      </w:r>
      <w:proofErr w:type="gramEnd"/>
      <w:r w:rsidRPr="00414345">
        <w:rPr>
          <w:b/>
          <w:bCs/>
          <w:color w:val="000000"/>
          <w:kern w:val="0"/>
          <w:sz w:val="24"/>
          <w:szCs w:val="24"/>
        </w:rPr>
        <w:t>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032191" w:rsidP="00C15CAC">
            <w:pPr>
              <w:spacing w:before="29" w:line="288" w:lineRule="auto"/>
              <w:ind w:left="17"/>
              <w:jc w:val="center"/>
              <w:rPr>
                <w:color w:val="000000"/>
                <w:sz w:val="24"/>
                <w:szCs w:val="24"/>
              </w:rPr>
            </w:pPr>
            <w:r w:rsidRPr="00032191">
              <w:rPr>
                <w:rFonts w:hint="eastAsia"/>
                <w:color w:val="000000"/>
                <w:sz w:val="24"/>
                <w:szCs w:val="24"/>
              </w:rPr>
              <w:t>摊</w:t>
            </w:r>
            <w:proofErr w:type="gramStart"/>
            <w:r w:rsidRPr="00032191">
              <w:rPr>
                <w:rFonts w:hint="eastAsia"/>
                <w:color w:val="000000"/>
                <w:sz w:val="24"/>
                <w:szCs w:val="24"/>
              </w:rPr>
              <w:t>余成本</w:t>
            </w:r>
            <w:proofErr w:type="gramEnd"/>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07FDB">
        <w:trPr>
          <w:jc w:val="center"/>
        </w:trPr>
        <w:tc>
          <w:tcPr>
            <w:tcW w:w="850" w:type="dxa"/>
            <w:vAlign w:val="center"/>
          </w:tcPr>
          <w:p w:rsidR="00107FDB" w:rsidRDefault="00032191">
            <w:pPr>
              <w:jc w:val="center"/>
            </w:pPr>
            <w:r>
              <w:rPr>
                <w:color w:val="000000"/>
                <w:sz w:val="24"/>
                <w:szCs w:val="24"/>
              </w:rPr>
              <w:t>1</w:t>
            </w:r>
          </w:p>
        </w:tc>
        <w:tc>
          <w:tcPr>
            <w:tcW w:w="1475" w:type="dxa"/>
            <w:vAlign w:val="center"/>
          </w:tcPr>
          <w:p w:rsidR="00107FDB" w:rsidRDefault="00032191">
            <w:pPr>
              <w:jc w:val="center"/>
            </w:pPr>
            <w:r>
              <w:rPr>
                <w:color w:val="000000"/>
                <w:sz w:val="24"/>
                <w:szCs w:val="24"/>
              </w:rPr>
              <w:t>160218</w:t>
            </w:r>
          </w:p>
        </w:tc>
        <w:tc>
          <w:tcPr>
            <w:tcW w:w="1769" w:type="dxa"/>
            <w:vAlign w:val="center"/>
          </w:tcPr>
          <w:p w:rsidR="00107FDB" w:rsidRDefault="00032191">
            <w:pPr>
              <w:jc w:val="center"/>
            </w:pPr>
            <w:r>
              <w:rPr>
                <w:color w:val="000000"/>
                <w:sz w:val="24"/>
                <w:szCs w:val="24"/>
              </w:rPr>
              <w:t>16</w:t>
            </w:r>
            <w:r>
              <w:rPr>
                <w:color w:val="000000"/>
                <w:sz w:val="24"/>
                <w:szCs w:val="24"/>
              </w:rPr>
              <w:t>国开</w:t>
            </w:r>
            <w:r>
              <w:rPr>
                <w:color w:val="000000"/>
                <w:sz w:val="24"/>
                <w:szCs w:val="24"/>
              </w:rPr>
              <w:t>18</w:t>
            </w:r>
          </w:p>
        </w:tc>
        <w:tc>
          <w:tcPr>
            <w:tcW w:w="1387" w:type="dxa"/>
            <w:vAlign w:val="center"/>
          </w:tcPr>
          <w:p w:rsidR="00107FDB" w:rsidRDefault="00032191">
            <w:pPr>
              <w:jc w:val="right"/>
            </w:pPr>
            <w:r>
              <w:rPr>
                <w:color w:val="000000"/>
                <w:sz w:val="24"/>
                <w:szCs w:val="24"/>
              </w:rPr>
              <w:t>26,200,000</w:t>
            </w:r>
          </w:p>
        </w:tc>
        <w:tc>
          <w:tcPr>
            <w:tcW w:w="2150" w:type="dxa"/>
            <w:vAlign w:val="center"/>
          </w:tcPr>
          <w:p w:rsidR="00107FDB" w:rsidRDefault="00032191">
            <w:pPr>
              <w:jc w:val="right"/>
            </w:pPr>
            <w:r>
              <w:rPr>
                <w:color w:val="000000"/>
                <w:sz w:val="24"/>
                <w:szCs w:val="24"/>
              </w:rPr>
              <w:t>2,638,448,301.81</w:t>
            </w:r>
          </w:p>
        </w:tc>
        <w:tc>
          <w:tcPr>
            <w:tcW w:w="1237" w:type="dxa"/>
            <w:vAlign w:val="center"/>
          </w:tcPr>
          <w:p w:rsidR="00107FDB" w:rsidRDefault="00032191">
            <w:pPr>
              <w:jc w:val="right"/>
            </w:pPr>
            <w:r>
              <w:rPr>
                <w:color w:val="000000"/>
                <w:sz w:val="24"/>
                <w:szCs w:val="24"/>
              </w:rPr>
              <w:t>22.15</w:t>
            </w:r>
          </w:p>
        </w:tc>
      </w:tr>
      <w:tr w:rsidR="00107FDB">
        <w:trPr>
          <w:jc w:val="center"/>
        </w:trPr>
        <w:tc>
          <w:tcPr>
            <w:tcW w:w="850" w:type="dxa"/>
            <w:vAlign w:val="center"/>
          </w:tcPr>
          <w:p w:rsidR="00107FDB" w:rsidRDefault="00032191">
            <w:pPr>
              <w:jc w:val="center"/>
            </w:pPr>
            <w:r>
              <w:rPr>
                <w:color w:val="000000"/>
                <w:sz w:val="24"/>
                <w:szCs w:val="24"/>
              </w:rPr>
              <w:t>2</w:t>
            </w:r>
          </w:p>
        </w:tc>
        <w:tc>
          <w:tcPr>
            <w:tcW w:w="1475" w:type="dxa"/>
            <w:vAlign w:val="center"/>
          </w:tcPr>
          <w:p w:rsidR="00107FDB" w:rsidRDefault="00032191">
            <w:pPr>
              <w:jc w:val="center"/>
            </w:pPr>
            <w:r>
              <w:rPr>
                <w:color w:val="000000"/>
                <w:sz w:val="24"/>
                <w:szCs w:val="24"/>
              </w:rPr>
              <w:t>180412</w:t>
            </w:r>
          </w:p>
        </w:tc>
        <w:tc>
          <w:tcPr>
            <w:tcW w:w="1769" w:type="dxa"/>
            <w:vAlign w:val="center"/>
          </w:tcPr>
          <w:p w:rsidR="00107FDB" w:rsidRDefault="00032191">
            <w:pPr>
              <w:jc w:val="center"/>
            </w:pPr>
            <w:r>
              <w:rPr>
                <w:color w:val="000000"/>
                <w:sz w:val="24"/>
                <w:szCs w:val="24"/>
              </w:rPr>
              <w:t>18</w:t>
            </w:r>
            <w:r>
              <w:rPr>
                <w:color w:val="000000"/>
                <w:sz w:val="24"/>
                <w:szCs w:val="24"/>
              </w:rPr>
              <w:t>农发</w:t>
            </w:r>
            <w:r>
              <w:rPr>
                <w:color w:val="000000"/>
                <w:sz w:val="24"/>
                <w:szCs w:val="24"/>
              </w:rPr>
              <w:t>12</w:t>
            </w:r>
          </w:p>
        </w:tc>
        <w:tc>
          <w:tcPr>
            <w:tcW w:w="1387" w:type="dxa"/>
            <w:vAlign w:val="center"/>
          </w:tcPr>
          <w:p w:rsidR="00107FDB" w:rsidRDefault="00032191">
            <w:pPr>
              <w:jc w:val="right"/>
            </w:pPr>
            <w:r>
              <w:rPr>
                <w:color w:val="000000"/>
                <w:sz w:val="24"/>
                <w:szCs w:val="24"/>
              </w:rPr>
              <w:t>18,800,000</w:t>
            </w:r>
          </w:p>
        </w:tc>
        <w:tc>
          <w:tcPr>
            <w:tcW w:w="2150" w:type="dxa"/>
            <w:vAlign w:val="center"/>
          </w:tcPr>
          <w:p w:rsidR="00107FDB" w:rsidRDefault="00032191">
            <w:pPr>
              <w:jc w:val="right"/>
            </w:pPr>
            <w:r>
              <w:rPr>
                <w:color w:val="000000"/>
                <w:sz w:val="24"/>
                <w:szCs w:val="24"/>
              </w:rPr>
              <w:t>1,890,163,360.78</w:t>
            </w:r>
          </w:p>
        </w:tc>
        <w:tc>
          <w:tcPr>
            <w:tcW w:w="1237" w:type="dxa"/>
            <w:vAlign w:val="center"/>
          </w:tcPr>
          <w:p w:rsidR="00107FDB" w:rsidRDefault="00032191">
            <w:pPr>
              <w:jc w:val="right"/>
            </w:pPr>
            <w:r>
              <w:rPr>
                <w:color w:val="000000"/>
                <w:sz w:val="24"/>
                <w:szCs w:val="24"/>
              </w:rPr>
              <w:t>15.87</w:t>
            </w:r>
          </w:p>
        </w:tc>
      </w:tr>
      <w:tr w:rsidR="00107FDB">
        <w:trPr>
          <w:jc w:val="center"/>
        </w:trPr>
        <w:tc>
          <w:tcPr>
            <w:tcW w:w="850" w:type="dxa"/>
            <w:vAlign w:val="center"/>
          </w:tcPr>
          <w:p w:rsidR="00107FDB" w:rsidRDefault="00032191">
            <w:pPr>
              <w:jc w:val="center"/>
            </w:pPr>
            <w:r>
              <w:rPr>
                <w:color w:val="000000"/>
                <w:sz w:val="24"/>
                <w:szCs w:val="24"/>
              </w:rPr>
              <w:t>3</w:t>
            </w:r>
          </w:p>
        </w:tc>
        <w:tc>
          <w:tcPr>
            <w:tcW w:w="1475" w:type="dxa"/>
            <w:vAlign w:val="center"/>
          </w:tcPr>
          <w:p w:rsidR="00107FDB" w:rsidRDefault="00032191">
            <w:pPr>
              <w:jc w:val="center"/>
            </w:pPr>
            <w:r>
              <w:rPr>
                <w:color w:val="000000"/>
                <w:sz w:val="24"/>
                <w:szCs w:val="24"/>
              </w:rPr>
              <w:t>1828004</w:t>
            </w:r>
          </w:p>
        </w:tc>
        <w:tc>
          <w:tcPr>
            <w:tcW w:w="1769" w:type="dxa"/>
            <w:vAlign w:val="center"/>
          </w:tcPr>
          <w:p w:rsidR="00107FDB" w:rsidRDefault="00032191">
            <w:pPr>
              <w:jc w:val="center"/>
            </w:pPr>
            <w:r>
              <w:rPr>
                <w:color w:val="000000"/>
                <w:sz w:val="24"/>
                <w:szCs w:val="24"/>
              </w:rPr>
              <w:t>18</w:t>
            </w:r>
            <w:r>
              <w:rPr>
                <w:color w:val="000000"/>
                <w:sz w:val="24"/>
                <w:szCs w:val="24"/>
              </w:rPr>
              <w:t>招商银行</w:t>
            </w:r>
            <w:r>
              <w:rPr>
                <w:color w:val="000000"/>
                <w:sz w:val="24"/>
                <w:szCs w:val="24"/>
              </w:rPr>
              <w:t>01</w:t>
            </w:r>
          </w:p>
        </w:tc>
        <w:tc>
          <w:tcPr>
            <w:tcW w:w="1387" w:type="dxa"/>
            <w:vAlign w:val="center"/>
          </w:tcPr>
          <w:p w:rsidR="00107FDB" w:rsidRDefault="00032191">
            <w:pPr>
              <w:jc w:val="right"/>
            </w:pPr>
            <w:r>
              <w:rPr>
                <w:color w:val="000000"/>
                <w:sz w:val="24"/>
                <w:szCs w:val="24"/>
              </w:rPr>
              <w:t>11,400,000</w:t>
            </w:r>
          </w:p>
        </w:tc>
        <w:tc>
          <w:tcPr>
            <w:tcW w:w="2150" w:type="dxa"/>
            <w:vAlign w:val="center"/>
          </w:tcPr>
          <w:p w:rsidR="00107FDB" w:rsidRDefault="00032191">
            <w:pPr>
              <w:jc w:val="right"/>
            </w:pPr>
            <w:r>
              <w:rPr>
                <w:color w:val="000000"/>
                <w:sz w:val="24"/>
                <w:szCs w:val="24"/>
              </w:rPr>
              <w:t>1,150,785,488.17</w:t>
            </w:r>
          </w:p>
        </w:tc>
        <w:tc>
          <w:tcPr>
            <w:tcW w:w="1237" w:type="dxa"/>
            <w:vAlign w:val="center"/>
          </w:tcPr>
          <w:p w:rsidR="00107FDB" w:rsidRDefault="00032191">
            <w:pPr>
              <w:jc w:val="right"/>
            </w:pPr>
            <w:r>
              <w:rPr>
                <w:color w:val="000000"/>
                <w:sz w:val="24"/>
                <w:szCs w:val="24"/>
              </w:rPr>
              <w:t>9.66</w:t>
            </w:r>
          </w:p>
        </w:tc>
      </w:tr>
      <w:tr w:rsidR="00107FDB">
        <w:trPr>
          <w:jc w:val="center"/>
        </w:trPr>
        <w:tc>
          <w:tcPr>
            <w:tcW w:w="850" w:type="dxa"/>
            <w:vAlign w:val="center"/>
          </w:tcPr>
          <w:p w:rsidR="00107FDB" w:rsidRDefault="00032191">
            <w:pPr>
              <w:jc w:val="center"/>
            </w:pPr>
            <w:r>
              <w:rPr>
                <w:color w:val="000000"/>
                <w:sz w:val="24"/>
                <w:szCs w:val="24"/>
              </w:rPr>
              <w:t>4</w:t>
            </w:r>
          </w:p>
        </w:tc>
        <w:tc>
          <w:tcPr>
            <w:tcW w:w="1475" w:type="dxa"/>
            <w:vAlign w:val="center"/>
          </w:tcPr>
          <w:p w:rsidR="00107FDB" w:rsidRDefault="00032191">
            <w:pPr>
              <w:jc w:val="center"/>
            </w:pPr>
            <w:r>
              <w:rPr>
                <w:color w:val="000000"/>
                <w:sz w:val="24"/>
                <w:szCs w:val="24"/>
              </w:rPr>
              <w:t>1828016</w:t>
            </w:r>
          </w:p>
        </w:tc>
        <w:tc>
          <w:tcPr>
            <w:tcW w:w="1769" w:type="dxa"/>
            <w:vAlign w:val="center"/>
          </w:tcPr>
          <w:p w:rsidR="00107FDB" w:rsidRDefault="00032191">
            <w:pPr>
              <w:jc w:val="center"/>
            </w:pPr>
            <w:r>
              <w:rPr>
                <w:color w:val="000000"/>
                <w:sz w:val="24"/>
                <w:szCs w:val="24"/>
              </w:rPr>
              <w:t>18</w:t>
            </w:r>
            <w:r>
              <w:rPr>
                <w:color w:val="000000"/>
                <w:sz w:val="24"/>
                <w:szCs w:val="24"/>
              </w:rPr>
              <w:t>民生银行</w:t>
            </w:r>
            <w:r>
              <w:rPr>
                <w:color w:val="000000"/>
                <w:sz w:val="24"/>
                <w:szCs w:val="24"/>
              </w:rPr>
              <w:t>01</w:t>
            </w:r>
          </w:p>
        </w:tc>
        <w:tc>
          <w:tcPr>
            <w:tcW w:w="1387" w:type="dxa"/>
            <w:vAlign w:val="center"/>
          </w:tcPr>
          <w:p w:rsidR="00107FDB" w:rsidRDefault="00032191">
            <w:pPr>
              <w:jc w:val="right"/>
            </w:pPr>
            <w:r>
              <w:rPr>
                <w:color w:val="000000"/>
                <w:sz w:val="24"/>
                <w:szCs w:val="24"/>
              </w:rPr>
              <w:t>11,000,000</w:t>
            </w:r>
          </w:p>
        </w:tc>
        <w:tc>
          <w:tcPr>
            <w:tcW w:w="2150" w:type="dxa"/>
            <w:vAlign w:val="center"/>
          </w:tcPr>
          <w:p w:rsidR="00107FDB" w:rsidRDefault="00032191">
            <w:pPr>
              <w:jc w:val="right"/>
            </w:pPr>
            <w:r>
              <w:rPr>
                <w:color w:val="000000"/>
                <w:sz w:val="24"/>
                <w:szCs w:val="24"/>
              </w:rPr>
              <w:t>1,109,828,800.08</w:t>
            </w:r>
          </w:p>
        </w:tc>
        <w:tc>
          <w:tcPr>
            <w:tcW w:w="1237" w:type="dxa"/>
            <w:vAlign w:val="center"/>
          </w:tcPr>
          <w:p w:rsidR="00107FDB" w:rsidRDefault="00032191">
            <w:pPr>
              <w:jc w:val="right"/>
            </w:pPr>
            <w:r>
              <w:rPr>
                <w:color w:val="000000"/>
                <w:sz w:val="24"/>
                <w:szCs w:val="24"/>
              </w:rPr>
              <w:t>9.32</w:t>
            </w:r>
          </w:p>
        </w:tc>
      </w:tr>
      <w:tr w:rsidR="00107FDB">
        <w:trPr>
          <w:jc w:val="center"/>
        </w:trPr>
        <w:tc>
          <w:tcPr>
            <w:tcW w:w="850" w:type="dxa"/>
            <w:vAlign w:val="center"/>
          </w:tcPr>
          <w:p w:rsidR="00107FDB" w:rsidRDefault="00032191">
            <w:pPr>
              <w:jc w:val="center"/>
            </w:pPr>
            <w:r>
              <w:rPr>
                <w:color w:val="000000"/>
                <w:sz w:val="24"/>
                <w:szCs w:val="24"/>
              </w:rPr>
              <w:lastRenderedPageBreak/>
              <w:t>5</w:t>
            </w:r>
          </w:p>
        </w:tc>
        <w:tc>
          <w:tcPr>
            <w:tcW w:w="1475" w:type="dxa"/>
            <w:vAlign w:val="center"/>
          </w:tcPr>
          <w:p w:rsidR="00107FDB" w:rsidRDefault="00032191">
            <w:pPr>
              <w:jc w:val="center"/>
            </w:pPr>
            <w:r>
              <w:rPr>
                <w:color w:val="000000"/>
                <w:sz w:val="24"/>
                <w:szCs w:val="24"/>
              </w:rPr>
              <w:t>1928035</w:t>
            </w:r>
          </w:p>
        </w:tc>
        <w:tc>
          <w:tcPr>
            <w:tcW w:w="1769" w:type="dxa"/>
            <w:vAlign w:val="center"/>
          </w:tcPr>
          <w:p w:rsidR="00107FDB" w:rsidRDefault="00032191">
            <w:pPr>
              <w:jc w:val="center"/>
            </w:pPr>
            <w:r>
              <w:rPr>
                <w:color w:val="000000"/>
                <w:sz w:val="24"/>
                <w:szCs w:val="24"/>
              </w:rPr>
              <w:t>19</w:t>
            </w:r>
            <w:r>
              <w:rPr>
                <w:color w:val="000000"/>
                <w:sz w:val="24"/>
                <w:szCs w:val="24"/>
              </w:rPr>
              <w:t>中国银行</w:t>
            </w:r>
            <w:proofErr w:type="gramStart"/>
            <w:r>
              <w:rPr>
                <w:color w:val="000000"/>
                <w:sz w:val="24"/>
                <w:szCs w:val="24"/>
              </w:rPr>
              <w:t>小微债</w:t>
            </w:r>
            <w:proofErr w:type="gramEnd"/>
            <w:r>
              <w:rPr>
                <w:color w:val="000000"/>
                <w:sz w:val="24"/>
                <w:szCs w:val="24"/>
              </w:rPr>
              <w:t>01</w:t>
            </w:r>
          </w:p>
        </w:tc>
        <w:tc>
          <w:tcPr>
            <w:tcW w:w="1387" w:type="dxa"/>
            <w:vAlign w:val="center"/>
          </w:tcPr>
          <w:p w:rsidR="00107FDB" w:rsidRDefault="00032191">
            <w:pPr>
              <w:jc w:val="right"/>
            </w:pPr>
            <w:r>
              <w:rPr>
                <w:color w:val="000000"/>
                <w:sz w:val="24"/>
                <w:szCs w:val="24"/>
              </w:rPr>
              <w:t>11,000,000</w:t>
            </w:r>
          </w:p>
        </w:tc>
        <w:tc>
          <w:tcPr>
            <w:tcW w:w="2150" w:type="dxa"/>
            <w:vAlign w:val="center"/>
          </w:tcPr>
          <w:p w:rsidR="00107FDB" w:rsidRDefault="00032191">
            <w:pPr>
              <w:jc w:val="right"/>
            </w:pPr>
            <w:r>
              <w:rPr>
                <w:color w:val="000000"/>
                <w:sz w:val="24"/>
                <w:szCs w:val="24"/>
              </w:rPr>
              <w:t>1,103,609,495.91</w:t>
            </w:r>
          </w:p>
        </w:tc>
        <w:tc>
          <w:tcPr>
            <w:tcW w:w="1237" w:type="dxa"/>
            <w:vAlign w:val="center"/>
          </w:tcPr>
          <w:p w:rsidR="00107FDB" w:rsidRDefault="00032191">
            <w:pPr>
              <w:jc w:val="right"/>
            </w:pPr>
            <w:r>
              <w:rPr>
                <w:color w:val="000000"/>
                <w:sz w:val="24"/>
                <w:szCs w:val="24"/>
              </w:rPr>
              <w:t>9.27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w:t>
      </w:r>
      <w:proofErr w:type="gramStart"/>
      <w:r w:rsidRPr="00414345">
        <w:rPr>
          <w:b/>
          <w:bCs/>
          <w:color w:val="000000"/>
          <w:kern w:val="0"/>
          <w:sz w:val="24"/>
          <w:szCs w:val="24"/>
        </w:rPr>
        <w:t>按</w:t>
      </w:r>
      <w:r w:rsidR="00032191" w:rsidRPr="00032191">
        <w:rPr>
          <w:rFonts w:hint="eastAsia"/>
          <w:b/>
          <w:bCs/>
          <w:color w:val="000000"/>
          <w:kern w:val="0"/>
          <w:sz w:val="24"/>
          <w:szCs w:val="24"/>
        </w:rPr>
        <w:t>摊余成本</w:t>
      </w:r>
      <w:proofErr w:type="gramEnd"/>
      <w:r w:rsidRPr="00414345">
        <w:rPr>
          <w:b/>
          <w:bCs/>
          <w:color w:val="000000"/>
          <w:kern w:val="0"/>
          <w:sz w:val="24"/>
          <w:szCs w:val="24"/>
        </w:rPr>
        <w:t>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2F45C6" w:rsidRPr="00414345" w:rsidRDefault="002F45C6"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315,556,929.26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315,556,929.26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F45C6" w:rsidRPr="00414345" w:rsidRDefault="002F45C6"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F45C6" w:rsidRPr="00414345" w:rsidRDefault="002F45C6"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11,650,253,428.57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11,650,253,428.57</w:t>
            </w:r>
          </w:p>
        </w:tc>
      </w:tr>
    </w:tbl>
    <w:p w:rsidR="00107FDB" w:rsidRDefault="0003219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07FDB" w:rsidRDefault="0003219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、中国证监会准予交银施罗德裕泰两年定期开放债券型证券投资基金募集注册的文件；</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、《交银施罗德裕泰两年定期开放债券型证券投资基金基金合同》；</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、《交银施罗德裕泰两年定期开放债券型证券投资基金招募说明书》；</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、《交银施罗德裕泰两年定期开放债券型证券投资基金托管协议》；</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、关于申请募集注册交银施罗德裕泰两年定期开放债券型证券投资基金的法律意见书；</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07FDB" w:rsidRDefault="0003219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、报告期内交银施罗德裕泰两年定期开放债券型证券投资基金在指定报刊上各项公告的原稿。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07FDB" w:rsidRDefault="0003219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D54" w:rsidRDefault="004D2D54" w:rsidP="00876D65">
      <w:r>
        <w:separator/>
      </w:r>
    </w:p>
  </w:endnote>
  <w:endnote w:type="continuationSeparator" w:id="0">
    <w:p w:rsidR="004D2D54" w:rsidRDefault="004D2D5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32191">
      <w:rPr>
        <w:noProof/>
        <w:kern w:val="0"/>
        <w:szCs w:val="21"/>
      </w:rPr>
      <w:t>9</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032191">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D54" w:rsidRDefault="004D2D54" w:rsidP="00876D65">
      <w:r>
        <w:separator/>
      </w:r>
    </w:p>
  </w:footnote>
  <w:footnote w:type="continuationSeparator" w:id="0">
    <w:p w:rsidR="004D2D54" w:rsidRDefault="004D2D54"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交银施罗德裕泰两年定期开放债券型证券投资基金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2191"/>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07FDB"/>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2F45C6"/>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3A63"/>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2D54"/>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01DF"/>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07E6"/>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17D"/>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0EB"/>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1369"/>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A0127"/>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ECC4-4BAE-4E3B-96F1-F67B85A1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1</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605</cp:revision>
  <dcterms:created xsi:type="dcterms:W3CDTF">2012-10-16T06:07:00Z</dcterms:created>
  <dcterms:modified xsi:type="dcterms:W3CDTF">2020-10-22T06:55:00Z</dcterms:modified>
</cp:coreProperties>
</file>