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2020</w:t>
      </w:r>
      <w:r w:rsidRPr="005E324A">
        <w:rPr>
          <w:rFonts w:eastAsiaTheme="minorEastAsia"/>
          <w:b/>
          <w:sz w:val="36"/>
          <w:szCs w:val="36"/>
        </w:rPr>
        <w:t>年第</w:t>
      </w:r>
      <w:r w:rsidRPr="005E324A">
        <w:rPr>
          <w:rFonts w:eastAsiaTheme="minorEastAsia"/>
          <w:b/>
          <w:sz w:val="36"/>
          <w:szCs w:val="36"/>
        </w:rPr>
        <w:t>3</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2020</w:t>
      </w:r>
      <w:r w:rsidRPr="005E324A">
        <w:rPr>
          <w:rFonts w:eastAsiaTheme="minorEastAsia"/>
          <w:b/>
          <w:sz w:val="36"/>
          <w:szCs w:val="36"/>
        </w:rPr>
        <w:t>年</w:t>
      </w:r>
      <w:r w:rsidRPr="005E324A">
        <w:rPr>
          <w:rFonts w:eastAsiaTheme="minorEastAsia"/>
          <w:b/>
          <w:sz w:val="36"/>
          <w:szCs w:val="36"/>
        </w:rPr>
        <w:t>9</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二〇二〇年十月二十八日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1E2C94" w:rsidRDefault="00F56F01">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E2C94" w:rsidRDefault="00F56F01">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E2C94" w:rsidRDefault="00F56F01">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E2C94" w:rsidRDefault="00F56F01">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E2C94" w:rsidRDefault="00F56F01">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9</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79,318,248.61</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78,138,564.61</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589,842.00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589,842.00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D1085D" w:rsidRPr="005E324A" w:rsidTr="00D1085D">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9</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D1085D" w:rsidRPr="005E324A" w:rsidTr="00D1085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377DA7">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50,213.61</w:t>
            </w:r>
          </w:p>
        </w:tc>
      </w:tr>
      <w:tr w:rsidR="00D1085D" w:rsidRPr="005E324A" w:rsidTr="00D1085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377DA7">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3,890,881.59</w:t>
            </w:r>
          </w:p>
        </w:tc>
      </w:tr>
      <w:tr w:rsidR="00D1085D" w:rsidRPr="005E324A" w:rsidTr="00D1085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4134B5">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0.04</w:t>
            </w:r>
            <w:r w:rsidR="004134B5">
              <w:rPr>
                <w:rFonts w:eastAsiaTheme="minorEastAsia"/>
                <w:color w:val="000000"/>
                <w:kern w:val="0"/>
                <w:sz w:val="24"/>
              </w:rPr>
              <w:t>74</w:t>
            </w:r>
          </w:p>
        </w:tc>
      </w:tr>
      <w:tr w:rsidR="00D1085D" w:rsidRPr="005E324A" w:rsidTr="00D1085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377DA7">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74,607,517.32</w:t>
            </w:r>
          </w:p>
        </w:tc>
      </w:tr>
      <w:tr w:rsidR="00D1085D" w:rsidRPr="005E324A" w:rsidTr="00D1085D">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377DA7">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0.941</w:t>
            </w:r>
          </w:p>
        </w:tc>
      </w:tr>
    </w:tbl>
    <w:p w:rsidR="001E2C94" w:rsidRDefault="00F56F01">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1E2C94">
        <w:tc>
          <w:tcPr>
            <w:tcW w:w="1215" w:type="dxa"/>
            <w:vAlign w:val="center"/>
          </w:tcPr>
          <w:p w:rsidR="001E2C94" w:rsidRDefault="00F56F01">
            <w:pPr>
              <w:jc w:val="left"/>
            </w:pPr>
            <w:r>
              <w:rPr>
                <w:rFonts w:eastAsiaTheme="minorEastAsia"/>
                <w:color w:val="000000"/>
                <w:kern w:val="0"/>
                <w:sz w:val="24"/>
              </w:rPr>
              <w:t>过去三个月</w:t>
            </w:r>
          </w:p>
        </w:tc>
        <w:tc>
          <w:tcPr>
            <w:tcW w:w="1216" w:type="dxa"/>
            <w:vAlign w:val="center"/>
          </w:tcPr>
          <w:p w:rsidR="001E2C94" w:rsidRDefault="00F56F01">
            <w:pPr>
              <w:jc w:val="center"/>
            </w:pPr>
            <w:r>
              <w:rPr>
                <w:rFonts w:eastAsiaTheme="minorEastAsia"/>
                <w:color w:val="000000"/>
                <w:kern w:val="0"/>
                <w:sz w:val="24"/>
              </w:rPr>
              <w:t>4.56%</w:t>
            </w:r>
          </w:p>
        </w:tc>
        <w:tc>
          <w:tcPr>
            <w:tcW w:w="1216" w:type="dxa"/>
            <w:vAlign w:val="center"/>
          </w:tcPr>
          <w:p w:rsidR="001E2C94" w:rsidRDefault="00F56F01">
            <w:pPr>
              <w:jc w:val="center"/>
            </w:pPr>
            <w:r>
              <w:rPr>
                <w:rFonts w:eastAsiaTheme="minorEastAsia"/>
                <w:color w:val="000000"/>
                <w:kern w:val="0"/>
                <w:sz w:val="24"/>
              </w:rPr>
              <w:t>2.01%</w:t>
            </w:r>
          </w:p>
        </w:tc>
        <w:tc>
          <w:tcPr>
            <w:tcW w:w="1216" w:type="dxa"/>
            <w:vAlign w:val="center"/>
          </w:tcPr>
          <w:p w:rsidR="001E2C94" w:rsidRDefault="00F56F01">
            <w:pPr>
              <w:jc w:val="center"/>
            </w:pPr>
            <w:r>
              <w:rPr>
                <w:rFonts w:eastAsiaTheme="minorEastAsia"/>
                <w:color w:val="000000"/>
                <w:kern w:val="0"/>
                <w:sz w:val="24"/>
              </w:rPr>
              <w:t>4.67%</w:t>
            </w:r>
          </w:p>
        </w:tc>
        <w:tc>
          <w:tcPr>
            <w:tcW w:w="1216" w:type="dxa"/>
            <w:vAlign w:val="center"/>
          </w:tcPr>
          <w:p w:rsidR="001E2C94" w:rsidRDefault="00F56F01">
            <w:pPr>
              <w:jc w:val="center"/>
            </w:pPr>
            <w:r>
              <w:rPr>
                <w:rFonts w:eastAsiaTheme="minorEastAsia"/>
                <w:color w:val="000000"/>
                <w:kern w:val="0"/>
                <w:sz w:val="24"/>
              </w:rPr>
              <w:t>2.02%</w:t>
            </w:r>
          </w:p>
        </w:tc>
        <w:tc>
          <w:tcPr>
            <w:tcW w:w="1217" w:type="dxa"/>
            <w:vAlign w:val="center"/>
          </w:tcPr>
          <w:p w:rsidR="001E2C94" w:rsidRDefault="00F56F01">
            <w:pPr>
              <w:jc w:val="center"/>
            </w:pPr>
            <w:r>
              <w:rPr>
                <w:rFonts w:eastAsiaTheme="minorEastAsia"/>
                <w:color w:val="000000"/>
                <w:kern w:val="0"/>
                <w:sz w:val="24"/>
              </w:rPr>
              <w:t>-0.11%</w:t>
            </w:r>
          </w:p>
        </w:tc>
        <w:tc>
          <w:tcPr>
            <w:tcW w:w="1217" w:type="dxa"/>
            <w:vAlign w:val="center"/>
          </w:tcPr>
          <w:p w:rsidR="001E2C94" w:rsidRDefault="00F56F01">
            <w:pPr>
              <w:jc w:val="center"/>
            </w:pPr>
            <w:r>
              <w:rPr>
                <w:rFonts w:eastAsiaTheme="minorEastAsia"/>
                <w:color w:val="000000"/>
                <w:kern w:val="0"/>
                <w:sz w:val="24"/>
              </w:rPr>
              <w:t>-0.01%</w:t>
            </w:r>
          </w:p>
        </w:tc>
      </w:tr>
      <w:tr w:rsidR="001E2C94">
        <w:tc>
          <w:tcPr>
            <w:tcW w:w="1215" w:type="dxa"/>
            <w:vAlign w:val="center"/>
          </w:tcPr>
          <w:p w:rsidR="001E2C94" w:rsidRDefault="00F56F01">
            <w:pPr>
              <w:jc w:val="left"/>
            </w:pPr>
            <w:r>
              <w:rPr>
                <w:rFonts w:eastAsiaTheme="minorEastAsia"/>
                <w:color w:val="000000"/>
                <w:kern w:val="0"/>
                <w:sz w:val="24"/>
              </w:rPr>
              <w:t>过去六个月</w:t>
            </w:r>
          </w:p>
        </w:tc>
        <w:tc>
          <w:tcPr>
            <w:tcW w:w="1216" w:type="dxa"/>
            <w:vAlign w:val="center"/>
          </w:tcPr>
          <w:p w:rsidR="001E2C94" w:rsidRDefault="00F56F01">
            <w:pPr>
              <w:jc w:val="center"/>
            </w:pPr>
            <w:r>
              <w:rPr>
                <w:rFonts w:eastAsiaTheme="minorEastAsia"/>
                <w:color w:val="000000"/>
                <w:kern w:val="0"/>
                <w:sz w:val="24"/>
              </w:rPr>
              <w:t>17.92%</w:t>
            </w:r>
          </w:p>
        </w:tc>
        <w:tc>
          <w:tcPr>
            <w:tcW w:w="1216" w:type="dxa"/>
            <w:vAlign w:val="center"/>
          </w:tcPr>
          <w:p w:rsidR="001E2C94" w:rsidRDefault="00F56F01">
            <w:pPr>
              <w:jc w:val="center"/>
            </w:pPr>
            <w:r>
              <w:rPr>
                <w:rFonts w:eastAsiaTheme="minorEastAsia"/>
                <w:color w:val="000000"/>
                <w:kern w:val="0"/>
                <w:sz w:val="24"/>
              </w:rPr>
              <w:t>1.73%</w:t>
            </w:r>
          </w:p>
        </w:tc>
        <w:tc>
          <w:tcPr>
            <w:tcW w:w="1216" w:type="dxa"/>
            <w:vAlign w:val="center"/>
          </w:tcPr>
          <w:p w:rsidR="001E2C94" w:rsidRDefault="00F56F01">
            <w:pPr>
              <w:jc w:val="center"/>
            </w:pPr>
            <w:r>
              <w:rPr>
                <w:rFonts w:eastAsiaTheme="minorEastAsia"/>
                <w:color w:val="000000"/>
                <w:kern w:val="0"/>
                <w:sz w:val="24"/>
              </w:rPr>
              <w:t>17.67%</w:t>
            </w:r>
          </w:p>
        </w:tc>
        <w:tc>
          <w:tcPr>
            <w:tcW w:w="1216" w:type="dxa"/>
            <w:vAlign w:val="center"/>
          </w:tcPr>
          <w:p w:rsidR="001E2C94" w:rsidRDefault="00F56F01">
            <w:pPr>
              <w:jc w:val="center"/>
            </w:pPr>
            <w:r>
              <w:rPr>
                <w:rFonts w:eastAsiaTheme="minorEastAsia"/>
                <w:color w:val="000000"/>
                <w:kern w:val="0"/>
                <w:sz w:val="24"/>
              </w:rPr>
              <w:t>1.74%</w:t>
            </w:r>
          </w:p>
        </w:tc>
        <w:tc>
          <w:tcPr>
            <w:tcW w:w="1217" w:type="dxa"/>
            <w:vAlign w:val="center"/>
          </w:tcPr>
          <w:p w:rsidR="001E2C94" w:rsidRDefault="00F56F01">
            <w:pPr>
              <w:jc w:val="center"/>
            </w:pPr>
            <w:r>
              <w:rPr>
                <w:rFonts w:eastAsiaTheme="minorEastAsia"/>
                <w:color w:val="000000"/>
                <w:kern w:val="0"/>
                <w:sz w:val="24"/>
              </w:rPr>
              <w:t>0.25%</w:t>
            </w:r>
          </w:p>
        </w:tc>
        <w:tc>
          <w:tcPr>
            <w:tcW w:w="1217" w:type="dxa"/>
            <w:vAlign w:val="center"/>
          </w:tcPr>
          <w:p w:rsidR="001E2C94" w:rsidRDefault="00F56F01">
            <w:pPr>
              <w:jc w:val="center"/>
            </w:pPr>
            <w:r>
              <w:rPr>
                <w:rFonts w:eastAsiaTheme="minorEastAsia"/>
                <w:color w:val="000000"/>
                <w:kern w:val="0"/>
                <w:sz w:val="24"/>
              </w:rPr>
              <w:t>-0.01%</w:t>
            </w:r>
          </w:p>
        </w:tc>
      </w:tr>
      <w:tr w:rsidR="001E2C94">
        <w:tc>
          <w:tcPr>
            <w:tcW w:w="1215" w:type="dxa"/>
            <w:vAlign w:val="center"/>
          </w:tcPr>
          <w:p w:rsidR="001E2C94" w:rsidRDefault="00F56F01">
            <w:pPr>
              <w:jc w:val="left"/>
            </w:pPr>
            <w:r>
              <w:rPr>
                <w:rFonts w:eastAsiaTheme="minorEastAsia"/>
                <w:color w:val="000000"/>
                <w:kern w:val="0"/>
                <w:sz w:val="24"/>
              </w:rPr>
              <w:t>过去一年</w:t>
            </w:r>
          </w:p>
        </w:tc>
        <w:tc>
          <w:tcPr>
            <w:tcW w:w="1216" w:type="dxa"/>
            <w:vAlign w:val="center"/>
          </w:tcPr>
          <w:p w:rsidR="001E2C94" w:rsidRDefault="00F56F01">
            <w:pPr>
              <w:jc w:val="center"/>
            </w:pPr>
            <w:r>
              <w:rPr>
                <w:rFonts w:eastAsiaTheme="minorEastAsia"/>
                <w:color w:val="000000"/>
                <w:kern w:val="0"/>
                <w:sz w:val="24"/>
              </w:rPr>
              <w:t>12.41%</w:t>
            </w:r>
          </w:p>
        </w:tc>
        <w:tc>
          <w:tcPr>
            <w:tcW w:w="1216" w:type="dxa"/>
            <w:vAlign w:val="center"/>
          </w:tcPr>
          <w:p w:rsidR="001E2C94" w:rsidRDefault="00F56F01">
            <w:pPr>
              <w:jc w:val="center"/>
            </w:pPr>
            <w:r>
              <w:rPr>
                <w:rFonts w:eastAsiaTheme="minorEastAsia"/>
                <w:color w:val="000000"/>
                <w:kern w:val="0"/>
                <w:sz w:val="24"/>
              </w:rPr>
              <w:t>1.87%</w:t>
            </w:r>
          </w:p>
        </w:tc>
        <w:tc>
          <w:tcPr>
            <w:tcW w:w="1216" w:type="dxa"/>
            <w:vAlign w:val="center"/>
          </w:tcPr>
          <w:p w:rsidR="001E2C94" w:rsidRDefault="00F56F01">
            <w:pPr>
              <w:jc w:val="center"/>
            </w:pPr>
            <w:r>
              <w:rPr>
                <w:rFonts w:eastAsiaTheme="minorEastAsia"/>
                <w:color w:val="000000"/>
                <w:kern w:val="0"/>
                <w:sz w:val="24"/>
              </w:rPr>
              <w:t>12.95%</w:t>
            </w:r>
          </w:p>
        </w:tc>
        <w:tc>
          <w:tcPr>
            <w:tcW w:w="1216" w:type="dxa"/>
            <w:vAlign w:val="center"/>
          </w:tcPr>
          <w:p w:rsidR="001E2C94" w:rsidRDefault="00F56F01">
            <w:pPr>
              <w:jc w:val="center"/>
            </w:pPr>
            <w:r>
              <w:rPr>
                <w:rFonts w:eastAsiaTheme="minorEastAsia"/>
                <w:color w:val="000000"/>
                <w:kern w:val="0"/>
                <w:sz w:val="24"/>
              </w:rPr>
              <w:t>1.88%</w:t>
            </w:r>
          </w:p>
        </w:tc>
        <w:tc>
          <w:tcPr>
            <w:tcW w:w="1217" w:type="dxa"/>
            <w:vAlign w:val="center"/>
          </w:tcPr>
          <w:p w:rsidR="001E2C94" w:rsidRDefault="00F56F01">
            <w:pPr>
              <w:jc w:val="center"/>
            </w:pPr>
            <w:r>
              <w:rPr>
                <w:rFonts w:eastAsiaTheme="minorEastAsia"/>
                <w:color w:val="000000"/>
                <w:kern w:val="0"/>
                <w:sz w:val="24"/>
              </w:rPr>
              <w:t>-0.54%</w:t>
            </w:r>
          </w:p>
        </w:tc>
        <w:tc>
          <w:tcPr>
            <w:tcW w:w="1217" w:type="dxa"/>
            <w:vAlign w:val="center"/>
          </w:tcPr>
          <w:p w:rsidR="001E2C94" w:rsidRDefault="00F56F01">
            <w:pPr>
              <w:jc w:val="center"/>
            </w:pPr>
            <w:r>
              <w:rPr>
                <w:rFonts w:eastAsiaTheme="minorEastAsia"/>
                <w:color w:val="000000"/>
                <w:kern w:val="0"/>
                <w:sz w:val="24"/>
              </w:rPr>
              <w:t>-0.01%</w:t>
            </w:r>
          </w:p>
        </w:tc>
      </w:tr>
      <w:tr w:rsidR="001E2C94">
        <w:tc>
          <w:tcPr>
            <w:tcW w:w="1215" w:type="dxa"/>
            <w:vAlign w:val="center"/>
          </w:tcPr>
          <w:p w:rsidR="001E2C94" w:rsidRDefault="00F56F01">
            <w:pPr>
              <w:jc w:val="left"/>
            </w:pPr>
            <w:r>
              <w:rPr>
                <w:rFonts w:eastAsiaTheme="minorEastAsia"/>
                <w:color w:val="000000"/>
                <w:kern w:val="0"/>
                <w:sz w:val="24"/>
              </w:rPr>
              <w:t>过去三年</w:t>
            </w:r>
          </w:p>
        </w:tc>
        <w:tc>
          <w:tcPr>
            <w:tcW w:w="1216" w:type="dxa"/>
            <w:vAlign w:val="center"/>
          </w:tcPr>
          <w:p w:rsidR="001E2C94" w:rsidRDefault="00F56F01">
            <w:pPr>
              <w:jc w:val="center"/>
            </w:pPr>
            <w:r>
              <w:rPr>
                <w:rFonts w:eastAsiaTheme="minorEastAsia"/>
                <w:color w:val="000000"/>
                <w:kern w:val="0"/>
                <w:sz w:val="24"/>
              </w:rPr>
              <w:t>-0.56%</w:t>
            </w:r>
          </w:p>
        </w:tc>
        <w:tc>
          <w:tcPr>
            <w:tcW w:w="1216" w:type="dxa"/>
            <w:vAlign w:val="center"/>
          </w:tcPr>
          <w:p w:rsidR="001E2C94" w:rsidRDefault="00F56F01">
            <w:pPr>
              <w:jc w:val="center"/>
            </w:pPr>
            <w:r>
              <w:rPr>
                <w:rFonts w:eastAsiaTheme="minorEastAsia"/>
                <w:color w:val="000000"/>
                <w:kern w:val="0"/>
                <w:sz w:val="24"/>
              </w:rPr>
              <w:t>1.75%</w:t>
            </w:r>
          </w:p>
        </w:tc>
        <w:tc>
          <w:tcPr>
            <w:tcW w:w="1216" w:type="dxa"/>
            <w:vAlign w:val="center"/>
          </w:tcPr>
          <w:p w:rsidR="001E2C94" w:rsidRDefault="00F56F01">
            <w:pPr>
              <w:jc w:val="center"/>
            </w:pPr>
            <w:r>
              <w:rPr>
                <w:rFonts w:eastAsiaTheme="minorEastAsia"/>
                <w:color w:val="000000"/>
                <w:kern w:val="0"/>
                <w:sz w:val="24"/>
              </w:rPr>
              <w:t>1.88%</w:t>
            </w:r>
          </w:p>
        </w:tc>
        <w:tc>
          <w:tcPr>
            <w:tcW w:w="1216" w:type="dxa"/>
            <w:vAlign w:val="center"/>
          </w:tcPr>
          <w:p w:rsidR="001E2C94" w:rsidRDefault="00F56F01">
            <w:pPr>
              <w:jc w:val="center"/>
            </w:pPr>
            <w:r>
              <w:rPr>
                <w:rFonts w:eastAsiaTheme="minorEastAsia"/>
                <w:color w:val="000000"/>
                <w:kern w:val="0"/>
                <w:sz w:val="24"/>
              </w:rPr>
              <w:t>1.74%</w:t>
            </w:r>
          </w:p>
        </w:tc>
        <w:tc>
          <w:tcPr>
            <w:tcW w:w="1217" w:type="dxa"/>
            <w:vAlign w:val="center"/>
          </w:tcPr>
          <w:p w:rsidR="001E2C94" w:rsidRDefault="00F56F01">
            <w:pPr>
              <w:jc w:val="center"/>
            </w:pPr>
            <w:r>
              <w:rPr>
                <w:rFonts w:eastAsiaTheme="minorEastAsia"/>
                <w:color w:val="000000"/>
                <w:kern w:val="0"/>
                <w:sz w:val="24"/>
              </w:rPr>
              <w:t>-2.44%</w:t>
            </w:r>
          </w:p>
        </w:tc>
        <w:tc>
          <w:tcPr>
            <w:tcW w:w="1217" w:type="dxa"/>
            <w:vAlign w:val="center"/>
          </w:tcPr>
          <w:p w:rsidR="001E2C94" w:rsidRDefault="00F56F01">
            <w:pPr>
              <w:jc w:val="center"/>
            </w:pPr>
            <w:r>
              <w:rPr>
                <w:rFonts w:eastAsiaTheme="minorEastAsia"/>
                <w:color w:val="000000"/>
                <w:kern w:val="0"/>
                <w:sz w:val="24"/>
              </w:rPr>
              <w:t>0.01%</w:t>
            </w:r>
          </w:p>
        </w:tc>
      </w:tr>
      <w:tr w:rsidR="001E2C94">
        <w:tc>
          <w:tcPr>
            <w:tcW w:w="1215" w:type="dxa"/>
            <w:vAlign w:val="center"/>
          </w:tcPr>
          <w:p w:rsidR="001E2C94" w:rsidRDefault="00F56F01">
            <w:pPr>
              <w:jc w:val="left"/>
            </w:pPr>
            <w:r>
              <w:rPr>
                <w:rFonts w:eastAsiaTheme="minorEastAsia"/>
                <w:color w:val="000000"/>
                <w:kern w:val="0"/>
                <w:sz w:val="24"/>
              </w:rPr>
              <w:t>过去五年</w:t>
            </w:r>
          </w:p>
        </w:tc>
        <w:tc>
          <w:tcPr>
            <w:tcW w:w="1216" w:type="dxa"/>
            <w:vAlign w:val="center"/>
          </w:tcPr>
          <w:p w:rsidR="001E2C94" w:rsidRDefault="00F56F01">
            <w:pPr>
              <w:jc w:val="center"/>
            </w:pPr>
            <w:r>
              <w:rPr>
                <w:rFonts w:eastAsiaTheme="minorEastAsia"/>
                <w:color w:val="000000"/>
                <w:kern w:val="0"/>
                <w:sz w:val="24"/>
              </w:rPr>
              <w:t>-7.11%</w:t>
            </w:r>
          </w:p>
        </w:tc>
        <w:tc>
          <w:tcPr>
            <w:tcW w:w="1216" w:type="dxa"/>
            <w:vAlign w:val="center"/>
          </w:tcPr>
          <w:p w:rsidR="001E2C94" w:rsidRDefault="00F56F01">
            <w:pPr>
              <w:jc w:val="center"/>
            </w:pPr>
            <w:r>
              <w:rPr>
                <w:rFonts w:eastAsiaTheme="minorEastAsia"/>
                <w:color w:val="000000"/>
                <w:kern w:val="0"/>
                <w:sz w:val="24"/>
              </w:rPr>
              <w:t>1.77%</w:t>
            </w:r>
          </w:p>
        </w:tc>
        <w:tc>
          <w:tcPr>
            <w:tcW w:w="1216" w:type="dxa"/>
            <w:vAlign w:val="center"/>
          </w:tcPr>
          <w:p w:rsidR="001E2C94" w:rsidRDefault="00F56F01">
            <w:pPr>
              <w:jc w:val="center"/>
            </w:pPr>
            <w:r>
              <w:rPr>
                <w:rFonts w:eastAsiaTheme="minorEastAsia"/>
                <w:color w:val="000000"/>
                <w:kern w:val="0"/>
                <w:sz w:val="24"/>
              </w:rPr>
              <w:t>-2.45%</w:t>
            </w:r>
          </w:p>
        </w:tc>
        <w:tc>
          <w:tcPr>
            <w:tcW w:w="1216" w:type="dxa"/>
            <w:vAlign w:val="center"/>
          </w:tcPr>
          <w:p w:rsidR="001E2C94" w:rsidRDefault="00F56F01">
            <w:pPr>
              <w:jc w:val="center"/>
            </w:pPr>
            <w:r>
              <w:rPr>
                <w:rFonts w:eastAsiaTheme="minorEastAsia"/>
                <w:color w:val="000000"/>
                <w:kern w:val="0"/>
                <w:sz w:val="24"/>
              </w:rPr>
              <w:t>1.72%</w:t>
            </w:r>
          </w:p>
        </w:tc>
        <w:tc>
          <w:tcPr>
            <w:tcW w:w="1217" w:type="dxa"/>
            <w:vAlign w:val="center"/>
          </w:tcPr>
          <w:p w:rsidR="001E2C94" w:rsidRDefault="00F56F01">
            <w:pPr>
              <w:jc w:val="center"/>
            </w:pPr>
            <w:r>
              <w:rPr>
                <w:rFonts w:eastAsiaTheme="minorEastAsia"/>
                <w:color w:val="000000"/>
                <w:kern w:val="0"/>
                <w:sz w:val="24"/>
              </w:rPr>
              <w:t>-4.66%</w:t>
            </w:r>
          </w:p>
        </w:tc>
        <w:tc>
          <w:tcPr>
            <w:tcW w:w="1217" w:type="dxa"/>
            <w:vAlign w:val="center"/>
          </w:tcPr>
          <w:p w:rsidR="001E2C94" w:rsidRDefault="00F56F01">
            <w:pPr>
              <w:jc w:val="center"/>
            </w:pPr>
            <w:r>
              <w:rPr>
                <w:rFonts w:eastAsiaTheme="minorEastAsia"/>
                <w:color w:val="000000"/>
                <w:kern w:val="0"/>
                <w:sz w:val="24"/>
              </w:rPr>
              <w:t>0.05%</w:t>
            </w:r>
          </w:p>
        </w:tc>
      </w:tr>
      <w:tr w:rsidR="001E2C94">
        <w:tc>
          <w:tcPr>
            <w:tcW w:w="1215" w:type="dxa"/>
            <w:vAlign w:val="center"/>
          </w:tcPr>
          <w:p w:rsidR="001E2C94" w:rsidRDefault="00F56F01">
            <w:pPr>
              <w:jc w:val="left"/>
            </w:pPr>
            <w:r>
              <w:rPr>
                <w:rFonts w:eastAsiaTheme="minorEastAsia"/>
                <w:color w:val="000000"/>
                <w:kern w:val="0"/>
                <w:sz w:val="24"/>
              </w:rPr>
              <w:t>自基金合同生效至今</w:t>
            </w:r>
          </w:p>
        </w:tc>
        <w:tc>
          <w:tcPr>
            <w:tcW w:w="1216" w:type="dxa"/>
            <w:vAlign w:val="center"/>
          </w:tcPr>
          <w:p w:rsidR="001E2C94" w:rsidRDefault="00F56F01">
            <w:pPr>
              <w:jc w:val="center"/>
            </w:pPr>
            <w:r>
              <w:rPr>
                <w:rFonts w:eastAsiaTheme="minorEastAsia"/>
                <w:color w:val="000000"/>
                <w:kern w:val="0"/>
                <w:sz w:val="24"/>
              </w:rPr>
              <w:t>-33.31%</w:t>
            </w:r>
          </w:p>
        </w:tc>
        <w:tc>
          <w:tcPr>
            <w:tcW w:w="1216" w:type="dxa"/>
            <w:vAlign w:val="center"/>
          </w:tcPr>
          <w:p w:rsidR="001E2C94" w:rsidRDefault="00F56F01">
            <w:pPr>
              <w:jc w:val="center"/>
            </w:pPr>
            <w:r>
              <w:rPr>
                <w:rFonts w:eastAsiaTheme="minorEastAsia"/>
                <w:color w:val="000000"/>
                <w:kern w:val="0"/>
                <w:sz w:val="24"/>
              </w:rPr>
              <w:t>1.90%</w:t>
            </w:r>
          </w:p>
        </w:tc>
        <w:tc>
          <w:tcPr>
            <w:tcW w:w="1216" w:type="dxa"/>
            <w:vAlign w:val="center"/>
          </w:tcPr>
          <w:p w:rsidR="001E2C94" w:rsidRDefault="00F56F01">
            <w:pPr>
              <w:jc w:val="center"/>
            </w:pPr>
            <w:r>
              <w:rPr>
                <w:rFonts w:eastAsiaTheme="minorEastAsia"/>
                <w:color w:val="000000"/>
                <w:kern w:val="0"/>
                <w:sz w:val="24"/>
              </w:rPr>
              <w:t>-40.50%</w:t>
            </w:r>
          </w:p>
        </w:tc>
        <w:tc>
          <w:tcPr>
            <w:tcW w:w="1216" w:type="dxa"/>
            <w:vAlign w:val="center"/>
          </w:tcPr>
          <w:p w:rsidR="001E2C94" w:rsidRDefault="00F56F01">
            <w:pPr>
              <w:jc w:val="center"/>
            </w:pPr>
            <w:r>
              <w:rPr>
                <w:rFonts w:eastAsiaTheme="minorEastAsia"/>
                <w:color w:val="000000"/>
                <w:kern w:val="0"/>
                <w:sz w:val="24"/>
              </w:rPr>
              <w:t>1.91%</w:t>
            </w:r>
          </w:p>
        </w:tc>
        <w:tc>
          <w:tcPr>
            <w:tcW w:w="1217" w:type="dxa"/>
            <w:vAlign w:val="center"/>
          </w:tcPr>
          <w:p w:rsidR="001E2C94" w:rsidRDefault="00F56F01">
            <w:pPr>
              <w:jc w:val="center"/>
            </w:pPr>
            <w:r>
              <w:rPr>
                <w:rFonts w:eastAsiaTheme="minorEastAsia"/>
                <w:color w:val="000000"/>
                <w:kern w:val="0"/>
                <w:sz w:val="24"/>
              </w:rPr>
              <w:t>7.19%</w:t>
            </w:r>
          </w:p>
        </w:tc>
        <w:tc>
          <w:tcPr>
            <w:tcW w:w="1217" w:type="dxa"/>
            <w:vAlign w:val="center"/>
          </w:tcPr>
          <w:p w:rsidR="001E2C94" w:rsidRDefault="00F56F01">
            <w:pPr>
              <w:jc w:val="center"/>
            </w:pPr>
            <w:r>
              <w:rPr>
                <w:rFonts w:eastAsiaTheme="minorEastAsia"/>
                <w:color w:val="000000"/>
                <w:kern w:val="0"/>
                <w:sz w:val="24"/>
              </w:rPr>
              <w:t>-0.01%</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2020</w:t>
      </w:r>
      <w:r w:rsidRPr="005E324A">
        <w:rPr>
          <w:rFonts w:eastAsiaTheme="minorEastAsia"/>
          <w:color w:val="000000"/>
          <w:kern w:val="0"/>
          <w:sz w:val="24"/>
        </w:rPr>
        <w:t>年</w:t>
      </w:r>
      <w:r w:rsidRPr="005E324A">
        <w:rPr>
          <w:rFonts w:eastAsiaTheme="minorEastAsia"/>
          <w:color w:val="000000"/>
          <w:kern w:val="0"/>
          <w:sz w:val="24"/>
        </w:rPr>
        <w:t>9</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1E2C94">
        <w:tc>
          <w:tcPr>
            <w:tcW w:w="952" w:type="dxa"/>
            <w:vAlign w:val="center"/>
          </w:tcPr>
          <w:p w:rsidR="001E2C94" w:rsidRDefault="00F56F01">
            <w:pPr>
              <w:jc w:val="center"/>
            </w:pPr>
            <w:r>
              <w:rPr>
                <w:rFonts w:eastAsiaTheme="minorEastAsia"/>
                <w:color w:val="000000"/>
                <w:sz w:val="24"/>
              </w:rPr>
              <w:t>蔡铮</w:t>
            </w:r>
          </w:p>
        </w:tc>
        <w:tc>
          <w:tcPr>
            <w:tcW w:w="930" w:type="dxa"/>
            <w:vAlign w:val="center"/>
          </w:tcPr>
          <w:p w:rsidR="001E2C94" w:rsidRDefault="00F56F01">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）、交银创业板</w:t>
            </w:r>
            <w:r>
              <w:rPr>
                <w:rFonts w:eastAsiaTheme="minorEastAsia"/>
                <w:color w:val="000000"/>
                <w:sz w:val="24"/>
              </w:rPr>
              <w:t>50</w:t>
            </w:r>
            <w:r>
              <w:rPr>
                <w:rFonts w:eastAsiaTheme="minorEastAsia"/>
                <w:color w:val="000000"/>
                <w:sz w:val="24"/>
              </w:rPr>
              <w:t>指数的基金经理，公司量化投资副总监兼多元资产管理副总监</w:t>
            </w:r>
          </w:p>
        </w:tc>
        <w:tc>
          <w:tcPr>
            <w:tcW w:w="1210" w:type="dxa"/>
            <w:vAlign w:val="center"/>
          </w:tcPr>
          <w:p w:rsidR="001E2C94" w:rsidRDefault="00F56F01">
            <w:pPr>
              <w:jc w:val="center"/>
            </w:pPr>
            <w:r>
              <w:rPr>
                <w:rFonts w:eastAsiaTheme="minorEastAsia"/>
                <w:color w:val="000000"/>
                <w:sz w:val="24"/>
              </w:rPr>
              <w:t>2015-06-26</w:t>
            </w:r>
          </w:p>
        </w:tc>
        <w:tc>
          <w:tcPr>
            <w:tcW w:w="1309" w:type="dxa"/>
            <w:vAlign w:val="center"/>
          </w:tcPr>
          <w:p w:rsidR="001E2C94" w:rsidRDefault="00F56F01">
            <w:pPr>
              <w:jc w:val="center"/>
            </w:pPr>
            <w:r>
              <w:rPr>
                <w:rFonts w:eastAsiaTheme="minorEastAsia"/>
                <w:color w:val="000000"/>
                <w:sz w:val="24"/>
              </w:rPr>
              <w:t>-</w:t>
            </w:r>
          </w:p>
        </w:tc>
        <w:tc>
          <w:tcPr>
            <w:tcW w:w="1254" w:type="dxa"/>
            <w:vAlign w:val="center"/>
          </w:tcPr>
          <w:p w:rsidR="001E2C94" w:rsidRDefault="00F56F01">
            <w:pPr>
              <w:jc w:val="center"/>
            </w:pPr>
            <w:r>
              <w:rPr>
                <w:rFonts w:eastAsiaTheme="minorEastAsia"/>
                <w:color w:val="000000"/>
                <w:sz w:val="24"/>
              </w:rPr>
              <w:t>11</w:t>
            </w:r>
            <w:r>
              <w:rPr>
                <w:rFonts w:eastAsiaTheme="minorEastAsia"/>
                <w:color w:val="000000"/>
                <w:sz w:val="24"/>
              </w:rPr>
              <w:t>年</w:t>
            </w:r>
          </w:p>
        </w:tc>
        <w:tc>
          <w:tcPr>
            <w:tcW w:w="3276" w:type="dxa"/>
            <w:vAlign w:val="center"/>
          </w:tcPr>
          <w:p w:rsidR="001E2C94" w:rsidRDefault="00F56F01">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r>
              <w:rPr>
                <w:rFonts w:eastAsiaTheme="minorEastAsia"/>
                <w:color w:val="000000"/>
                <w:sz w:val="24"/>
              </w:rPr>
              <w:t>2018</w:t>
            </w:r>
            <w:r>
              <w:rPr>
                <w:rFonts w:eastAsiaTheme="minorEastAsia"/>
                <w:color w:val="000000"/>
                <w:sz w:val="24"/>
              </w:rPr>
              <w:t>年</w:t>
            </w:r>
            <w:r>
              <w:rPr>
                <w:rFonts w:eastAsiaTheme="minorEastAsia"/>
                <w:color w:val="000000"/>
                <w:sz w:val="24"/>
              </w:rPr>
              <w:t>5</w:t>
            </w:r>
            <w:r>
              <w:rPr>
                <w:rFonts w:eastAsiaTheme="minorEastAsia"/>
                <w:color w:val="000000"/>
                <w:sz w:val="24"/>
              </w:rPr>
              <w:t>月</w:t>
            </w:r>
            <w:r>
              <w:rPr>
                <w:rFonts w:eastAsiaTheme="minorEastAsia"/>
                <w:color w:val="000000"/>
                <w:sz w:val="24"/>
              </w:rPr>
              <w:t>18</w:t>
            </w:r>
            <w:r>
              <w:rPr>
                <w:rFonts w:eastAsiaTheme="minorEastAsia"/>
                <w:color w:val="000000"/>
                <w:sz w:val="24"/>
              </w:rPr>
              <w:t>日至</w:t>
            </w:r>
            <w:r>
              <w:rPr>
                <w:rFonts w:eastAsiaTheme="minorEastAsia"/>
                <w:color w:val="000000"/>
                <w:sz w:val="24"/>
              </w:rPr>
              <w:t>2020</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日担任交银施罗德致远量化智投策略定期开放混合型证券投资基金的基金经理。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sz w:val="24"/>
          </w:rPr>
          <w:t>4.3.1</w:t>
        </w:r>
      </w:smartTag>
      <w:r w:rsidRPr="005E324A">
        <w:rPr>
          <w:rFonts w:eastAsiaTheme="minorEastAsia"/>
          <w:sz w:val="24"/>
        </w:rPr>
        <w:t>公平交易制度的执行情况</w:t>
      </w:r>
    </w:p>
    <w:p w:rsidR="001E2C94" w:rsidRDefault="00F56F01">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E2C94" w:rsidRDefault="00F56F01">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1E2C94" w:rsidRDefault="00F56F01">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1E2C94" w:rsidRDefault="00F56F01">
      <w:pPr>
        <w:spacing w:line="360" w:lineRule="auto"/>
        <w:ind w:firstLineChars="200" w:firstLine="480"/>
        <w:rPr>
          <w:rFonts w:eastAsiaTheme="minorEastAsia"/>
          <w:color w:val="000000"/>
          <w:kern w:val="0"/>
          <w:sz w:val="24"/>
        </w:rPr>
      </w:pPr>
      <w:r>
        <w:rPr>
          <w:rFonts w:eastAsiaTheme="minorEastAsia"/>
          <w:color w:val="000000"/>
          <w:kern w:val="0"/>
          <w:sz w:val="24"/>
        </w:rPr>
        <w:t>2020</w:t>
      </w:r>
      <w:r>
        <w:rPr>
          <w:rFonts w:eastAsiaTheme="minorEastAsia"/>
          <w:color w:val="000000"/>
          <w:kern w:val="0"/>
          <w:sz w:val="24"/>
        </w:rPr>
        <w:t>年三季度，国内疫情基本得到控制，经济继续保持修复性增长，企业盈利底部回升。九月制造业</w:t>
      </w:r>
      <w:r>
        <w:rPr>
          <w:rFonts w:eastAsiaTheme="minorEastAsia"/>
          <w:color w:val="000000"/>
          <w:kern w:val="0"/>
          <w:sz w:val="24"/>
        </w:rPr>
        <w:t>PMI</w:t>
      </w:r>
      <w:r>
        <w:rPr>
          <w:rFonts w:eastAsiaTheme="minorEastAsia"/>
          <w:color w:val="000000"/>
          <w:kern w:val="0"/>
          <w:sz w:val="24"/>
        </w:rPr>
        <w:t>连续七个月站上荣枯线。受益于宏观刺激政策发力，国内工业生产增速与结构持续改善，需求端的恢复力度也有所强化。随着国内疫情防控形势趋于稳定，三季度服务业复苏势头持续向好，居民消费需求加快释放，住宿、餐饮以及文化体育娱乐等行业活跃度有所提高。在此经济背景下，三季度</w:t>
      </w:r>
      <w:r>
        <w:rPr>
          <w:rFonts w:eastAsiaTheme="minorEastAsia"/>
          <w:color w:val="000000"/>
          <w:kern w:val="0"/>
          <w:sz w:val="24"/>
        </w:rPr>
        <w:t>A</w:t>
      </w:r>
      <w:r>
        <w:rPr>
          <w:rFonts w:eastAsiaTheme="minorEastAsia"/>
          <w:color w:val="000000"/>
          <w:kern w:val="0"/>
          <w:sz w:val="24"/>
        </w:rPr>
        <w:t>股市场在七月冲击年内高点后，进入高波动区间，市场短期震荡整固，整体波动率维持高位。作为跟踪基准指数的指数基金，三季度基金总体呈现先上行后震荡的态势。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2020</w:t>
      </w:r>
      <w:r w:rsidRPr="005E324A">
        <w:rPr>
          <w:rFonts w:eastAsiaTheme="minorEastAsia"/>
          <w:color w:val="000000"/>
          <w:kern w:val="0"/>
          <w:sz w:val="24"/>
        </w:rPr>
        <w:t>年四季度，海外疫情和美国大选等外部风险因素可能对短期市场产生一定冲击。但国内经济或将继续保持修复性增长，其中消费和出口上行趋势相对明显。未来我国财政和货币政策仍将大概率保持</w:t>
      </w:r>
      <w:r w:rsidR="00333E7B">
        <w:rPr>
          <w:rFonts w:eastAsiaTheme="minorEastAsia" w:hint="eastAsia"/>
          <w:color w:val="000000"/>
          <w:kern w:val="0"/>
          <w:sz w:val="24"/>
        </w:rPr>
        <w:t>稳健</w:t>
      </w:r>
      <w:bookmarkStart w:id="0" w:name="_GoBack"/>
      <w:bookmarkEnd w:id="0"/>
      <w:r w:rsidRPr="005E324A">
        <w:rPr>
          <w:rFonts w:eastAsiaTheme="minorEastAsia"/>
          <w:color w:val="000000"/>
          <w:kern w:val="0"/>
          <w:sz w:val="24"/>
        </w:rPr>
        <w:t>，十四五规划的落地或将成为四季度政策层面的重要影响因素。从中长期来看，</w:t>
      </w:r>
      <w:r w:rsidRPr="005E324A">
        <w:rPr>
          <w:rFonts w:eastAsiaTheme="minorEastAsia"/>
          <w:color w:val="000000"/>
          <w:kern w:val="0"/>
          <w:sz w:val="24"/>
        </w:rPr>
        <w:t>A</w:t>
      </w:r>
      <w:r w:rsidRPr="005E324A">
        <w:rPr>
          <w:rFonts w:eastAsiaTheme="minorEastAsia"/>
          <w:color w:val="000000"/>
          <w:kern w:val="0"/>
          <w:sz w:val="24"/>
        </w:rPr>
        <w:t>股盈利能力与成长性将持续修复，</w:t>
      </w:r>
      <w:r w:rsidRPr="005E324A">
        <w:rPr>
          <w:rFonts w:eastAsiaTheme="minorEastAsia"/>
          <w:color w:val="000000"/>
          <w:kern w:val="0"/>
          <w:sz w:val="24"/>
        </w:rPr>
        <w:t>“</w:t>
      </w:r>
      <w:r w:rsidRPr="005E324A">
        <w:rPr>
          <w:rFonts w:eastAsiaTheme="minorEastAsia"/>
          <w:color w:val="000000"/>
          <w:kern w:val="0"/>
          <w:sz w:val="24"/>
        </w:rPr>
        <w:t>内循环</w:t>
      </w:r>
      <w:r w:rsidRPr="005E324A">
        <w:rPr>
          <w:rFonts w:eastAsiaTheme="minorEastAsia"/>
          <w:color w:val="000000"/>
          <w:kern w:val="0"/>
          <w:sz w:val="24"/>
        </w:rPr>
        <w:t>”</w:t>
      </w:r>
      <w:r w:rsidRPr="005E324A">
        <w:rPr>
          <w:rFonts w:eastAsiaTheme="minorEastAsia"/>
          <w:color w:val="000000"/>
          <w:kern w:val="0"/>
          <w:sz w:val="24"/>
        </w:rPr>
        <w:t>战略与创业板注册制的实施进一步支持创新型企业的发展。总体而言，随着企业盈利修复，从中长期来看我们对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“3.1</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 xml:space="preserve">“3.2.1 </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p w:rsidR="000A44BE" w:rsidRPr="006636AA" w:rsidRDefault="00CB0992" w:rsidP="00CB0992">
      <w:pPr>
        <w:autoSpaceDE w:val="0"/>
        <w:autoSpaceDN w:val="0"/>
        <w:adjustRightInd w:val="0"/>
        <w:spacing w:line="360" w:lineRule="auto"/>
        <w:jc w:val="right"/>
        <w:rPr>
          <w:rFonts w:eastAsiaTheme="minorEastAsia"/>
          <w:color w:val="000000" w:themeColor="text1"/>
          <w:sz w:val="24"/>
        </w:rPr>
      </w:pPr>
      <w:r w:rsidRPr="006636AA">
        <w:rPr>
          <w:rFonts w:eastAsiaTheme="minorEastAsia" w:hint="eastAsia"/>
          <w:color w:val="000000" w:themeColor="text1"/>
          <w:sz w:val="24"/>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69,672,360.97</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92.05</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69,672,360.97</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92.05</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4,792,241.81</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6.33</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1,225,693.33</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1.62</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75,690,296.11</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本基金本报告期末未持有积极投资股票。</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p w:rsidR="009730E7" w:rsidRPr="005E324A" w:rsidRDefault="009730E7" w:rsidP="009730E7">
      <w:pPr>
        <w:autoSpaceDE w:val="0"/>
        <w:autoSpaceDN w:val="0"/>
        <w:adjustRightInd w:val="0"/>
        <w:spacing w:line="360" w:lineRule="auto"/>
        <w:jc w:val="right"/>
        <w:rPr>
          <w:rFonts w:eastAsiaTheme="minorEastAsia"/>
          <w:b/>
          <w:color w:val="000000"/>
          <w:kern w:val="0"/>
          <w:sz w:val="24"/>
        </w:rPr>
      </w:pPr>
      <w:r w:rsidRPr="00347DA9">
        <w:rPr>
          <w:color w:val="000000"/>
          <w:sz w:val="24"/>
        </w:rPr>
        <w:t>金额单位：人民币元</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11B68" w:rsidP="00465C86">
            <w:pPr>
              <w:adjustRightInd w:val="0"/>
              <w:snapToGrid w:val="0"/>
              <w:spacing w:line="400" w:lineRule="exact"/>
              <w:jc w:val="center"/>
              <w:rPr>
                <w:rFonts w:eastAsiaTheme="minorEastAsia"/>
                <w:sz w:val="24"/>
              </w:rPr>
            </w:pPr>
            <w:r>
              <w:rPr>
                <w:rFonts w:eastAsiaTheme="minorEastAsia"/>
                <w:sz w:val="24"/>
              </w:rPr>
              <w:t>公允价值</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11,413,152.60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15.30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3,035,749.00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4.07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32,163,639.65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43.11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20,912,163.10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28.03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431,118.90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0.58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1,716,537.72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2.30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69,672,360.97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93.39</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1E2C94">
        <w:tc>
          <w:tcPr>
            <w:tcW w:w="817" w:type="dxa"/>
            <w:vAlign w:val="center"/>
          </w:tcPr>
          <w:p w:rsidR="001E2C94" w:rsidRDefault="00F56F01">
            <w:pPr>
              <w:jc w:val="center"/>
            </w:pPr>
            <w:r>
              <w:rPr>
                <w:rFonts w:eastAsiaTheme="minorEastAsia"/>
                <w:color w:val="000000"/>
                <w:sz w:val="24"/>
              </w:rPr>
              <w:t>1</w:t>
            </w:r>
          </w:p>
        </w:tc>
        <w:tc>
          <w:tcPr>
            <w:tcW w:w="1276" w:type="dxa"/>
            <w:vAlign w:val="center"/>
          </w:tcPr>
          <w:p w:rsidR="001E2C94" w:rsidRDefault="00F56F01">
            <w:pPr>
              <w:jc w:val="center"/>
            </w:pPr>
            <w:r>
              <w:rPr>
                <w:rFonts w:eastAsiaTheme="minorEastAsia"/>
                <w:color w:val="000000"/>
                <w:sz w:val="24"/>
              </w:rPr>
              <w:t>300059</w:t>
            </w:r>
          </w:p>
        </w:tc>
        <w:tc>
          <w:tcPr>
            <w:tcW w:w="1701" w:type="dxa"/>
            <w:vAlign w:val="center"/>
          </w:tcPr>
          <w:p w:rsidR="001E2C94" w:rsidRDefault="00F56F01">
            <w:pPr>
              <w:jc w:val="center"/>
            </w:pPr>
            <w:r>
              <w:rPr>
                <w:rFonts w:eastAsiaTheme="minorEastAsia"/>
                <w:color w:val="000000"/>
                <w:sz w:val="24"/>
              </w:rPr>
              <w:t>东方财富</w:t>
            </w:r>
          </w:p>
        </w:tc>
        <w:tc>
          <w:tcPr>
            <w:tcW w:w="1276" w:type="dxa"/>
            <w:vAlign w:val="center"/>
          </w:tcPr>
          <w:p w:rsidR="001E2C94" w:rsidRDefault="00F56F01">
            <w:pPr>
              <w:jc w:val="right"/>
            </w:pPr>
            <w:r>
              <w:rPr>
                <w:rFonts w:eastAsiaTheme="minorEastAsia"/>
                <w:color w:val="000000"/>
                <w:sz w:val="24"/>
              </w:rPr>
              <w:t>124,484</w:t>
            </w:r>
          </w:p>
        </w:tc>
        <w:tc>
          <w:tcPr>
            <w:tcW w:w="1842" w:type="dxa"/>
            <w:vAlign w:val="center"/>
          </w:tcPr>
          <w:p w:rsidR="001E2C94" w:rsidRDefault="00F56F01">
            <w:pPr>
              <w:jc w:val="right"/>
            </w:pPr>
            <w:r>
              <w:rPr>
                <w:rFonts w:eastAsiaTheme="minorEastAsia"/>
                <w:color w:val="000000"/>
                <w:sz w:val="24"/>
              </w:rPr>
              <w:t>2,986,371.16</w:t>
            </w:r>
          </w:p>
        </w:tc>
        <w:tc>
          <w:tcPr>
            <w:tcW w:w="1616" w:type="dxa"/>
            <w:vAlign w:val="center"/>
          </w:tcPr>
          <w:p w:rsidR="001E2C94" w:rsidRDefault="00F56F01">
            <w:pPr>
              <w:jc w:val="right"/>
            </w:pPr>
            <w:r>
              <w:rPr>
                <w:rFonts w:eastAsiaTheme="minorEastAsia"/>
                <w:color w:val="000000"/>
                <w:sz w:val="24"/>
              </w:rPr>
              <w:t>4.00</w:t>
            </w:r>
          </w:p>
        </w:tc>
      </w:tr>
      <w:tr w:rsidR="001E2C94">
        <w:tc>
          <w:tcPr>
            <w:tcW w:w="817" w:type="dxa"/>
            <w:vAlign w:val="center"/>
          </w:tcPr>
          <w:p w:rsidR="001E2C94" w:rsidRDefault="00F56F01">
            <w:pPr>
              <w:jc w:val="center"/>
            </w:pPr>
            <w:r>
              <w:rPr>
                <w:rFonts w:eastAsiaTheme="minorEastAsia"/>
                <w:color w:val="000000"/>
                <w:sz w:val="24"/>
              </w:rPr>
              <w:t>2</w:t>
            </w:r>
          </w:p>
        </w:tc>
        <w:tc>
          <w:tcPr>
            <w:tcW w:w="1276" w:type="dxa"/>
            <w:vAlign w:val="center"/>
          </w:tcPr>
          <w:p w:rsidR="001E2C94" w:rsidRDefault="00F56F01">
            <w:pPr>
              <w:jc w:val="center"/>
            </w:pPr>
            <w:r>
              <w:rPr>
                <w:rFonts w:eastAsiaTheme="minorEastAsia"/>
                <w:color w:val="000000"/>
                <w:sz w:val="24"/>
              </w:rPr>
              <w:t>002410</w:t>
            </w:r>
          </w:p>
        </w:tc>
        <w:tc>
          <w:tcPr>
            <w:tcW w:w="1701" w:type="dxa"/>
            <w:vAlign w:val="center"/>
          </w:tcPr>
          <w:p w:rsidR="001E2C94" w:rsidRDefault="00F56F01">
            <w:pPr>
              <w:jc w:val="center"/>
            </w:pPr>
            <w:r>
              <w:rPr>
                <w:rFonts w:eastAsiaTheme="minorEastAsia"/>
                <w:color w:val="000000"/>
                <w:sz w:val="24"/>
              </w:rPr>
              <w:t>广联达</w:t>
            </w:r>
          </w:p>
        </w:tc>
        <w:tc>
          <w:tcPr>
            <w:tcW w:w="1276" w:type="dxa"/>
            <w:vAlign w:val="center"/>
          </w:tcPr>
          <w:p w:rsidR="001E2C94" w:rsidRDefault="00F56F01">
            <w:pPr>
              <w:jc w:val="right"/>
            </w:pPr>
            <w:r>
              <w:rPr>
                <w:rFonts w:eastAsiaTheme="minorEastAsia"/>
                <w:color w:val="000000"/>
                <w:sz w:val="24"/>
              </w:rPr>
              <w:t>32,067</w:t>
            </w:r>
          </w:p>
        </w:tc>
        <w:tc>
          <w:tcPr>
            <w:tcW w:w="1842" w:type="dxa"/>
            <w:vAlign w:val="center"/>
          </w:tcPr>
          <w:p w:rsidR="001E2C94" w:rsidRDefault="00F56F01">
            <w:pPr>
              <w:jc w:val="right"/>
            </w:pPr>
            <w:r>
              <w:rPr>
                <w:rFonts w:eastAsiaTheme="minorEastAsia"/>
                <w:color w:val="000000"/>
                <w:sz w:val="24"/>
              </w:rPr>
              <w:t>2,339,287.65</w:t>
            </w:r>
          </w:p>
        </w:tc>
        <w:tc>
          <w:tcPr>
            <w:tcW w:w="1616" w:type="dxa"/>
            <w:vAlign w:val="center"/>
          </w:tcPr>
          <w:p w:rsidR="001E2C94" w:rsidRDefault="00F56F01">
            <w:pPr>
              <w:jc w:val="right"/>
            </w:pPr>
            <w:r>
              <w:rPr>
                <w:rFonts w:eastAsiaTheme="minorEastAsia"/>
                <w:color w:val="000000"/>
                <w:sz w:val="24"/>
              </w:rPr>
              <w:t>3.14</w:t>
            </w:r>
          </w:p>
        </w:tc>
      </w:tr>
      <w:tr w:rsidR="001E2C94">
        <w:tc>
          <w:tcPr>
            <w:tcW w:w="817" w:type="dxa"/>
            <w:vAlign w:val="center"/>
          </w:tcPr>
          <w:p w:rsidR="001E2C94" w:rsidRDefault="00F56F01">
            <w:pPr>
              <w:jc w:val="center"/>
            </w:pPr>
            <w:r>
              <w:rPr>
                <w:rFonts w:eastAsiaTheme="minorEastAsia"/>
                <w:color w:val="000000"/>
                <w:sz w:val="24"/>
              </w:rPr>
              <w:t>3</w:t>
            </w:r>
          </w:p>
        </w:tc>
        <w:tc>
          <w:tcPr>
            <w:tcW w:w="1276" w:type="dxa"/>
            <w:vAlign w:val="center"/>
          </w:tcPr>
          <w:p w:rsidR="001E2C94" w:rsidRDefault="00F56F01">
            <w:pPr>
              <w:jc w:val="center"/>
            </w:pPr>
            <w:r>
              <w:rPr>
                <w:rFonts w:eastAsiaTheme="minorEastAsia"/>
                <w:color w:val="000000"/>
                <w:sz w:val="24"/>
              </w:rPr>
              <w:t>600570</w:t>
            </w:r>
          </w:p>
        </w:tc>
        <w:tc>
          <w:tcPr>
            <w:tcW w:w="1701" w:type="dxa"/>
            <w:vAlign w:val="center"/>
          </w:tcPr>
          <w:p w:rsidR="001E2C94" w:rsidRDefault="00F56F01">
            <w:pPr>
              <w:jc w:val="center"/>
            </w:pPr>
            <w:r>
              <w:rPr>
                <w:rFonts w:eastAsiaTheme="minorEastAsia"/>
                <w:color w:val="000000"/>
                <w:sz w:val="24"/>
              </w:rPr>
              <w:t>恒生电子</w:t>
            </w:r>
          </w:p>
        </w:tc>
        <w:tc>
          <w:tcPr>
            <w:tcW w:w="1276" w:type="dxa"/>
            <w:vAlign w:val="center"/>
          </w:tcPr>
          <w:p w:rsidR="001E2C94" w:rsidRDefault="00F56F01">
            <w:pPr>
              <w:jc w:val="right"/>
            </w:pPr>
            <w:r>
              <w:rPr>
                <w:rFonts w:eastAsiaTheme="minorEastAsia"/>
                <w:color w:val="000000"/>
                <w:sz w:val="24"/>
              </w:rPr>
              <w:t>21,395</w:t>
            </w:r>
          </w:p>
        </w:tc>
        <w:tc>
          <w:tcPr>
            <w:tcW w:w="1842" w:type="dxa"/>
            <w:vAlign w:val="center"/>
          </w:tcPr>
          <w:p w:rsidR="001E2C94" w:rsidRDefault="00F56F01">
            <w:pPr>
              <w:jc w:val="right"/>
            </w:pPr>
            <w:r>
              <w:rPr>
                <w:rFonts w:eastAsiaTheme="minorEastAsia"/>
                <w:color w:val="000000"/>
                <w:sz w:val="24"/>
              </w:rPr>
              <w:t>2,109,333.05</w:t>
            </w:r>
          </w:p>
        </w:tc>
        <w:tc>
          <w:tcPr>
            <w:tcW w:w="1616" w:type="dxa"/>
            <w:vAlign w:val="center"/>
          </w:tcPr>
          <w:p w:rsidR="001E2C94" w:rsidRDefault="00F56F01">
            <w:pPr>
              <w:jc w:val="right"/>
            </w:pPr>
            <w:r>
              <w:rPr>
                <w:rFonts w:eastAsiaTheme="minorEastAsia"/>
                <w:color w:val="000000"/>
                <w:sz w:val="24"/>
              </w:rPr>
              <w:t>2.83</w:t>
            </w:r>
          </w:p>
        </w:tc>
      </w:tr>
      <w:tr w:rsidR="001E2C94">
        <w:tc>
          <w:tcPr>
            <w:tcW w:w="817" w:type="dxa"/>
            <w:vAlign w:val="center"/>
          </w:tcPr>
          <w:p w:rsidR="001E2C94" w:rsidRDefault="00F56F01">
            <w:pPr>
              <w:jc w:val="center"/>
            </w:pPr>
            <w:r>
              <w:rPr>
                <w:rFonts w:eastAsiaTheme="minorEastAsia"/>
                <w:color w:val="000000"/>
                <w:sz w:val="24"/>
              </w:rPr>
              <w:t>4</w:t>
            </w:r>
          </w:p>
        </w:tc>
        <w:tc>
          <w:tcPr>
            <w:tcW w:w="1276" w:type="dxa"/>
            <w:vAlign w:val="center"/>
          </w:tcPr>
          <w:p w:rsidR="001E2C94" w:rsidRDefault="00F56F01">
            <w:pPr>
              <w:jc w:val="center"/>
            </w:pPr>
            <w:r>
              <w:rPr>
                <w:rFonts w:eastAsiaTheme="minorEastAsia"/>
                <w:color w:val="000000"/>
                <w:sz w:val="24"/>
              </w:rPr>
              <w:t>000001</w:t>
            </w:r>
          </w:p>
        </w:tc>
        <w:tc>
          <w:tcPr>
            <w:tcW w:w="1701" w:type="dxa"/>
            <w:vAlign w:val="center"/>
          </w:tcPr>
          <w:p w:rsidR="001E2C94" w:rsidRDefault="00F56F01">
            <w:pPr>
              <w:jc w:val="center"/>
            </w:pPr>
            <w:r>
              <w:rPr>
                <w:rFonts w:eastAsiaTheme="minorEastAsia"/>
                <w:color w:val="000000"/>
                <w:sz w:val="24"/>
              </w:rPr>
              <w:t>平安银行</w:t>
            </w:r>
          </w:p>
        </w:tc>
        <w:tc>
          <w:tcPr>
            <w:tcW w:w="1276" w:type="dxa"/>
            <w:vAlign w:val="center"/>
          </w:tcPr>
          <w:p w:rsidR="001E2C94" w:rsidRDefault="00F56F01">
            <w:pPr>
              <w:jc w:val="right"/>
            </w:pPr>
            <w:r>
              <w:rPr>
                <w:rFonts w:eastAsiaTheme="minorEastAsia"/>
                <w:color w:val="000000"/>
                <w:sz w:val="24"/>
              </w:rPr>
              <w:t>134,612</w:t>
            </w:r>
          </w:p>
        </w:tc>
        <w:tc>
          <w:tcPr>
            <w:tcW w:w="1842" w:type="dxa"/>
            <w:vAlign w:val="center"/>
          </w:tcPr>
          <w:p w:rsidR="001E2C94" w:rsidRDefault="00F56F01">
            <w:pPr>
              <w:jc w:val="right"/>
            </w:pPr>
            <w:r>
              <w:rPr>
                <w:rFonts w:eastAsiaTheme="minorEastAsia"/>
                <w:color w:val="000000"/>
                <w:sz w:val="24"/>
              </w:rPr>
              <w:t>2,042,064.04</w:t>
            </w:r>
          </w:p>
        </w:tc>
        <w:tc>
          <w:tcPr>
            <w:tcW w:w="1616" w:type="dxa"/>
            <w:vAlign w:val="center"/>
          </w:tcPr>
          <w:p w:rsidR="001E2C94" w:rsidRDefault="00F56F01">
            <w:pPr>
              <w:jc w:val="right"/>
            </w:pPr>
            <w:r>
              <w:rPr>
                <w:rFonts w:eastAsiaTheme="minorEastAsia"/>
                <w:color w:val="000000"/>
                <w:sz w:val="24"/>
              </w:rPr>
              <w:t>2.74</w:t>
            </w:r>
          </w:p>
        </w:tc>
      </w:tr>
      <w:tr w:rsidR="001E2C94">
        <w:tc>
          <w:tcPr>
            <w:tcW w:w="817" w:type="dxa"/>
            <w:vAlign w:val="center"/>
          </w:tcPr>
          <w:p w:rsidR="001E2C94" w:rsidRDefault="00F56F01">
            <w:pPr>
              <w:jc w:val="center"/>
            </w:pPr>
            <w:r>
              <w:rPr>
                <w:rFonts w:eastAsiaTheme="minorEastAsia"/>
                <w:color w:val="000000"/>
                <w:sz w:val="24"/>
              </w:rPr>
              <w:t>5</w:t>
            </w:r>
          </w:p>
        </w:tc>
        <w:tc>
          <w:tcPr>
            <w:tcW w:w="1276" w:type="dxa"/>
            <w:vAlign w:val="center"/>
          </w:tcPr>
          <w:p w:rsidR="001E2C94" w:rsidRDefault="00F56F01">
            <w:pPr>
              <w:jc w:val="center"/>
            </w:pPr>
            <w:r>
              <w:rPr>
                <w:rFonts w:eastAsiaTheme="minorEastAsia"/>
                <w:color w:val="000000"/>
                <w:sz w:val="24"/>
              </w:rPr>
              <w:t>600588</w:t>
            </w:r>
          </w:p>
        </w:tc>
        <w:tc>
          <w:tcPr>
            <w:tcW w:w="1701" w:type="dxa"/>
            <w:vAlign w:val="center"/>
          </w:tcPr>
          <w:p w:rsidR="001E2C94" w:rsidRDefault="00F56F01">
            <w:pPr>
              <w:jc w:val="center"/>
            </w:pPr>
            <w:r>
              <w:rPr>
                <w:rFonts w:eastAsiaTheme="minorEastAsia"/>
                <w:color w:val="000000"/>
                <w:sz w:val="24"/>
              </w:rPr>
              <w:t>用友网络</w:t>
            </w:r>
          </w:p>
        </w:tc>
        <w:tc>
          <w:tcPr>
            <w:tcW w:w="1276" w:type="dxa"/>
            <w:vAlign w:val="center"/>
          </w:tcPr>
          <w:p w:rsidR="001E2C94" w:rsidRDefault="00F56F01">
            <w:pPr>
              <w:jc w:val="right"/>
            </w:pPr>
            <w:r>
              <w:rPr>
                <w:rFonts w:eastAsiaTheme="minorEastAsia"/>
                <w:color w:val="000000"/>
                <w:sz w:val="24"/>
              </w:rPr>
              <w:t>52,325</w:t>
            </w:r>
          </w:p>
        </w:tc>
        <w:tc>
          <w:tcPr>
            <w:tcW w:w="1842" w:type="dxa"/>
            <w:vAlign w:val="center"/>
          </w:tcPr>
          <w:p w:rsidR="001E2C94" w:rsidRDefault="00F56F01">
            <w:pPr>
              <w:jc w:val="right"/>
            </w:pPr>
            <w:r>
              <w:rPr>
                <w:rFonts w:eastAsiaTheme="minorEastAsia"/>
                <w:color w:val="000000"/>
                <w:sz w:val="24"/>
              </w:rPr>
              <w:t>1,999,338.25</w:t>
            </w:r>
          </w:p>
        </w:tc>
        <w:tc>
          <w:tcPr>
            <w:tcW w:w="1616" w:type="dxa"/>
            <w:vAlign w:val="center"/>
          </w:tcPr>
          <w:p w:rsidR="001E2C94" w:rsidRDefault="00F56F01">
            <w:pPr>
              <w:jc w:val="right"/>
            </w:pPr>
            <w:r>
              <w:rPr>
                <w:rFonts w:eastAsiaTheme="minorEastAsia"/>
                <w:color w:val="000000"/>
                <w:sz w:val="24"/>
              </w:rPr>
              <w:t>2.68</w:t>
            </w:r>
          </w:p>
        </w:tc>
      </w:tr>
      <w:tr w:rsidR="001E2C94">
        <w:tc>
          <w:tcPr>
            <w:tcW w:w="817" w:type="dxa"/>
            <w:vAlign w:val="center"/>
          </w:tcPr>
          <w:p w:rsidR="001E2C94" w:rsidRDefault="00F56F01">
            <w:pPr>
              <w:jc w:val="center"/>
            </w:pPr>
            <w:r>
              <w:rPr>
                <w:rFonts w:eastAsiaTheme="minorEastAsia"/>
                <w:color w:val="000000"/>
                <w:sz w:val="24"/>
              </w:rPr>
              <w:t>6</w:t>
            </w:r>
          </w:p>
        </w:tc>
        <w:tc>
          <w:tcPr>
            <w:tcW w:w="1276" w:type="dxa"/>
            <w:vAlign w:val="center"/>
          </w:tcPr>
          <w:p w:rsidR="001E2C94" w:rsidRDefault="00F56F01">
            <w:pPr>
              <w:jc w:val="center"/>
            </w:pPr>
            <w:r>
              <w:rPr>
                <w:rFonts w:eastAsiaTheme="minorEastAsia"/>
                <w:color w:val="000000"/>
                <w:sz w:val="24"/>
              </w:rPr>
              <w:t>600109</w:t>
            </w:r>
          </w:p>
        </w:tc>
        <w:tc>
          <w:tcPr>
            <w:tcW w:w="1701" w:type="dxa"/>
            <w:vAlign w:val="center"/>
          </w:tcPr>
          <w:p w:rsidR="001E2C94" w:rsidRDefault="00F56F01">
            <w:pPr>
              <w:jc w:val="center"/>
            </w:pPr>
            <w:r>
              <w:rPr>
                <w:rFonts w:eastAsiaTheme="minorEastAsia"/>
                <w:color w:val="000000"/>
                <w:sz w:val="24"/>
              </w:rPr>
              <w:t>国金证券</w:t>
            </w:r>
          </w:p>
        </w:tc>
        <w:tc>
          <w:tcPr>
            <w:tcW w:w="1276" w:type="dxa"/>
            <w:vAlign w:val="center"/>
          </w:tcPr>
          <w:p w:rsidR="001E2C94" w:rsidRDefault="00F56F01">
            <w:pPr>
              <w:jc w:val="right"/>
            </w:pPr>
            <w:r>
              <w:rPr>
                <w:rFonts w:eastAsiaTheme="minorEastAsia"/>
                <w:color w:val="000000"/>
                <w:sz w:val="24"/>
              </w:rPr>
              <w:t>127,156</w:t>
            </w:r>
          </w:p>
        </w:tc>
        <w:tc>
          <w:tcPr>
            <w:tcW w:w="1842" w:type="dxa"/>
            <w:vAlign w:val="center"/>
          </w:tcPr>
          <w:p w:rsidR="001E2C94" w:rsidRDefault="00F56F01">
            <w:pPr>
              <w:jc w:val="right"/>
            </w:pPr>
            <w:r>
              <w:rPr>
                <w:rFonts w:eastAsiaTheme="minorEastAsia"/>
                <w:color w:val="000000"/>
                <w:sz w:val="24"/>
              </w:rPr>
              <w:t>1,944,215.24</w:t>
            </w:r>
          </w:p>
        </w:tc>
        <w:tc>
          <w:tcPr>
            <w:tcW w:w="1616" w:type="dxa"/>
            <w:vAlign w:val="center"/>
          </w:tcPr>
          <w:p w:rsidR="001E2C94" w:rsidRDefault="00F56F01">
            <w:pPr>
              <w:jc w:val="right"/>
            </w:pPr>
            <w:r>
              <w:rPr>
                <w:rFonts w:eastAsiaTheme="minorEastAsia"/>
                <w:color w:val="000000"/>
                <w:sz w:val="24"/>
              </w:rPr>
              <w:t>2.61</w:t>
            </w:r>
          </w:p>
        </w:tc>
      </w:tr>
      <w:tr w:rsidR="001E2C94">
        <w:tc>
          <w:tcPr>
            <w:tcW w:w="817" w:type="dxa"/>
            <w:vAlign w:val="center"/>
          </w:tcPr>
          <w:p w:rsidR="001E2C94" w:rsidRDefault="00F56F01">
            <w:pPr>
              <w:jc w:val="center"/>
            </w:pPr>
            <w:r>
              <w:rPr>
                <w:rFonts w:eastAsiaTheme="minorEastAsia"/>
                <w:color w:val="000000"/>
                <w:sz w:val="24"/>
              </w:rPr>
              <w:t>7</w:t>
            </w:r>
          </w:p>
        </w:tc>
        <w:tc>
          <w:tcPr>
            <w:tcW w:w="1276" w:type="dxa"/>
            <w:vAlign w:val="center"/>
          </w:tcPr>
          <w:p w:rsidR="001E2C94" w:rsidRDefault="00F56F01">
            <w:pPr>
              <w:jc w:val="center"/>
            </w:pPr>
            <w:r>
              <w:rPr>
                <w:rFonts w:eastAsiaTheme="minorEastAsia"/>
                <w:color w:val="000000"/>
                <w:sz w:val="24"/>
              </w:rPr>
              <w:t>002024</w:t>
            </w:r>
          </w:p>
        </w:tc>
        <w:tc>
          <w:tcPr>
            <w:tcW w:w="1701" w:type="dxa"/>
            <w:vAlign w:val="center"/>
          </w:tcPr>
          <w:p w:rsidR="001E2C94" w:rsidRDefault="00F56F01">
            <w:pPr>
              <w:jc w:val="center"/>
            </w:pPr>
            <w:r>
              <w:rPr>
                <w:rFonts w:eastAsiaTheme="minorEastAsia"/>
                <w:color w:val="000000"/>
                <w:sz w:val="24"/>
              </w:rPr>
              <w:t>苏宁易购</w:t>
            </w:r>
          </w:p>
        </w:tc>
        <w:tc>
          <w:tcPr>
            <w:tcW w:w="1276" w:type="dxa"/>
            <w:vAlign w:val="center"/>
          </w:tcPr>
          <w:p w:rsidR="001E2C94" w:rsidRDefault="00F56F01">
            <w:pPr>
              <w:jc w:val="right"/>
            </w:pPr>
            <w:r>
              <w:rPr>
                <w:rFonts w:eastAsiaTheme="minorEastAsia"/>
                <w:color w:val="000000"/>
                <w:sz w:val="24"/>
              </w:rPr>
              <w:t>206,500</w:t>
            </w:r>
          </w:p>
        </w:tc>
        <w:tc>
          <w:tcPr>
            <w:tcW w:w="1842" w:type="dxa"/>
            <w:vAlign w:val="center"/>
          </w:tcPr>
          <w:p w:rsidR="001E2C94" w:rsidRDefault="00F56F01">
            <w:pPr>
              <w:jc w:val="right"/>
            </w:pPr>
            <w:r>
              <w:rPr>
                <w:rFonts w:eastAsiaTheme="minorEastAsia"/>
                <w:color w:val="000000"/>
                <w:sz w:val="24"/>
              </w:rPr>
              <w:t>1,879,150.00</w:t>
            </w:r>
          </w:p>
        </w:tc>
        <w:tc>
          <w:tcPr>
            <w:tcW w:w="1616" w:type="dxa"/>
            <w:vAlign w:val="center"/>
          </w:tcPr>
          <w:p w:rsidR="001E2C94" w:rsidRDefault="00F56F01">
            <w:pPr>
              <w:jc w:val="right"/>
            </w:pPr>
            <w:r>
              <w:rPr>
                <w:rFonts w:eastAsiaTheme="minorEastAsia"/>
                <w:color w:val="000000"/>
                <w:sz w:val="24"/>
              </w:rPr>
              <w:t>2.52</w:t>
            </w:r>
          </w:p>
        </w:tc>
      </w:tr>
      <w:tr w:rsidR="001E2C94">
        <w:tc>
          <w:tcPr>
            <w:tcW w:w="817" w:type="dxa"/>
            <w:vAlign w:val="center"/>
          </w:tcPr>
          <w:p w:rsidR="001E2C94" w:rsidRDefault="00F56F01">
            <w:pPr>
              <w:jc w:val="center"/>
            </w:pPr>
            <w:r>
              <w:rPr>
                <w:rFonts w:eastAsiaTheme="minorEastAsia"/>
                <w:color w:val="000000"/>
                <w:sz w:val="24"/>
              </w:rPr>
              <w:t>8</w:t>
            </w:r>
          </w:p>
        </w:tc>
        <w:tc>
          <w:tcPr>
            <w:tcW w:w="1276" w:type="dxa"/>
            <w:vAlign w:val="center"/>
          </w:tcPr>
          <w:p w:rsidR="001E2C94" w:rsidRDefault="00F56F01">
            <w:pPr>
              <w:jc w:val="center"/>
            </w:pPr>
            <w:r>
              <w:rPr>
                <w:rFonts w:eastAsiaTheme="minorEastAsia"/>
                <w:color w:val="000000"/>
                <w:sz w:val="24"/>
              </w:rPr>
              <w:t>601166</w:t>
            </w:r>
          </w:p>
        </w:tc>
        <w:tc>
          <w:tcPr>
            <w:tcW w:w="1701" w:type="dxa"/>
            <w:vAlign w:val="center"/>
          </w:tcPr>
          <w:p w:rsidR="001E2C94" w:rsidRDefault="00F56F01">
            <w:pPr>
              <w:jc w:val="center"/>
            </w:pPr>
            <w:r>
              <w:rPr>
                <w:rFonts w:eastAsiaTheme="minorEastAsia"/>
                <w:color w:val="000000"/>
                <w:sz w:val="24"/>
              </w:rPr>
              <w:t>兴业银行</w:t>
            </w:r>
          </w:p>
        </w:tc>
        <w:tc>
          <w:tcPr>
            <w:tcW w:w="1276" w:type="dxa"/>
            <w:vAlign w:val="center"/>
          </w:tcPr>
          <w:p w:rsidR="001E2C94" w:rsidRDefault="00F56F01">
            <w:pPr>
              <w:jc w:val="right"/>
            </w:pPr>
            <w:r>
              <w:rPr>
                <w:rFonts w:eastAsiaTheme="minorEastAsia"/>
                <w:color w:val="000000"/>
                <w:sz w:val="24"/>
              </w:rPr>
              <w:t>113,603</w:t>
            </w:r>
          </w:p>
        </w:tc>
        <w:tc>
          <w:tcPr>
            <w:tcW w:w="1842" w:type="dxa"/>
            <w:vAlign w:val="center"/>
          </w:tcPr>
          <w:p w:rsidR="001E2C94" w:rsidRDefault="00F56F01">
            <w:pPr>
              <w:jc w:val="right"/>
            </w:pPr>
            <w:r>
              <w:rPr>
                <w:rFonts w:eastAsiaTheme="minorEastAsia"/>
                <w:color w:val="000000"/>
                <w:sz w:val="24"/>
              </w:rPr>
              <w:t>1,832,416.39</w:t>
            </w:r>
          </w:p>
        </w:tc>
        <w:tc>
          <w:tcPr>
            <w:tcW w:w="1616" w:type="dxa"/>
            <w:vAlign w:val="center"/>
          </w:tcPr>
          <w:p w:rsidR="001E2C94" w:rsidRDefault="00F56F01">
            <w:pPr>
              <w:jc w:val="right"/>
            </w:pPr>
            <w:r>
              <w:rPr>
                <w:rFonts w:eastAsiaTheme="minorEastAsia"/>
                <w:color w:val="000000"/>
                <w:sz w:val="24"/>
              </w:rPr>
              <w:t>2.46</w:t>
            </w:r>
          </w:p>
        </w:tc>
      </w:tr>
      <w:tr w:rsidR="001E2C94">
        <w:tc>
          <w:tcPr>
            <w:tcW w:w="817" w:type="dxa"/>
            <w:vAlign w:val="center"/>
          </w:tcPr>
          <w:p w:rsidR="001E2C94" w:rsidRDefault="00F56F01">
            <w:pPr>
              <w:jc w:val="center"/>
            </w:pPr>
            <w:r>
              <w:rPr>
                <w:rFonts w:eastAsiaTheme="minorEastAsia"/>
                <w:color w:val="000000"/>
                <w:sz w:val="24"/>
              </w:rPr>
              <w:t>9</w:t>
            </w:r>
          </w:p>
        </w:tc>
        <w:tc>
          <w:tcPr>
            <w:tcW w:w="1276" w:type="dxa"/>
            <w:vAlign w:val="center"/>
          </w:tcPr>
          <w:p w:rsidR="001E2C94" w:rsidRDefault="00F56F01">
            <w:pPr>
              <w:jc w:val="center"/>
            </w:pPr>
            <w:r>
              <w:rPr>
                <w:rFonts w:eastAsiaTheme="minorEastAsia"/>
                <w:color w:val="000000"/>
                <w:sz w:val="24"/>
              </w:rPr>
              <w:t>601318</w:t>
            </w:r>
          </w:p>
        </w:tc>
        <w:tc>
          <w:tcPr>
            <w:tcW w:w="1701" w:type="dxa"/>
            <w:vAlign w:val="center"/>
          </w:tcPr>
          <w:p w:rsidR="001E2C94" w:rsidRDefault="00F56F01">
            <w:pPr>
              <w:jc w:val="center"/>
            </w:pPr>
            <w:r>
              <w:rPr>
                <w:rFonts w:eastAsiaTheme="minorEastAsia"/>
                <w:color w:val="000000"/>
                <w:sz w:val="24"/>
              </w:rPr>
              <w:t>中国平安</w:t>
            </w:r>
          </w:p>
        </w:tc>
        <w:tc>
          <w:tcPr>
            <w:tcW w:w="1276" w:type="dxa"/>
            <w:vAlign w:val="center"/>
          </w:tcPr>
          <w:p w:rsidR="001E2C94" w:rsidRDefault="00F56F01">
            <w:pPr>
              <w:jc w:val="right"/>
            </w:pPr>
            <w:r>
              <w:rPr>
                <w:rFonts w:eastAsiaTheme="minorEastAsia"/>
                <w:color w:val="000000"/>
                <w:sz w:val="24"/>
              </w:rPr>
              <w:t>23,900</w:t>
            </w:r>
          </w:p>
        </w:tc>
        <w:tc>
          <w:tcPr>
            <w:tcW w:w="1842" w:type="dxa"/>
            <w:vAlign w:val="center"/>
          </w:tcPr>
          <w:p w:rsidR="001E2C94" w:rsidRDefault="00F56F01">
            <w:pPr>
              <w:jc w:val="right"/>
            </w:pPr>
            <w:r>
              <w:rPr>
                <w:rFonts w:eastAsiaTheme="minorEastAsia"/>
                <w:color w:val="000000"/>
                <w:sz w:val="24"/>
              </w:rPr>
              <w:t>1,822,614.00</w:t>
            </w:r>
          </w:p>
        </w:tc>
        <w:tc>
          <w:tcPr>
            <w:tcW w:w="1616" w:type="dxa"/>
            <w:vAlign w:val="center"/>
          </w:tcPr>
          <w:p w:rsidR="001E2C94" w:rsidRDefault="00F56F01">
            <w:pPr>
              <w:jc w:val="right"/>
            </w:pPr>
            <w:r>
              <w:rPr>
                <w:rFonts w:eastAsiaTheme="minorEastAsia"/>
                <w:color w:val="000000"/>
                <w:sz w:val="24"/>
              </w:rPr>
              <w:t>2.44</w:t>
            </w:r>
          </w:p>
        </w:tc>
      </w:tr>
      <w:tr w:rsidR="001E2C94">
        <w:tc>
          <w:tcPr>
            <w:tcW w:w="817" w:type="dxa"/>
            <w:vAlign w:val="center"/>
          </w:tcPr>
          <w:p w:rsidR="001E2C94" w:rsidRDefault="00F56F01">
            <w:pPr>
              <w:jc w:val="center"/>
            </w:pPr>
            <w:r>
              <w:rPr>
                <w:rFonts w:eastAsiaTheme="minorEastAsia"/>
                <w:color w:val="000000"/>
                <w:sz w:val="24"/>
              </w:rPr>
              <w:t>10</w:t>
            </w:r>
          </w:p>
        </w:tc>
        <w:tc>
          <w:tcPr>
            <w:tcW w:w="1276" w:type="dxa"/>
            <w:vAlign w:val="center"/>
          </w:tcPr>
          <w:p w:rsidR="001E2C94" w:rsidRDefault="00F56F01">
            <w:pPr>
              <w:jc w:val="center"/>
            </w:pPr>
            <w:r>
              <w:rPr>
                <w:rFonts w:eastAsiaTheme="minorEastAsia"/>
                <w:color w:val="000000"/>
                <w:sz w:val="24"/>
              </w:rPr>
              <w:t>600271</w:t>
            </w:r>
          </w:p>
        </w:tc>
        <w:tc>
          <w:tcPr>
            <w:tcW w:w="1701" w:type="dxa"/>
            <w:vAlign w:val="center"/>
          </w:tcPr>
          <w:p w:rsidR="001E2C94" w:rsidRDefault="00F56F01">
            <w:pPr>
              <w:jc w:val="center"/>
            </w:pPr>
            <w:r>
              <w:rPr>
                <w:rFonts w:eastAsiaTheme="minorEastAsia"/>
                <w:color w:val="000000"/>
                <w:sz w:val="24"/>
              </w:rPr>
              <w:t>航天信息</w:t>
            </w:r>
          </w:p>
        </w:tc>
        <w:tc>
          <w:tcPr>
            <w:tcW w:w="1276" w:type="dxa"/>
            <w:vAlign w:val="center"/>
          </w:tcPr>
          <w:p w:rsidR="001E2C94" w:rsidRDefault="00F56F01">
            <w:pPr>
              <w:jc w:val="right"/>
            </w:pPr>
            <w:r>
              <w:rPr>
                <w:rFonts w:eastAsiaTheme="minorEastAsia"/>
                <w:color w:val="000000"/>
                <w:sz w:val="24"/>
              </w:rPr>
              <w:t>112,952</w:t>
            </w:r>
          </w:p>
        </w:tc>
        <w:tc>
          <w:tcPr>
            <w:tcW w:w="1842" w:type="dxa"/>
            <w:vAlign w:val="center"/>
          </w:tcPr>
          <w:p w:rsidR="001E2C94" w:rsidRDefault="00F56F01">
            <w:pPr>
              <w:jc w:val="right"/>
            </w:pPr>
            <w:r>
              <w:rPr>
                <w:rFonts w:eastAsiaTheme="minorEastAsia"/>
                <w:color w:val="000000"/>
                <w:sz w:val="24"/>
              </w:rPr>
              <w:t>1,781,253.04</w:t>
            </w:r>
          </w:p>
        </w:tc>
        <w:tc>
          <w:tcPr>
            <w:tcW w:w="1616" w:type="dxa"/>
            <w:vAlign w:val="center"/>
          </w:tcPr>
          <w:p w:rsidR="001E2C94" w:rsidRDefault="00F56F01">
            <w:pPr>
              <w:jc w:val="right"/>
            </w:pPr>
            <w:r>
              <w:rPr>
                <w:rFonts w:eastAsiaTheme="minorEastAsia"/>
                <w:color w:val="000000"/>
                <w:sz w:val="24"/>
              </w:rPr>
              <w:t>2.39</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377DA7" w:rsidRPr="005E324A" w:rsidRDefault="00377DA7" w:rsidP="00377DA7">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本基金本报告期末未持有积极投资股票。</w:t>
      </w:r>
    </w:p>
    <w:p w:rsidR="00220542"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377DA7" w:rsidRDefault="001C123E" w:rsidP="00377DA7">
      <w:pPr>
        <w:autoSpaceDE w:val="0"/>
        <w:autoSpaceDN w:val="0"/>
        <w:adjustRightInd w:val="0"/>
        <w:spacing w:line="360" w:lineRule="auto"/>
        <w:jc w:val="left"/>
        <w:rPr>
          <w:rFonts w:eastAsiaTheme="minorEastAsia"/>
          <w:color w:val="000000"/>
          <w:sz w:val="24"/>
        </w:rPr>
      </w:pPr>
      <w:r w:rsidRPr="00377DA7">
        <w:rPr>
          <w:rFonts w:eastAsiaTheme="minorEastAsia"/>
          <w:color w:val="000000"/>
          <w:sz w:val="24"/>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F56F01">
        <w:rPr>
          <w:rFonts w:eastAsiaTheme="minorEastAsia"/>
          <w:b/>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F56F01">
        <w:rPr>
          <w:rFonts w:eastAsiaTheme="minorEastAsia"/>
          <w:b/>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AD5B9B">
        <w:rPr>
          <w:rFonts w:eastAsiaTheme="minorEastAsia" w:hint="eastAsia"/>
          <w:b/>
          <w:bCs/>
          <w:color w:val="000000"/>
          <w:kern w:val="0"/>
          <w:sz w:val="24"/>
        </w:rPr>
        <w:t>期末</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p w:rsidR="00AD5B9B" w:rsidRPr="00AD5B9B" w:rsidRDefault="00AD5B9B" w:rsidP="00AD5B9B">
      <w:pPr>
        <w:autoSpaceDE w:val="0"/>
        <w:autoSpaceDN w:val="0"/>
        <w:adjustRightInd w:val="0"/>
        <w:spacing w:line="360" w:lineRule="auto"/>
        <w:jc w:val="right"/>
        <w:rPr>
          <w:rFonts w:eastAsiaTheme="minorEastAsia"/>
          <w:color w:val="000000"/>
          <w:kern w:val="0"/>
          <w:sz w:val="24"/>
        </w:rPr>
      </w:pPr>
      <w:r w:rsidRPr="00AD5B9B">
        <w:rPr>
          <w:rFonts w:eastAsiaTheme="minorEastAsia" w:hint="eastAsia"/>
          <w:color w:val="000000"/>
          <w:kern w:val="0"/>
          <w:sz w:val="24"/>
        </w:rPr>
        <w:t>金额单位：人民币元</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AD5B9B" w:rsidP="00723EC0">
            <w:pPr>
              <w:autoSpaceDE w:val="0"/>
              <w:autoSpaceDN w:val="0"/>
              <w:adjustRightInd w:val="0"/>
              <w:spacing w:line="360" w:lineRule="auto"/>
              <w:jc w:val="center"/>
              <w:rPr>
                <w:rFonts w:eastAsiaTheme="minorEastAsia"/>
                <w:color w:val="000000"/>
                <w:sz w:val="24"/>
              </w:rPr>
            </w:pPr>
            <w:r>
              <w:rPr>
                <w:rFonts w:eastAsiaTheme="minorEastAsia"/>
                <w:color w:val="000000"/>
                <w:sz w:val="24"/>
              </w:rPr>
              <w:t>金额</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6,966.16</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1,178,276.73</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500.53</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39,949.91</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1,225,693.33</w:t>
            </w:r>
          </w:p>
        </w:tc>
      </w:tr>
    </w:tbl>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9C070C" w:rsidRPr="005E324A" w:rsidRDefault="009C070C" w:rsidP="009C07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b/>
          <w:kern w:val="0"/>
          <w:sz w:val="24"/>
        </w:rPr>
      </w:pPr>
      <w:r w:rsidRPr="00347DA9">
        <w:rPr>
          <w:color w:val="000000"/>
          <w:sz w:val="24"/>
        </w:rPr>
        <w:t>金额单位：人民币元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7A6BEA" w:rsidRPr="005E324A" w:rsidTr="007A6BEA">
        <w:tc>
          <w:tcPr>
            <w:tcW w:w="1083"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p>
        </w:tc>
        <w:tc>
          <w:tcPr>
            <w:tcW w:w="165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1E2C94">
        <w:tc>
          <w:tcPr>
            <w:tcW w:w="1083" w:type="dxa"/>
            <w:vAlign w:val="center"/>
          </w:tcPr>
          <w:p w:rsidR="001E2C94" w:rsidRDefault="00F56F01">
            <w:pPr>
              <w:jc w:val="center"/>
            </w:pPr>
            <w:r>
              <w:rPr>
                <w:rFonts w:eastAsiaTheme="minorEastAsia"/>
                <w:color w:val="000000"/>
                <w:sz w:val="24"/>
              </w:rPr>
              <w:t>1</w:t>
            </w:r>
          </w:p>
        </w:tc>
        <w:tc>
          <w:tcPr>
            <w:tcW w:w="1302" w:type="dxa"/>
            <w:vAlign w:val="center"/>
          </w:tcPr>
          <w:p w:rsidR="001E2C94" w:rsidRDefault="00F56F01">
            <w:pPr>
              <w:jc w:val="center"/>
            </w:pPr>
            <w:r>
              <w:rPr>
                <w:rFonts w:eastAsiaTheme="minorEastAsia"/>
                <w:color w:val="000000"/>
                <w:sz w:val="24"/>
              </w:rPr>
              <w:t>600109</w:t>
            </w:r>
          </w:p>
        </w:tc>
        <w:tc>
          <w:tcPr>
            <w:tcW w:w="1301" w:type="dxa"/>
            <w:vAlign w:val="center"/>
          </w:tcPr>
          <w:p w:rsidR="001E2C94" w:rsidRDefault="00F56F01">
            <w:pPr>
              <w:jc w:val="center"/>
            </w:pPr>
            <w:r>
              <w:rPr>
                <w:rFonts w:eastAsiaTheme="minorEastAsia"/>
                <w:color w:val="000000"/>
                <w:sz w:val="24"/>
              </w:rPr>
              <w:t>国金证券</w:t>
            </w:r>
          </w:p>
        </w:tc>
        <w:tc>
          <w:tcPr>
            <w:tcW w:w="1805" w:type="dxa"/>
            <w:vAlign w:val="center"/>
          </w:tcPr>
          <w:p w:rsidR="001E2C94" w:rsidRDefault="00F56F01">
            <w:pPr>
              <w:jc w:val="right"/>
            </w:pPr>
            <w:r>
              <w:rPr>
                <w:rFonts w:eastAsiaTheme="minorEastAsia"/>
                <w:color w:val="000000"/>
                <w:sz w:val="24"/>
              </w:rPr>
              <w:t>1,944,215.24</w:t>
            </w:r>
          </w:p>
        </w:tc>
        <w:tc>
          <w:tcPr>
            <w:tcW w:w="1655" w:type="dxa"/>
            <w:vAlign w:val="center"/>
          </w:tcPr>
          <w:p w:rsidR="001E2C94" w:rsidRDefault="00F56F01">
            <w:pPr>
              <w:jc w:val="right"/>
            </w:pPr>
            <w:r>
              <w:rPr>
                <w:rFonts w:eastAsiaTheme="minorEastAsia"/>
                <w:color w:val="000000"/>
                <w:sz w:val="24"/>
              </w:rPr>
              <w:t>2.61</w:t>
            </w:r>
          </w:p>
        </w:tc>
        <w:tc>
          <w:tcPr>
            <w:tcW w:w="1367" w:type="dxa"/>
            <w:vAlign w:val="center"/>
          </w:tcPr>
          <w:p w:rsidR="001E2C94" w:rsidRDefault="00F56F01">
            <w:pPr>
              <w:jc w:val="right"/>
            </w:pPr>
            <w:r>
              <w:rPr>
                <w:rFonts w:eastAsiaTheme="minorEastAsia"/>
                <w:color w:val="000000"/>
                <w:sz w:val="24"/>
              </w:rPr>
              <w:t>重大事项</w:t>
            </w:r>
          </w:p>
        </w:tc>
      </w:tr>
    </w:tbl>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本基金本报告期末未持有积极投资股票。</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377DA7">
      <w:pPr>
        <w:spacing w:line="360" w:lineRule="auto"/>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85,041,042.22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570,223.00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570,223.00</w:t>
            </w:r>
          </w:p>
        </w:tc>
      </w:tr>
      <w:tr w:rsidR="00262941"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262941" w:rsidRPr="005E324A" w:rsidRDefault="00262941" w:rsidP="00262941">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本报告期期间基金总申购份额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262941" w:rsidRPr="005E324A" w:rsidRDefault="00262941" w:rsidP="00262941">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8,328,604.76</w:t>
            </w:r>
          </w:p>
        </w:tc>
        <w:tc>
          <w:tcPr>
            <w:tcW w:w="2410" w:type="dxa"/>
            <w:tcBorders>
              <w:top w:val="single" w:sz="8" w:space="0" w:color="000000"/>
              <w:left w:val="single" w:sz="8" w:space="0" w:color="000000"/>
              <w:bottom w:val="single" w:sz="8" w:space="0" w:color="000000"/>
              <w:right w:val="single" w:sz="8" w:space="0" w:color="000000"/>
            </w:tcBorders>
            <w:vAlign w:val="center"/>
          </w:tcPr>
          <w:p w:rsidR="00262941" w:rsidRPr="005E324A" w:rsidRDefault="00262941" w:rsidP="00262941">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262941" w:rsidRPr="005E324A" w:rsidRDefault="00262941" w:rsidP="00262941">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262941"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262941" w:rsidRPr="005E324A" w:rsidRDefault="00262941" w:rsidP="00262941">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减：本报告期期间基金总赎回份额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262941" w:rsidRPr="005E324A" w:rsidRDefault="00262941" w:rsidP="00262941">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15,191,844.37</w:t>
            </w:r>
          </w:p>
        </w:tc>
        <w:tc>
          <w:tcPr>
            <w:tcW w:w="2410" w:type="dxa"/>
            <w:tcBorders>
              <w:top w:val="single" w:sz="8" w:space="0" w:color="000000"/>
              <w:left w:val="single" w:sz="8" w:space="0" w:color="000000"/>
              <w:bottom w:val="single" w:sz="8" w:space="0" w:color="000000"/>
              <w:right w:val="single" w:sz="8" w:space="0" w:color="000000"/>
            </w:tcBorders>
            <w:vAlign w:val="center"/>
          </w:tcPr>
          <w:p w:rsidR="00262941" w:rsidRPr="005E324A" w:rsidRDefault="00262941" w:rsidP="00262941">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262941" w:rsidRPr="005E324A" w:rsidRDefault="00262941" w:rsidP="00262941">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-39,238.00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19,619.00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19,619.00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78,138,564.61</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589,842.00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589,842.00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5B03C0" w:rsidRDefault="005B03C0" w:rsidP="00707017">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5B03C0" w:rsidRDefault="005B03C0" w:rsidP="005B03C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影响投资者决策的其他重要信息</w:t>
      </w:r>
    </w:p>
    <w:p w:rsidR="005B03C0" w:rsidRDefault="005B03C0" w:rsidP="005B03C0">
      <w:pPr>
        <w:spacing w:line="360" w:lineRule="auto"/>
        <w:ind w:firstLineChars="200" w:firstLine="480"/>
        <w:rPr>
          <w:rFonts w:ascii="宋体" w:hAnsi="宋体"/>
          <w:color w:val="000000"/>
          <w:sz w:val="24"/>
        </w:rPr>
      </w:pPr>
      <w:r>
        <w:rPr>
          <w:rFonts w:ascii="宋体" w:hAnsi="宋体" w:hint="eastAsia"/>
          <w:color w:val="000000"/>
          <w:sz w:val="24"/>
        </w:rPr>
        <w:t xml:space="preserve">根据《中华人民共和国证券投资基金法》、《公开募集证券投资基金运作管理办法》和《交银施罗德中证互联网金融指数分级证券投资基金基金合同》的有关规定，本基金管理人决定自2020年10月16日起至2020年10月27日17：00止以通讯方式召开本基金的基金份额持有人大会审议终止本基金《基金合同》相关事宜，本基金管理人已分别于2020年9月25日、9月28日、9月29日在《上海证券报》及本公司网站发布了《交银施罗德基金管理有限公司关于以通讯方式召开交银施罗德中证互联网金融指数分级证券投资基金基金份额持有人大会的公告》及第一次、第二次提示性公告，详情请见相关公告。 </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9</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9</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1E2C94" w:rsidRDefault="00F56F01">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1E2C94" w:rsidRDefault="00F56F01">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1E2C94" w:rsidRDefault="00F56F01">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1E2C94" w:rsidRDefault="00F56F01">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1E2C94" w:rsidRDefault="00F56F01">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1E2C94" w:rsidRDefault="00F56F01">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1E2C94" w:rsidRDefault="00F56F01">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9.3</w:t>
      </w:r>
      <w:r w:rsidR="00220542" w:rsidRPr="005E324A">
        <w:rPr>
          <w:rFonts w:eastAsiaTheme="minorEastAsia"/>
          <w:b/>
          <w:color w:val="000000"/>
          <w:sz w:val="24"/>
        </w:rPr>
        <w:t>查阅方式</w:t>
      </w:r>
    </w:p>
    <w:p w:rsidR="001E2C94" w:rsidRDefault="00F56F01">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EA4" w:rsidRDefault="00B77EA4">
      <w:r>
        <w:separator/>
      </w:r>
    </w:p>
  </w:endnote>
  <w:endnote w:type="continuationSeparator" w:id="0">
    <w:p w:rsidR="00B77EA4" w:rsidRDefault="00B7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r>
      <w:rPr>
        <w:rFonts w:hint="eastAsia"/>
        <w:kern w:val="0"/>
        <w:szCs w:val="21"/>
      </w:rPr>
      <w:t>页共</w:t>
    </w:r>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333E7B">
      <w:rPr>
        <w:rStyle w:val="a7"/>
        <w:noProof/>
      </w:rPr>
      <w:t>8</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EA4" w:rsidRDefault="00B77EA4">
      <w:r>
        <w:separator/>
      </w:r>
    </w:p>
  </w:footnote>
  <w:footnote w:type="continuationSeparator" w:id="0">
    <w:p w:rsidR="00B77EA4" w:rsidRDefault="00B77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交银施罗德中证互联网金融指数分级证券投资基金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64B"/>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01F"/>
    <w:rsid w:val="00091214"/>
    <w:rsid w:val="00094876"/>
    <w:rsid w:val="00095912"/>
    <w:rsid w:val="00095CE0"/>
    <w:rsid w:val="00096933"/>
    <w:rsid w:val="00097230"/>
    <w:rsid w:val="0009778D"/>
    <w:rsid w:val="000A44BE"/>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34E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1D0B"/>
    <w:rsid w:val="001928F7"/>
    <w:rsid w:val="00194537"/>
    <w:rsid w:val="0019563C"/>
    <w:rsid w:val="00197F50"/>
    <w:rsid w:val="001A21A9"/>
    <w:rsid w:val="001A363B"/>
    <w:rsid w:val="001A59D8"/>
    <w:rsid w:val="001A5F99"/>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1CD7"/>
    <w:rsid w:val="001E2A6A"/>
    <w:rsid w:val="001E2C94"/>
    <w:rsid w:val="001E3DC2"/>
    <w:rsid w:val="001E56FF"/>
    <w:rsid w:val="001E5C6B"/>
    <w:rsid w:val="001E6E4D"/>
    <w:rsid w:val="001F03E1"/>
    <w:rsid w:val="001F218E"/>
    <w:rsid w:val="001F3CC6"/>
    <w:rsid w:val="001F40BA"/>
    <w:rsid w:val="001F4530"/>
    <w:rsid w:val="001F4905"/>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3896"/>
    <w:rsid w:val="002359EB"/>
    <w:rsid w:val="002363AB"/>
    <w:rsid w:val="0024172D"/>
    <w:rsid w:val="0024260D"/>
    <w:rsid w:val="00243E40"/>
    <w:rsid w:val="00245012"/>
    <w:rsid w:val="0024504E"/>
    <w:rsid w:val="0024554B"/>
    <w:rsid w:val="0024651F"/>
    <w:rsid w:val="00250BE3"/>
    <w:rsid w:val="00251290"/>
    <w:rsid w:val="0025158D"/>
    <w:rsid w:val="00251D17"/>
    <w:rsid w:val="0025281A"/>
    <w:rsid w:val="00253D3C"/>
    <w:rsid w:val="0025435F"/>
    <w:rsid w:val="00255292"/>
    <w:rsid w:val="00260200"/>
    <w:rsid w:val="00262941"/>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2C24"/>
    <w:rsid w:val="002C5777"/>
    <w:rsid w:val="002D1791"/>
    <w:rsid w:val="002D32E3"/>
    <w:rsid w:val="002E0FEB"/>
    <w:rsid w:val="002E1EBA"/>
    <w:rsid w:val="002E45F3"/>
    <w:rsid w:val="002E7966"/>
    <w:rsid w:val="002F0F79"/>
    <w:rsid w:val="002F280E"/>
    <w:rsid w:val="002F3709"/>
    <w:rsid w:val="002F3A6C"/>
    <w:rsid w:val="002F4296"/>
    <w:rsid w:val="002F74B7"/>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33E7B"/>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77DA7"/>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A52D2"/>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34B5"/>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A67B5"/>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1C1E"/>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59A3"/>
    <w:rsid w:val="005374BC"/>
    <w:rsid w:val="00537A4E"/>
    <w:rsid w:val="00543188"/>
    <w:rsid w:val="00543367"/>
    <w:rsid w:val="00543BFA"/>
    <w:rsid w:val="005448D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85C67"/>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36AA"/>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5E68"/>
    <w:rsid w:val="006A72C6"/>
    <w:rsid w:val="006B02DA"/>
    <w:rsid w:val="006B10DA"/>
    <w:rsid w:val="006B2065"/>
    <w:rsid w:val="006B267A"/>
    <w:rsid w:val="006B3940"/>
    <w:rsid w:val="006B5B3E"/>
    <w:rsid w:val="006B7BC0"/>
    <w:rsid w:val="006C168D"/>
    <w:rsid w:val="006C642C"/>
    <w:rsid w:val="006C6FC6"/>
    <w:rsid w:val="006D0E4F"/>
    <w:rsid w:val="006D2BAB"/>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45A3"/>
    <w:rsid w:val="007C6049"/>
    <w:rsid w:val="007C7E22"/>
    <w:rsid w:val="007D1C16"/>
    <w:rsid w:val="007D28C9"/>
    <w:rsid w:val="007D3CC8"/>
    <w:rsid w:val="007D47D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0096"/>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3210"/>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4753"/>
    <w:rsid w:val="00945CF5"/>
    <w:rsid w:val="00946EE4"/>
    <w:rsid w:val="009500A1"/>
    <w:rsid w:val="0095037E"/>
    <w:rsid w:val="009525EF"/>
    <w:rsid w:val="00952AAD"/>
    <w:rsid w:val="00952F4F"/>
    <w:rsid w:val="00954567"/>
    <w:rsid w:val="009547A9"/>
    <w:rsid w:val="00957466"/>
    <w:rsid w:val="0096260B"/>
    <w:rsid w:val="00963F05"/>
    <w:rsid w:val="00965469"/>
    <w:rsid w:val="009664D5"/>
    <w:rsid w:val="00970C69"/>
    <w:rsid w:val="00971F1C"/>
    <w:rsid w:val="0097211D"/>
    <w:rsid w:val="00972E10"/>
    <w:rsid w:val="009730E7"/>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44CF"/>
    <w:rsid w:val="009A5029"/>
    <w:rsid w:val="009A63AC"/>
    <w:rsid w:val="009B1584"/>
    <w:rsid w:val="009B1B32"/>
    <w:rsid w:val="009B21CA"/>
    <w:rsid w:val="009B2648"/>
    <w:rsid w:val="009C03E5"/>
    <w:rsid w:val="009C070C"/>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4A7"/>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3EB"/>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4065"/>
    <w:rsid w:val="00AB5B99"/>
    <w:rsid w:val="00AB688F"/>
    <w:rsid w:val="00AB75EA"/>
    <w:rsid w:val="00AB7AA2"/>
    <w:rsid w:val="00AC4BC1"/>
    <w:rsid w:val="00AD04BD"/>
    <w:rsid w:val="00AD1C72"/>
    <w:rsid w:val="00AD25F6"/>
    <w:rsid w:val="00AD5B9B"/>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37C5"/>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77EA4"/>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1074"/>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0D3F"/>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C12"/>
    <w:rsid w:val="00C96F5F"/>
    <w:rsid w:val="00CA5927"/>
    <w:rsid w:val="00CA79EC"/>
    <w:rsid w:val="00CB0992"/>
    <w:rsid w:val="00CB39C2"/>
    <w:rsid w:val="00CB4664"/>
    <w:rsid w:val="00CB4C8C"/>
    <w:rsid w:val="00CB6782"/>
    <w:rsid w:val="00CC080A"/>
    <w:rsid w:val="00CC0994"/>
    <w:rsid w:val="00CD04B1"/>
    <w:rsid w:val="00CD0AAD"/>
    <w:rsid w:val="00CD38A5"/>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085D"/>
    <w:rsid w:val="00D129A8"/>
    <w:rsid w:val="00D12FB9"/>
    <w:rsid w:val="00D13FE2"/>
    <w:rsid w:val="00D167A4"/>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84FD2"/>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5B32"/>
    <w:rsid w:val="00E067FB"/>
    <w:rsid w:val="00E104FA"/>
    <w:rsid w:val="00E1082A"/>
    <w:rsid w:val="00E11166"/>
    <w:rsid w:val="00E11B68"/>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6760B"/>
    <w:rsid w:val="00E722B7"/>
    <w:rsid w:val="00E72395"/>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68BF"/>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6F01"/>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85CF4"/>
    <w:rsid w:val="00F91F6D"/>
    <w:rsid w:val="00F966DC"/>
    <w:rsid w:val="00F97B71"/>
    <w:rsid w:val="00FA2DDA"/>
    <w:rsid w:val="00FA34CA"/>
    <w:rsid w:val="00FA4A55"/>
    <w:rsid w:val="00FA4D4F"/>
    <w:rsid w:val="00FA54E8"/>
    <w:rsid w:val="00FA7193"/>
    <w:rsid w:val="00FA72DD"/>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49A"/>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5:docId w15:val="{2EA5CF29-2580-442E-B86E-0CCBDF5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15</Pages>
  <Words>1204</Words>
  <Characters>6864</Characters>
  <Application>Microsoft Office Word</Application>
  <DocSecurity>0</DocSecurity>
  <Lines>57</Lines>
  <Paragraphs>16</Paragraphs>
  <ScaleCrop>false</ScaleCrop>
  <Company>TRT. Ltd. Co.</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211</cp:revision>
  <cp:lastPrinted>2007-07-19T00:46:00Z</cp:lastPrinted>
  <dcterms:created xsi:type="dcterms:W3CDTF">2012-11-28T02:28:00Z</dcterms:created>
  <dcterms:modified xsi:type="dcterms:W3CDTF">2020-10-26T02:35:00Z</dcterms:modified>
</cp:coreProperties>
</file>