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交银施罗德裕如纯债债券型证券投资基金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2020年第3季度报告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2020年9月30日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浙商银行股份有限公司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二〇二〇年十月二十八日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基金托管人浙商银行股份有限公司根据本基金合同规定，于2020年10月27日复核了本报告中的财务指标、净值表现和投资组合报告等内容，保证复核内容不存在虚假记载、误导性陈述或者重大遗漏。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本报告期自2020年7月1日起至9月30日止。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交银裕如纯债债券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005972</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2018年5月25日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2,909,327,580.80</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本基金在严格控制风险和保持资产流动性的基础上，通过积极主动的投资管理，力争持续稳定地实现超越业绩比较基准的投资回报。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充分发挥基金管理人的研究优势，对宏观经济运行趋势、财政以及货币政策变化趋势作出分析和判断，对未来市场利率趋势及市场信用环境变化作出预测，确定本基金债券组合久期、期限结构、债券类别配置策略，在严谨深入的分析和严格的风险控制基础上，综合考虑经济变量的变动对不同券种收益率、信用趋势和风险的潜在影响，深入挖掘价值被低估的标的券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中债综合全价指数收益率</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本基金是一只债券型基金，其预期风险与预期收益高于货币市场基金，低于混合型基金和股票型基金。</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浙商银行股份有限公司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交银裕如纯债债券A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交银裕如纯债债券C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005972</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005973</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2,909,327,580.80</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w:t>
            </w:r>
            <w:r w:rsidRPr="007F52FA">
              <w:rPr>
                <w:color w:val="000000"/>
                <w:kern w:val="0"/>
                <w:sz w:val="24"/>
              </w:rPr>
              <w:t>份</w:t>
            </w:r>
          </w:p>
        </w:tc>
      </w:tr>
    </w:tbl>
    <w:p w:rsidP="007C14DF" w:rsidR="009238DB" w:rsidRDefault="00A6200E"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注：本基金C类份额为0。</w:t>
      </w:r>
    </w:p>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(2020年7月1日-2020年9月30日)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交银裕如纯债债券A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交银裕如纯债债券C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18,651,347.29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-29,442,331.18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-0.0079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2,972,212,023.10</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1.0216</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1.0000</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注：1、本基金A/B类业绩指标不包括持有人认购或交易基金的各项费用，计入费用后的实际收益水平要低于所列数字。 　　</w:t>
      </w:r>
    </w:p>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2、本期已实现收益指基金本期利息收入、投资收益、其他收入（不含公允价值变动收益）扣除相关费用后的余额，本期利润为本期已实现收益加上本期公允价值变动收益。</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 xml:space="preserve">    3、本基金C类份额为0。</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交银裕如纯债债券A</w:t>
      </w:r>
      <w:r w:rsidRPr="007F52FA">
        <w:rPr>
          <w:b/>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-0.54%</w:t>
            </w:r>
          </w:p>
        </w:tc>
        <w:tc>
          <w:tcPr>
            <w:vAlign w:val="center"/>
          </w:tcPr>
          <w:p>
            <w:pPr>
              <w:jc w:val="center"/>
            </w:pPr>
            <w:r>
              <w:rPr>
                <w:color w:val="000000"/>
                <w:sz w:val="24"/>
              </w:rPr>
              <w:t>0.09%</w:t>
            </w:r>
          </w:p>
        </w:tc>
        <w:tc>
          <w:tcPr>
            <w:vAlign w:val="center"/>
          </w:tcPr>
          <w:p>
            <w:pPr>
              <w:jc w:val="center"/>
            </w:pPr>
            <w:r>
              <w:rPr>
                <w:color w:val="000000"/>
                <w:sz w:val="24"/>
              </w:rPr>
              <w:t>-1.48%</w:t>
            </w:r>
          </w:p>
        </w:tc>
        <w:tc>
          <w:tcPr>
            <w:vAlign w:val="center"/>
          </w:tcPr>
          <w:p>
            <w:pPr>
              <w:jc w:val="center"/>
            </w:pPr>
            <w:r>
              <w:rPr>
                <w:color w:val="000000"/>
                <w:sz w:val="24"/>
              </w:rPr>
              <w:t>0.08%</w:t>
            </w:r>
          </w:p>
        </w:tc>
        <w:tc>
          <w:tcPr>
            <w:vAlign w:val="center"/>
          </w:tcPr>
          <w:p>
            <w:pPr>
              <w:jc w:val="center"/>
            </w:pPr>
            <w:r>
              <w:rPr>
                <w:color w:val="000000"/>
                <w:sz w:val="24"/>
              </w:rPr>
              <w:t>0.94%</w:t>
            </w:r>
          </w:p>
        </w:tc>
        <w:tc>
          <w:tcPr>
            <w:vAlign w:val="center"/>
          </w:tcPr>
          <w:p>
            <w:pPr>
              <w:jc w:val="center"/>
            </w:pPr>
            <w:r>
              <w:rPr>
                <w:color w:val="000000"/>
                <w:sz w:val="24"/>
              </w:rPr>
              <w:t>0.01%</w:t>
            </w:r>
          </w:p>
        </w:tc>
      </w:tr>
      <w:tr>
        <w:tc>
          <w:tcPr>
            <w:vAlign w:val="center"/>
          </w:tcPr>
          <w:p>
            <w:pPr>
              <w:jc w:val="left"/>
            </w:pPr>
            <w:r>
              <w:rPr>
                <w:color w:val="000000"/>
                <w:sz w:val="24"/>
              </w:rPr>
              <w:t>过去六个月</w:t>
            </w:r>
          </w:p>
        </w:tc>
        <w:tc>
          <w:tcPr>
            <w:vAlign w:val="center"/>
          </w:tcPr>
          <w:p>
            <w:pPr>
              <w:jc w:val="center"/>
            </w:pPr>
            <w:r>
              <w:rPr>
                <w:color w:val="000000"/>
                <w:sz w:val="24"/>
              </w:rPr>
              <w:t>-0.99%</w:t>
            </w:r>
          </w:p>
        </w:tc>
        <w:tc>
          <w:tcPr>
            <w:vAlign w:val="center"/>
          </w:tcPr>
          <w:p>
            <w:pPr>
              <w:jc w:val="center"/>
            </w:pPr>
            <w:r>
              <w:rPr>
                <w:color w:val="000000"/>
                <w:sz w:val="24"/>
              </w:rPr>
              <w:t>0.13%</w:t>
            </w:r>
          </w:p>
        </w:tc>
        <w:tc>
          <w:tcPr>
            <w:vAlign w:val="center"/>
          </w:tcPr>
          <w:p>
            <w:pPr>
              <w:jc w:val="center"/>
            </w:pPr>
            <w:r>
              <w:rPr>
                <w:color w:val="000000"/>
                <w:sz w:val="24"/>
              </w:rPr>
              <w:t>-2.50%</w:t>
            </w:r>
          </w:p>
        </w:tc>
        <w:tc>
          <w:tcPr>
            <w:vAlign w:val="center"/>
          </w:tcPr>
          <w:p>
            <w:pPr>
              <w:jc w:val="center"/>
            </w:pPr>
            <w:r>
              <w:rPr>
                <w:color w:val="000000"/>
                <w:sz w:val="24"/>
              </w:rPr>
              <w:t>0.10%</w:t>
            </w:r>
          </w:p>
        </w:tc>
        <w:tc>
          <w:tcPr>
            <w:vAlign w:val="center"/>
          </w:tcPr>
          <w:p>
            <w:pPr>
              <w:jc w:val="center"/>
            </w:pPr>
            <w:r>
              <w:rPr>
                <w:color w:val="000000"/>
                <w:sz w:val="24"/>
              </w:rPr>
              <w:t>1.51%</w:t>
            </w:r>
          </w:p>
        </w:tc>
        <w:tc>
          <w:tcPr>
            <w:vAlign w:val="center"/>
          </w:tcPr>
          <w:p>
            <w:pPr>
              <w:jc w:val="center"/>
            </w:pPr>
            <w:r>
              <w:rPr>
                <w:color w:val="000000"/>
                <w:sz w:val="24"/>
              </w:rPr>
              <w:t>0.03%</w:t>
            </w:r>
          </w:p>
        </w:tc>
      </w:tr>
      <w:tr>
        <w:tc>
          <w:tcPr>
            <w:vAlign w:val="center"/>
          </w:tcPr>
          <w:p>
            <w:pPr>
              <w:jc w:val="left"/>
            </w:pPr>
            <w:r>
              <w:rPr>
                <w:color w:val="000000"/>
                <w:sz w:val="24"/>
              </w:rPr>
              <w:t>过去一年</w:t>
            </w:r>
          </w:p>
        </w:tc>
        <w:tc>
          <w:tcPr>
            <w:vAlign w:val="center"/>
          </w:tcPr>
          <w:p>
            <w:pPr>
              <w:jc w:val="center"/>
            </w:pPr>
            <w:r>
              <w:rPr>
                <w:color w:val="000000"/>
                <w:sz w:val="24"/>
              </w:rPr>
              <w:t>2.22%</w:t>
            </w:r>
          </w:p>
        </w:tc>
        <w:tc>
          <w:tcPr>
            <w:vAlign w:val="center"/>
          </w:tcPr>
          <w:p>
            <w:pPr>
              <w:jc w:val="center"/>
            </w:pPr>
            <w:r>
              <w:rPr>
                <w:color w:val="000000"/>
                <w:sz w:val="24"/>
              </w:rPr>
              <w:t>0.10%</w:t>
            </w:r>
          </w:p>
        </w:tc>
        <w:tc>
          <w:tcPr>
            <w:vAlign w:val="center"/>
          </w:tcPr>
          <w:p>
            <w:pPr>
              <w:jc w:val="center"/>
            </w:pPr>
            <w:r>
              <w:rPr>
                <w:color w:val="000000"/>
                <w:sz w:val="24"/>
              </w:rPr>
              <w:t>-0.08%</w:t>
            </w:r>
          </w:p>
        </w:tc>
        <w:tc>
          <w:tcPr>
            <w:vAlign w:val="center"/>
          </w:tcPr>
          <w:p>
            <w:pPr>
              <w:jc w:val="center"/>
            </w:pPr>
            <w:r>
              <w:rPr>
                <w:color w:val="000000"/>
                <w:sz w:val="24"/>
              </w:rPr>
              <w:t>0.09%</w:t>
            </w:r>
          </w:p>
        </w:tc>
        <w:tc>
          <w:tcPr>
            <w:vAlign w:val="center"/>
          </w:tcPr>
          <w:p>
            <w:pPr>
              <w:jc w:val="center"/>
            </w:pPr>
            <w:r>
              <w:rPr>
                <w:color w:val="000000"/>
                <w:sz w:val="24"/>
              </w:rPr>
              <w:t>2.30%</w:t>
            </w:r>
          </w:p>
        </w:tc>
        <w:tc>
          <w:tcPr>
            <w:vAlign w:val="center"/>
          </w:tcPr>
          <w:p>
            <w:pPr>
              <w:jc w:val="center"/>
            </w:pPr>
            <w:r>
              <w:rPr>
                <w:color w:val="000000"/>
                <w:sz w:val="24"/>
              </w:rPr>
              <w:t>0.01%</w:t>
            </w:r>
          </w:p>
        </w:tc>
      </w:tr>
      <w:tr>
        <w:tc>
          <w:tcPr>
            <w:vAlign w:val="center"/>
          </w:tcPr>
          <w:p>
            <w:pPr>
              <w:jc w:val="left"/>
            </w:pPr>
            <w:r>
              <w:rPr>
                <w:color w:val="000000"/>
                <w:sz w:val="24"/>
              </w:rPr>
              <w:t>自基金合同生效至今</w:t>
            </w:r>
          </w:p>
        </w:tc>
        <w:tc>
          <w:tcPr>
            <w:vAlign w:val="center"/>
          </w:tcPr>
          <w:p>
            <w:pPr>
              <w:jc w:val="center"/>
            </w:pPr>
            <w:r>
              <w:rPr>
                <w:color w:val="000000"/>
                <w:sz w:val="24"/>
              </w:rPr>
              <w:t>9.32%</w:t>
            </w:r>
          </w:p>
        </w:tc>
        <w:tc>
          <w:tcPr>
            <w:vAlign w:val="center"/>
          </w:tcPr>
          <w:p>
            <w:pPr>
              <w:jc w:val="center"/>
            </w:pPr>
            <w:r>
              <w:rPr>
                <w:color w:val="000000"/>
                <w:sz w:val="24"/>
              </w:rPr>
              <w:t>0.08%</w:t>
            </w:r>
          </w:p>
        </w:tc>
        <w:tc>
          <w:tcPr>
            <w:vAlign w:val="center"/>
          </w:tcPr>
          <w:p>
            <w:pPr>
              <w:jc w:val="center"/>
            </w:pPr>
            <w:r>
              <w:rPr>
                <w:color w:val="000000"/>
                <w:sz w:val="24"/>
              </w:rPr>
              <w:t>3.59%</w:t>
            </w:r>
          </w:p>
        </w:tc>
        <w:tc>
          <w:tcPr>
            <w:vAlign w:val="center"/>
          </w:tcPr>
          <w:p>
            <w:pPr>
              <w:jc w:val="center"/>
            </w:pPr>
            <w:r>
              <w:rPr>
                <w:color w:val="000000"/>
                <w:sz w:val="24"/>
              </w:rPr>
              <w:t>0.07%</w:t>
            </w:r>
          </w:p>
        </w:tc>
        <w:tc>
          <w:tcPr>
            <w:vAlign w:val="center"/>
          </w:tcPr>
          <w:p>
            <w:pPr>
              <w:jc w:val="center"/>
            </w:pPr>
            <w:r>
              <w:rPr>
                <w:color w:val="000000"/>
                <w:sz w:val="24"/>
              </w:rPr>
              <w:t>5.73%</w:t>
            </w:r>
          </w:p>
        </w:tc>
        <w:tc>
          <w:tcPr>
            <w:vAlign w:val="center"/>
          </w:tcPr>
          <w:p>
            <w:pPr>
              <w:jc w:val="center"/>
            </w:pPr>
            <w:r>
              <w:rPr>
                <w:color w:val="000000"/>
                <w:sz w:val="24"/>
              </w:rPr>
              <w:t>0.01%</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交银裕如纯债债券C</w:t>
      </w:r>
      <w:r w:rsidRPr="007F52FA">
        <w:rPr>
          <w:b/>
          <w:color w:val="000000"/>
          <w:kern w:val="0"/>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过去六个月</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过去一年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自基金合同生效至今</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交银施罗德裕如纯债债券型证券投资基金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2018年5月25日</w:t>
      </w:r>
      <w:r w:rsidR="009A045B" w:rsidRPr="007F52FA">
        <w:rPr>
          <w:rFonts w:ascii="Times New Roman" w:hAnsi="Times New Roman"/>
          <w:sz w:val="24"/>
          <w:szCs w:val="24"/>
        </w:rPr>
        <w:t>至</w:t>
      </w:r>
      <w:r w:rsidRPr="007F52FA">
        <w:rPr>
          <w:rFonts w:ascii="Times New Roman" w:hAnsi="Times New Roman"/>
          <w:sz w:val="24"/>
          <w:szCs w:val="24"/>
        </w:rPr>
        <w:t>2020年9月30日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交银裕如纯债债券A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交银裕如纯债债券C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注：本基金C类份额为0。</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于海颖</w:t>
            </w:r>
          </w:p>
        </w:tc>
        <w:tc>
          <w:tcPr>
            <w:vAlign w:val="center"/>
          </w:tcPr>
          <w:p>
            <w:pPr>
              <w:jc w:val="center"/>
            </w:pPr>
            <w:r>
              <w:rPr>
                <w:color w:val="000000"/>
                <w:sz w:val="24"/>
              </w:rPr>
              <w:t>交银纯债债券发起、交银丰晟收益债券、交银裕如纯债债券、交银裕泰两年定期开放债券、交银裕坤纯债一年定期开放债券的基金经理，公司固定收益（公募）投资总监</w:t>
            </w:r>
          </w:p>
        </w:tc>
        <w:tc>
          <w:tcPr>
            <w:vAlign w:val="center"/>
          </w:tcPr>
          <w:p>
            <w:pPr>
              <w:jc w:val="center"/>
            </w:pPr>
            <w:r>
              <w:rPr>
                <w:color w:val="000000"/>
                <w:sz w:val="24"/>
              </w:rPr>
              <w:t>2018-05-25</w:t>
            </w:r>
          </w:p>
        </w:tc>
        <w:tc>
          <w:tcPr>
            <w:vAlign w:val="center"/>
          </w:tcPr>
          <w:p>
            <w:pPr>
              <w:jc w:val="center"/>
            </w:pPr>
            <w:r>
              <w:rPr>
                <w:color w:val="000000"/>
                <w:sz w:val="24"/>
              </w:rPr>
              <w:t>-</w:t>
            </w:r>
          </w:p>
        </w:tc>
        <w:tc>
          <w:tcPr>
            <w:vAlign w:val="center"/>
          </w:tcPr>
          <w:p>
            <w:pPr>
              <w:jc w:val="center"/>
            </w:pPr>
            <w:r>
              <w:rPr>
                <w:color w:val="000000"/>
                <w:sz w:val="24"/>
              </w:rPr>
              <w:t>14年</w:t>
            </w:r>
          </w:p>
        </w:tc>
        <w:tc>
          <w:tcPr>
            <w:vAlign w:val="center"/>
          </w:tcPr>
          <w:p>
            <w:pPr>
              <w:jc w:val="both"/>
            </w:pPr>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2007年11月9日至2010年8月30日任光大保德信货币市场基金基金经理，2008年10月29日至2010年8月30日任光大保德信增利收益债券型证券投资基金基金经理，2011年6月28日至2013年6月16日任银华永祥保本混合型证券投资基金基金经理，2011年8月2日至2014年4月24日任银华货币市场证券投资基金基金经理，2012年8月9日至2014年10月7日任银华纯债信用主题债券型证券投资基金（LOF）基金经理，2013年4月1日至2014年4月24日任银华交易型货币市场基金基金经理，2013年8月7日至2014年10月7日任银华信用四季红债券型证券投资基金基金经理，2013年9月18日至2014年10月7日任银华信用季季红债券型证券投资基金基金经理，2014年5月8日至2014年10月7日任银华信用债券型证券投资基金(LOF)基金经理。2016年加入交银施罗德基金管理有限公司。2017年6月10日至2018年7月18日担任交银施罗德丰硕收益债券型证券投资基金的基金经理。2017年6月10日至2019年3月14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2016年12月29日至2020年8月21日担任交银施罗德丰盈收益债券型证券投资基金的基金经理。2017年6月10日至2020年8月21日担任交银施罗德增利债券证券投资基金的基金经理。</w:t>
            </w:r>
          </w:p>
        </w:tc>
      </w:tr>
      <w:tr>
        <w:tc>
          <w:tcPr>
            <w:vAlign w:val="center"/>
          </w:tcPr>
          <w:p>
            <w:pPr>
              <w:jc w:val="center"/>
            </w:pPr>
            <w:r>
              <w:rPr>
                <w:color w:val="000000"/>
                <w:sz w:val="24"/>
              </w:rPr>
              <w:t>魏玉敏</w:t>
            </w:r>
          </w:p>
        </w:tc>
        <w:tc>
          <w:tcPr>
            <w:vAlign w:val="center"/>
          </w:tcPr>
          <w:p>
            <w:pPr>
              <w:jc w:val="center"/>
            </w:pPr>
            <w:r>
              <w:rPr>
                <w:color w:val="000000"/>
                <w:sz w:val="24"/>
              </w:rPr>
              <w:t>交银增利债券、交银纯债债券发起、交银丰润收益债券、交银增利增强债券、交银丰晟收益债券、交银裕如纯债债券、交银中债1-3年农发债指数、交银可转债债券、交银裕泰两年定期开放债券的基金经理</w:t>
            </w:r>
          </w:p>
        </w:tc>
        <w:tc>
          <w:tcPr>
            <w:vAlign w:val="center"/>
          </w:tcPr>
          <w:p>
            <w:pPr>
              <w:jc w:val="center"/>
            </w:pPr>
            <w:r>
              <w:rPr>
                <w:color w:val="000000"/>
                <w:sz w:val="24"/>
              </w:rPr>
              <w:t>2018-08-29</w:t>
            </w:r>
          </w:p>
        </w:tc>
        <w:tc>
          <w:tcPr>
            <w:vAlign w:val="center"/>
          </w:tcPr>
          <w:p>
            <w:pPr>
              <w:jc w:val="center"/>
            </w:pPr>
            <w:r>
              <w:rPr>
                <w:color w:val="000000"/>
                <w:sz w:val="24"/>
              </w:rPr>
              <w:t>-</w:t>
            </w:r>
          </w:p>
        </w:tc>
        <w:tc>
          <w:tcPr>
            <w:vAlign w:val="center"/>
          </w:tcPr>
          <w:p>
            <w:pPr>
              <w:jc w:val="center"/>
            </w:pPr>
            <w:r>
              <w:rPr>
                <w:color w:val="000000"/>
                <w:sz w:val="24"/>
              </w:rPr>
              <w:t>8年</w:t>
            </w:r>
          </w:p>
        </w:tc>
        <w:tc>
          <w:tcPr>
            <w:vAlign w:val="center"/>
          </w:tcPr>
          <w:p>
            <w:pPr>
              <w:jc w:val="both"/>
            </w:pPr>
            <w:r>
              <w:rPr>
                <w:color w:val="000000"/>
                <w:sz w:val="24"/>
              </w:rPr>
              <w:t>魏玉敏女士，厦门大学金融学硕士、学士。2012年至2013年任招商证券固定收益研究员，2013年至2016年任国信证券固定收益高级分析师。2016年加入交银施罗德基金管理有限公司，历任基金经理助理。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回顾2020年三季度，债券收益率整体呈现震荡上行的趋势，从宏观数据来看，经济基本面走势在疫情之后出现了一定回暖态势，而在这种情况下，公开市场操作也进行了相应的节奏调整，在这种情况下，经济复苏预期下叠加货币政策回归中性，资金面呈现出阶段性紧张局面，债券市场弱势震荡。具体来看，本季度初，央行公开市场操作持续净回笼传递货币政策偏紧预期，一级市场供给压力导致市场供需问题明显，债券市场延续弱势调整。季度中期，债市在配置资金和避险情绪催化下开启一波反弹行情。进入季度末，在超储率低位的情况下，并受到假期因素的影响，资金面持续维持平衡偏紧格局，存单发行利率不断上行，带动曲线平坦化上行，考虑到票息因素，中短久期信用债配置需求恢复较好。</w:t>
      </w:r>
    </w:p>
    <w:p>
      <w:pPr>
        <w:spacing w:before="29" w:line="288" w:lineRule="auto"/>
        <w:ind w:firstLine="480" w:firstLineChars="200"/>
        <w:rPr>
          <w:color w:val="000000"/>
          <w:sz w:val="24"/>
        </w:rPr>
      </w:pPr>
      <w:r>
        <w:rPr>
          <w:color w:val="000000"/>
          <w:sz w:val="24"/>
        </w:rPr>
        <w:t>报告期内，基于对宏观经济的判断，结合市场收益率曲线形态变动调整了组合久期配置，组合适度降低了久期，并以中短期利率债为主要配置，通过久期选择和精选个券，为组合增厚收益。</w:t>
      </w:r>
    </w:p>
    <w:p w:rsidP="007C14DF" w:rsidR="00952A72" w:rsidRDefault="00323F25" w:rsidRPr="007F52FA">
      <w:pPr>
        <w:spacing w:before="29" w:line="288" w:lineRule="auto"/>
        <w:ind w:firstLine="480" w:firstLineChars="200"/>
        <w:rPr>
          <w:color w:val="000000"/>
          <w:sz w:val="24"/>
        </w:rPr>
      </w:pPr>
      <w:r w:rsidRPr="007F52FA">
        <w:rPr>
          <w:color w:val="000000"/>
          <w:sz w:val="24"/>
        </w:rPr>
        <w:t>展望2020年四季度，国内基本面恢复的节奏和货币信用的边际变化将成为影响债市的主要因素。短期来看经济延续改善趋势、工业品价格上行压力增大，货币政策回归中性以及银行负债端压力较大等因素影响下，我们认为债券市场将维持震荡上行，趋势性机会仍需要等待。但随着年末供给压力减弱、信用增速放缓以及中美关系不确定性提升，债券市场或存在波段交易机会。操作策略方面，本基金将继续关注市场情况，整体上控制组合就久期，根据曲线形态，适时进行组合个券调仓，以期增厚组合收益。</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本基金本报告期内曾连续二十个工作日以上出现基金份额持有人数量不满200人的情形，截至本报告期末，本基金基金份额持有人数量已高于200人。</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2"/>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3,571,897,000.00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98.35</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3,571,897,000.00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98.35</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1,756,160.60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0.05</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58,062,619.57</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1.60</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3,631,715,780.17</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3,571,897,000.00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120.18</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3,571,897,000.00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120.18</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3,571,897,000.00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120.18</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2"/>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190202</w:t>
            </w:r>
          </w:p>
        </w:tc>
        <w:tc>
          <w:tcPr>
            <w:vAlign w:val="center"/>
          </w:tcPr>
          <w:p>
            <w:pPr>
              <w:jc w:val="center"/>
            </w:pPr>
            <w:r>
              <w:rPr>
                <w:color w:val="000000"/>
                <w:sz w:val="24"/>
              </w:rPr>
              <w:t>19国开02</w:t>
            </w:r>
          </w:p>
        </w:tc>
        <w:tc>
          <w:tcPr>
            <w:vAlign w:val="center"/>
          </w:tcPr>
          <w:p>
            <w:pPr>
              <w:jc w:val="right"/>
            </w:pPr>
            <w:r>
              <w:rPr>
                <w:color w:val="000000"/>
                <w:sz w:val="24"/>
              </w:rPr>
              <w:t>8,300,000</w:t>
            </w:r>
          </w:p>
        </w:tc>
        <w:tc>
          <w:tcPr>
            <w:vAlign w:val="center"/>
          </w:tcPr>
          <w:p>
            <w:pPr>
              <w:jc w:val="right"/>
            </w:pPr>
            <w:r>
              <w:rPr>
                <w:color w:val="000000"/>
                <w:sz w:val="24"/>
              </w:rPr>
              <w:t>830,664,000.00</w:t>
            </w:r>
          </w:p>
        </w:tc>
        <w:tc>
          <w:tcPr>
            <w:vAlign w:val="center"/>
          </w:tcPr>
          <w:p>
            <w:pPr>
              <w:jc w:val="right"/>
            </w:pPr>
            <w:r>
              <w:rPr>
                <w:color w:val="000000"/>
                <w:sz w:val="24"/>
              </w:rPr>
              <w:t>27.95</w:t>
            </w:r>
          </w:p>
        </w:tc>
      </w:tr>
      <w:tr>
        <w:tc>
          <w:tcPr>
            <w:vAlign w:val="center"/>
          </w:tcPr>
          <w:p>
            <w:pPr>
              <w:jc w:val="center"/>
            </w:pPr>
            <w:r>
              <w:rPr>
                <w:color w:val="000000"/>
                <w:sz w:val="24"/>
              </w:rPr>
              <w:t>2</w:t>
            </w:r>
          </w:p>
        </w:tc>
        <w:tc>
          <w:tcPr>
            <w:vAlign w:val="center"/>
          </w:tcPr>
          <w:p>
            <w:pPr>
              <w:jc w:val="center"/>
            </w:pPr>
            <w:r>
              <w:rPr>
                <w:color w:val="000000"/>
                <w:sz w:val="24"/>
              </w:rPr>
              <w:t>190207</w:t>
            </w:r>
          </w:p>
        </w:tc>
        <w:tc>
          <w:tcPr>
            <w:vAlign w:val="center"/>
          </w:tcPr>
          <w:p>
            <w:pPr>
              <w:jc w:val="center"/>
            </w:pPr>
            <w:r>
              <w:rPr>
                <w:color w:val="000000"/>
                <w:sz w:val="24"/>
              </w:rPr>
              <w:t>19国开07</w:t>
            </w:r>
          </w:p>
        </w:tc>
        <w:tc>
          <w:tcPr>
            <w:vAlign w:val="center"/>
          </w:tcPr>
          <w:p>
            <w:pPr>
              <w:jc w:val="right"/>
            </w:pPr>
            <w:r>
              <w:rPr>
                <w:color w:val="000000"/>
                <w:sz w:val="24"/>
              </w:rPr>
              <w:t>8,000,000</w:t>
            </w:r>
          </w:p>
        </w:tc>
        <w:tc>
          <w:tcPr>
            <w:vAlign w:val="center"/>
          </w:tcPr>
          <w:p>
            <w:pPr>
              <w:jc w:val="right"/>
            </w:pPr>
            <w:r>
              <w:rPr>
                <w:color w:val="000000"/>
                <w:sz w:val="24"/>
              </w:rPr>
              <w:t>800,240,000.00</w:t>
            </w:r>
          </w:p>
        </w:tc>
        <w:tc>
          <w:tcPr>
            <w:vAlign w:val="center"/>
          </w:tcPr>
          <w:p>
            <w:pPr>
              <w:jc w:val="right"/>
            </w:pPr>
            <w:r>
              <w:rPr>
                <w:color w:val="000000"/>
                <w:sz w:val="24"/>
              </w:rPr>
              <w:t>26.92</w:t>
            </w:r>
          </w:p>
        </w:tc>
      </w:tr>
      <w:tr>
        <w:tc>
          <w:tcPr>
            <w:vAlign w:val="center"/>
          </w:tcPr>
          <w:p>
            <w:pPr>
              <w:jc w:val="center"/>
            </w:pPr>
            <w:r>
              <w:rPr>
                <w:color w:val="000000"/>
                <w:sz w:val="24"/>
              </w:rPr>
              <w:t>3</w:t>
            </w:r>
          </w:p>
        </w:tc>
        <w:tc>
          <w:tcPr>
            <w:vAlign w:val="center"/>
          </w:tcPr>
          <w:p>
            <w:pPr>
              <w:jc w:val="center"/>
            </w:pPr>
            <w:r>
              <w:rPr>
                <w:color w:val="000000"/>
                <w:sz w:val="24"/>
              </w:rPr>
              <w:t>180204</w:t>
            </w:r>
          </w:p>
        </w:tc>
        <w:tc>
          <w:tcPr>
            <w:vAlign w:val="center"/>
          </w:tcPr>
          <w:p>
            <w:pPr>
              <w:jc w:val="center"/>
            </w:pPr>
            <w:r>
              <w:rPr>
                <w:color w:val="000000"/>
                <w:sz w:val="24"/>
              </w:rPr>
              <w:t>18国开04</w:t>
            </w:r>
          </w:p>
        </w:tc>
        <w:tc>
          <w:tcPr>
            <w:vAlign w:val="center"/>
          </w:tcPr>
          <w:p>
            <w:pPr>
              <w:jc w:val="right"/>
            </w:pPr>
            <w:r>
              <w:rPr>
                <w:color w:val="000000"/>
                <w:sz w:val="24"/>
              </w:rPr>
              <w:t>6,600,000</w:t>
            </w:r>
          </w:p>
        </w:tc>
        <w:tc>
          <w:tcPr>
            <w:vAlign w:val="center"/>
          </w:tcPr>
          <w:p>
            <w:pPr>
              <w:jc w:val="right"/>
            </w:pPr>
            <w:r>
              <w:rPr>
                <w:color w:val="000000"/>
                <w:sz w:val="24"/>
              </w:rPr>
              <w:t>681,846,000.00</w:t>
            </w:r>
          </w:p>
        </w:tc>
        <w:tc>
          <w:tcPr>
            <w:vAlign w:val="center"/>
          </w:tcPr>
          <w:p>
            <w:pPr>
              <w:jc w:val="right"/>
            </w:pPr>
            <w:r>
              <w:rPr>
                <w:color w:val="000000"/>
                <w:sz w:val="24"/>
              </w:rPr>
              <w:t>22.94</w:t>
            </w:r>
          </w:p>
        </w:tc>
      </w:tr>
      <w:tr>
        <w:tc>
          <w:tcPr>
            <w:vAlign w:val="center"/>
          </w:tcPr>
          <w:p>
            <w:pPr>
              <w:jc w:val="center"/>
            </w:pPr>
            <w:r>
              <w:rPr>
                <w:color w:val="000000"/>
                <w:sz w:val="24"/>
              </w:rPr>
              <w:t>4</w:t>
            </w:r>
          </w:p>
        </w:tc>
        <w:tc>
          <w:tcPr>
            <w:vAlign w:val="center"/>
          </w:tcPr>
          <w:p>
            <w:pPr>
              <w:jc w:val="center"/>
            </w:pPr>
            <w:r>
              <w:rPr>
                <w:color w:val="000000"/>
                <w:sz w:val="24"/>
              </w:rPr>
              <w:t>180211</w:t>
            </w:r>
          </w:p>
        </w:tc>
        <w:tc>
          <w:tcPr>
            <w:vAlign w:val="center"/>
          </w:tcPr>
          <w:p>
            <w:pPr>
              <w:jc w:val="center"/>
            </w:pPr>
            <w:r>
              <w:rPr>
                <w:color w:val="000000"/>
                <w:sz w:val="24"/>
              </w:rPr>
              <w:t>18国开11</w:t>
            </w:r>
          </w:p>
        </w:tc>
        <w:tc>
          <w:tcPr>
            <w:vAlign w:val="center"/>
          </w:tcPr>
          <w:p>
            <w:pPr>
              <w:jc w:val="right"/>
            </w:pPr>
            <w:r>
              <w:rPr>
                <w:color w:val="000000"/>
                <w:sz w:val="24"/>
              </w:rPr>
              <w:t>4,400,000</w:t>
            </w:r>
          </w:p>
        </w:tc>
        <w:tc>
          <w:tcPr>
            <w:vAlign w:val="center"/>
          </w:tcPr>
          <w:p>
            <w:pPr>
              <w:jc w:val="right"/>
            </w:pPr>
            <w:r>
              <w:rPr>
                <w:color w:val="000000"/>
                <w:sz w:val="24"/>
              </w:rPr>
              <w:t>445,544,000.00</w:t>
            </w:r>
          </w:p>
        </w:tc>
        <w:tc>
          <w:tcPr>
            <w:vAlign w:val="center"/>
          </w:tcPr>
          <w:p>
            <w:pPr>
              <w:jc w:val="right"/>
            </w:pPr>
            <w:r>
              <w:rPr>
                <w:color w:val="000000"/>
                <w:sz w:val="24"/>
              </w:rPr>
              <w:t>14.99</w:t>
            </w:r>
          </w:p>
        </w:tc>
      </w:tr>
      <w:tr>
        <w:tc>
          <w:tcPr>
            <w:vAlign w:val="center"/>
          </w:tcPr>
          <w:p>
            <w:pPr>
              <w:jc w:val="center"/>
            </w:pPr>
            <w:r>
              <w:rPr>
                <w:color w:val="000000"/>
                <w:sz w:val="24"/>
              </w:rPr>
              <w:t>5</w:t>
            </w:r>
          </w:p>
        </w:tc>
        <w:tc>
          <w:tcPr>
            <w:vAlign w:val="center"/>
          </w:tcPr>
          <w:p>
            <w:pPr>
              <w:jc w:val="center"/>
            </w:pPr>
            <w:r>
              <w:rPr>
                <w:color w:val="000000"/>
                <w:sz w:val="24"/>
              </w:rPr>
              <w:t>190203</w:t>
            </w:r>
          </w:p>
        </w:tc>
        <w:tc>
          <w:tcPr>
            <w:vAlign w:val="center"/>
          </w:tcPr>
          <w:p>
            <w:pPr>
              <w:jc w:val="center"/>
            </w:pPr>
            <w:r>
              <w:rPr>
                <w:color w:val="000000"/>
                <w:sz w:val="24"/>
              </w:rPr>
              <w:t>19国开03</w:t>
            </w:r>
          </w:p>
        </w:tc>
        <w:tc>
          <w:tcPr>
            <w:vAlign w:val="center"/>
          </w:tcPr>
          <w:p>
            <w:pPr>
              <w:jc w:val="right"/>
            </w:pPr>
            <w:r>
              <w:rPr>
                <w:color w:val="000000"/>
                <w:sz w:val="24"/>
              </w:rPr>
              <w:t>2,200,000</w:t>
            </w:r>
          </w:p>
        </w:tc>
        <w:tc>
          <w:tcPr>
            <w:vAlign w:val="center"/>
          </w:tcPr>
          <w:p>
            <w:pPr>
              <w:jc w:val="right"/>
            </w:pPr>
            <w:r>
              <w:rPr>
                <w:color w:val="000000"/>
                <w:sz w:val="24"/>
              </w:rPr>
              <w:t>219,296,000.00</w:t>
            </w:r>
          </w:p>
        </w:tc>
        <w:tc>
          <w:tcPr>
            <w:vAlign w:val="center"/>
          </w:tcPr>
          <w:p>
            <w:pPr>
              <w:jc w:val="right"/>
            </w:pPr>
            <w:r>
              <w:rPr>
                <w:color w:val="000000"/>
                <w:sz w:val="24"/>
              </w:rPr>
              <w:t>7.38</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bookmarkStart w:id="2" w:name="_GoBack"/>
      <w:r w:rsidRPr="00885AD9">
        <w:rPr>
          <w:b/>
          <w:kern w:val="0"/>
          <w:sz w:val="24"/>
        </w:rPr>
        <w:t>5.11.3</w:t>
      </w:r>
      <w:bookmarkEnd w:id="2"/>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2"/>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86,763.48</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57,975,856.09</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58,062,619.57</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交银裕如纯债债券A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交银裕如纯债债券C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5,001,083,546.93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10,314.01</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2,091,766,280.14</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2,909,327,580.80</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注：1、如果本报告期间发生转换入、红利再投业务，则总申购份额中包含该业务；</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8</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8.</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1、中国证监会准予交银施罗德裕如纯债债券型证券投资基金募集注册的文件；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2、《交银施罗德裕如纯债债券型证券投资基金基金合同》；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3、《交银施罗德裕如纯债债券型证券投资基金招募说明书》；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4、《交银施罗德裕如纯债债券型证券投资基金托管协议》；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5、关于申请募集注册交银施罗德裕如纯债债券型证券投资基金的法律意见书；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8、报告期内交银施罗德裕如纯债债券型证券投资基金在指定报刊上各项公告的原稿。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8.2</w:t>
      </w:r>
      <w:r w:rsidR="00FB3C94" w:rsidRPr="007F52FA">
        <w:rPr>
          <w:rFonts w:eastAsiaTheme="minorEastAsia"/>
          <w:b/>
          <w:bCs/>
          <w:color w:val="000000"/>
          <w:kern w:val="0"/>
          <w:sz w:val="24"/>
        </w:rPr>
        <w:t>存放地点</w:t>
      </w:r>
    </w:p>
    <w:p>
      <w:pPr>
        <w:spacing w:before="29" w:line="288" w:lineRule="auto"/>
        <w:ind w:firstLine="480" w:firstLineChars="200"/>
        <w:rPr>
          <w:rFonts w:eastAsiaTheme="minorEastAsia"/>
          <w:color w:val="000000"/>
          <w:sz w:val="24"/>
        </w:rPr>
      </w:pPr>
      <w:r>
        <w:rPr>
          <w:rFonts w:eastAsiaTheme="minorEastAsia"/>
          <w:color w:val="000000"/>
          <w:sz w:val="24"/>
        </w:rPr>
        <w:t>备查文件存放于基金管理人的办公场所。</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备查文件目录第7条存放于基金托管人的办公场所。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D1" w:rsidRDefault="00685AD1">
      <w:r>
        <w:separator/>
      </w:r>
    </w:p>
  </w:endnote>
  <w:endnote w:type="continuationSeparator" w:id="0">
    <w:p w:rsidR="00685AD1" w:rsidRDefault="0068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885AD9">
      <w:rPr>
        <w:noProof/>
        <w:kern w:val="0"/>
        <w:szCs w:val="21"/>
      </w:rPr>
      <w:t>19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885AD9">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685AD1" w:rsidRDefault="00685AD1">
      <w:r>
        <w:separator/>
      </w:r>
    </w:p>
  </w:footnote>
  <w:footnote w:id="0" w:type="continuationSeparator">
    <w:p w:rsidR="00685AD1" w:rsidRDefault="00685AD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交银施罗德裕如纯债债券型证券投资基金2020年第3季度报告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FB8-C167-4963-8B27-9929FDC0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254</TotalTime>
  <Pages>27</Pages>
  <Words>4295</Words>
  <Characters>24488</Characters>
  <Application>Microsoft Office Word</Application>
  <DocSecurity>0</DocSecurity>
  <Lines>204</Lines>
  <Paragraphs>57</Paragraphs>
  <ScaleCrop>false</ScaleCrop>
  <Company>TRT. Ltd. Co.</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业务系统</cp:lastModifiedBy>
  <cp:lastPrinted>2007-07-19T00:46:00Z</cp:lastPrinted>
  <dcterms:modified xsi:type="dcterms:W3CDTF">2020-03-05T08:23:00Z</dcterms:modified>
  <cp:revision>404</cp:revision>
</cp:coreProperties>
</file>