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2018年5月23日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232,525,347.11</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封闭期内的投资策略：</w:t>
            </w:r>
          </w:p>
          <w:p>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adjustRightInd w:val="0"/>
              <w:spacing w:before="29" w:line="288" w:lineRule="auto"/>
              <w:ind w:left="17"/>
              <w:jc w:val="left"/>
              <w:rPr>
                <w:color w:val="000000"/>
                <w:sz w:val="24"/>
              </w:rPr>
            </w:pPr>
            <w:r>
              <w:rPr>
                <w:color w:val="000000"/>
                <w:kern w:val="0"/>
                <w:sz w:val="24"/>
              </w:rPr>
              <w:t>转为开放式运作后的投资策略：</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005577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005578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232,264,884.18</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260,462.93</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注：本基金自2020年5月26日起转为开放式运作。</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交银丰晟收益债券A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交银丰晟收益债券C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673,929.28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1,368.26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446,886.74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168.68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0.0046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245,777,285.35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274,266.43</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1.0582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1.0530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交银丰晟收益债券A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0.22%</w:t>
            </w:r>
          </w:p>
        </w:tc>
        <w:tc>
          <w:tcPr>
            <w:vAlign w:val="center"/>
          </w:tcPr>
          <w:p>
            <w:pPr>
              <w:jc w:val="center"/>
            </w:pPr>
            <w:r>
              <w:rPr>
                <w:color w:val="000000"/>
                <w:sz w:val="24"/>
              </w:rPr>
              <w:t>0.04%</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1.70%</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0.74%</w:t>
            </w:r>
          </w:p>
        </w:tc>
        <w:tc>
          <w:tcPr>
            <w:vAlign w:val="center"/>
          </w:tcPr>
          <w:p>
            <w:pPr>
              <w:jc w:val="center"/>
            </w:pPr>
            <w:r>
              <w:rPr>
                <w:color w:val="000000"/>
                <w:sz w:val="24"/>
              </w:rPr>
              <w:t>0.04%</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3.24%</w:t>
            </w:r>
          </w:p>
        </w:tc>
        <w:tc>
          <w:tcPr>
            <w:vAlign w:val="center"/>
          </w:tcPr>
          <w:p>
            <w:pPr>
              <w:jc w:val="center"/>
            </w:pPr>
            <w:r>
              <w:rPr>
                <w:color w:val="000000"/>
                <w:sz w:val="24"/>
              </w:rPr>
              <w:t>-0.06%</w:t>
            </w:r>
          </w:p>
        </w:tc>
      </w:tr>
      <w:tr>
        <w:tc>
          <w:tcPr>
            <w:vAlign w:val="center"/>
          </w:tcPr>
          <w:p>
            <w:pPr>
              <w:jc w:val="left"/>
            </w:pPr>
            <w:r>
              <w:rPr>
                <w:color w:val="000000"/>
                <w:sz w:val="24"/>
              </w:rPr>
              <w:t>过去一年</w:t>
            </w:r>
          </w:p>
        </w:tc>
        <w:tc>
          <w:tcPr>
            <w:vAlign w:val="center"/>
          </w:tcPr>
          <w:p>
            <w:pPr>
              <w:jc w:val="center"/>
            </w:pPr>
            <w:r>
              <w:rPr>
                <w:color w:val="000000"/>
                <w:sz w:val="24"/>
              </w:rPr>
              <w:t>2.55%</w:t>
            </w:r>
          </w:p>
        </w:tc>
        <w:tc>
          <w:tcPr>
            <w:vAlign w:val="center"/>
          </w:tcPr>
          <w:p>
            <w:pPr>
              <w:jc w:val="center"/>
            </w:pPr>
            <w:r>
              <w:rPr>
                <w:color w:val="000000"/>
                <w:sz w:val="24"/>
              </w:rPr>
              <w:t>0.04%</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2.63%</w:t>
            </w:r>
          </w:p>
        </w:tc>
        <w:tc>
          <w:tcPr>
            <w:vAlign w:val="center"/>
          </w:tcPr>
          <w:p>
            <w:pPr>
              <w:jc w:val="center"/>
            </w:pPr>
            <w:r>
              <w:rPr>
                <w:color w:val="000000"/>
                <w:sz w:val="24"/>
              </w:rPr>
              <w:t>-0.05%</w:t>
            </w:r>
          </w:p>
        </w:tc>
      </w:tr>
      <w:tr>
        <w:tc>
          <w:tcPr>
            <w:vAlign w:val="center"/>
          </w:tcPr>
          <w:p>
            <w:pPr>
              <w:jc w:val="left"/>
            </w:pPr>
            <w:r>
              <w:rPr>
                <w:color w:val="000000"/>
                <w:sz w:val="24"/>
              </w:rPr>
              <w:t>自基金合同生效至今</w:t>
            </w:r>
          </w:p>
        </w:tc>
        <w:tc>
          <w:tcPr>
            <w:vAlign w:val="center"/>
          </w:tcPr>
          <w:p>
            <w:pPr>
              <w:jc w:val="center"/>
            </w:pPr>
            <w:r>
              <w:rPr>
                <w:color w:val="000000"/>
                <w:sz w:val="24"/>
              </w:rPr>
              <w:t>15.15%</w:t>
            </w:r>
          </w:p>
        </w:tc>
        <w:tc>
          <w:tcPr>
            <w:vAlign w:val="center"/>
          </w:tcPr>
          <w:p>
            <w:pPr>
              <w:jc w:val="center"/>
            </w:pPr>
            <w:r>
              <w:rPr>
                <w:color w:val="000000"/>
                <w:sz w:val="24"/>
              </w:rPr>
              <w:t>0.07%</w:t>
            </w:r>
          </w:p>
        </w:tc>
        <w:tc>
          <w:tcPr>
            <w:vAlign w:val="center"/>
          </w:tcPr>
          <w:p>
            <w:pPr>
              <w:jc w:val="center"/>
            </w:pPr>
            <w:r>
              <w:rPr>
                <w:color w:val="000000"/>
                <w:sz w:val="24"/>
              </w:rPr>
              <w:t>3.66%</w:t>
            </w:r>
          </w:p>
        </w:tc>
        <w:tc>
          <w:tcPr>
            <w:vAlign w:val="center"/>
          </w:tcPr>
          <w:p>
            <w:pPr>
              <w:jc w:val="center"/>
            </w:pPr>
            <w:r>
              <w:rPr>
                <w:color w:val="000000"/>
                <w:sz w:val="24"/>
              </w:rPr>
              <w:t>0.07%</w:t>
            </w:r>
          </w:p>
        </w:tc>
        <w:tc>
          <w:tcPr>
            <w:vAlign w:val="center"/>
          </w:tcPr>
          <w:p>
            <w:pPr>
              <w:jc w:val="center"/>
            </w:pPr>
            <w:r>
              <w:rPr>
                <w:color w:val="000000"/>
                <w:sz w:val="24"/>
              </w:rPr>
              <w:t>11.49%</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交银丰晟收益债券C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0.07%</w:t>
            </w:r>
          </w:p>
        </w:tc>
        <w:tc>
          <w:tcPr>
            <w:vAlign w:val="center"/>
          </w:tcPr>
          <w:p>
            <w:pPr>
              <w:jc w:val="center"/>
            </w:pPr>
            <w:r>
              <w:rPr>
                <w:color w:val="000000"/>
                <w:sz w:val="24"/>
              </w:rPr>
              <w:t>0.04%</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1.55%</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2.95%</w:t>
            </w:r>
          </w:p>
        </w:tc>
        <w:tc>
          <w:tcPr>
            <w:vAlign w:val="center"/>
          </w:tcPr>
          <w:p>
            <w:pPr>
              <w:jc w:val="center"/>
            </w:pPr>
            <w:r>
              <w:rPr>
                <w:color w:val="000000"/>
                <w:sz w:val="24"/>
              </w:rPr>
              <w:t>-0.06%</w:t>
            </w:r>
          </w:p>
        </w:tc>
      </w:tr>
      <w:tr>
        <w:tc>
          <w:tcPr>
            <w:vAlign w:val="center"/>
          </w:tcPr>
          <w:p>
            <w:pPr>
              <w:jc w:val="left"/>
            </w:pPr>
            <w:r>
              <w:rPr>
                <w:color w:val="000000"/>
                <w:sz w:val="24"/>
              </w:rPr>
              <w:t>过去一年</w:t>
            </w:r>
          </w:p>
        </w:tc>
        <w:tc>
          <w:tcPr>
            <w:vAlign w:val="center"/>
          </w:tcPr>
          <w:p>
            <w:pPr>
              <w:jc w:val="center"/>
            </w:pPr>
            <w:r>
              <w:rPr>
                <w:color w:val="000000"/>
                <w:sz w:val="24"/>
              </w:rPr>
              <w:t>1.94%</w:t>
            </w:r>
          </w:p>
        </w:tc>
        <w:tc>
          <w:tcPr>
            <w:vAlign w:val="center"/>
          </w:tcPr>
          <w:p>
            <w:pPr>
              <w:jc w:val="center"/>
            </w:pPr>
            <w:r>
              <w:rPr>
                <w:color w:val="000000"/>
                <w:sz w:val="24"/>
              </w:rPr>
              <w:t>0.03%</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2.02%</w:t>
            </w:r>
          </w:p>
        </w:tc>
        <w:tc>
          <w:tcPr>
            <w:vAlign w:val="center"/>
          </w:tcPr>
          <w:p>
            <w:pPr>
              <w:jc w:val="center"/>
            </w:pPr>
            <w:r>
              <w:rPr>
                <w:color w:val="000000"/>
                <w:sz w:val="24"/>
              </w:rPr>
              <w:t>-0.06%</w:t>
            </w:r>
          </w:p>
        </w:tc>
      </w:tr>
      <w:tr>
        <w:tc>
          <w:tcPr>
            <w:vAlign w:val="center"/>
          </w:tcPr>
          <w:p>
            <w:pPr>
              <w:jc w:val="left"/>
            </w:pPr>
            <w:r>
              <w:rPr>
                <w:color w:val="000000"/>
                <w:sz w:val="24"/>
              </w:rPr>
              <w:t>自基金合同生效至今</w:t>
            </w:r>
          </w:p>
        </w:tc>
        <w:tc>
          <w:tcPr>
            <w:vAlign w:val="center"/>
          </w:tcPr>
          <w:p>
            <w:pPr>
              <w:jc w:val="center"/>
            </w:pPr>
            <w:r>
              <w:rPr>
                <w:color w:val="000000"/>
                <w:sz w:val="24"/>
              </w:rPr>
              <w:t>13.53%</w:t>
            </w:r>
          </w:p>
        </w:tc>
        <w:tc>
          <w:tcPr>
            <w:vAlign w:val="center"/>
          </w:tcPr>
          <w:p>
            <w:pPr>
              <w:jc w:val="center"/>
            </w:pPr>
            <w:r>
              <w:rPr>
                <w:color w:val="000000"/>
                <w:sz w:val="24"/>
              </w:rPr>
              <w:t>0.07%</w:t>
            </w:r>
          </w:p>
        </w:tc>
        <w:tc>
          <w:tcPr>
            <w:vAlign w:val="center"/>
          </w:tcPr>
          <w:p>
            <w:pPr>
              <w:jc w:val="center"/>
            </w:pPr>
            <w:r>
              <w:rPr>
                <w:color w:val="000000"/>
                <w:sz w:val="24"/>
              </w:rPr>
              <w:t>3.66%</w:t>
            </w:r>
          </w:p>
        </w:tc>
        <w:tc>
          <w:tcPr>
            <w:vAlign w:val="center"/>
          </w:tcPr>
          <w:p>
            <w:pPr>
              <w:jc w:val="center"/>
            </w:pPr>
            <w:r>
              <w:rPr>
                <w:color w:val="000000"/>
                <w:sz w:val="24"/>
              </w:rPr>
              <w:t>0.07%</w:t>
            </w:r>
          </w:p>
        </w:tc>
        <w:tc>
          <w:tcPr>
            <w:vAlign w:val="center"/>
          </w:tcPr>
          <w:p>
            <w:pPr>
              <w:jc w:val="center"/>
            </w:pPr>
            <w:r>
              <w:rPr>
                <w:color w:val="000000"/>
                <w:sz w:val="24"/>
              </w:rPr>
              <w:t>9.87%</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交银施罗德丰晟收益债券型证券投资基金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2018年5月23日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交银丰晟收益债券C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2018-05-23</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2016年12月29日至2020年8月21日担任交银施罗德丰盈收益债券型证券投资基金的基金经理。2017年6月10日至2020年8月21日担任交银施罗德增利债券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pPr>
        <w:autoSpaceDE w:val="0"/>
        <w:autoSpaceDN w:val="0"/>
        <w:adjustRightInd w:val="0"/>
        <w:spacing w:before="29" w:line="288" w:lineRule="auto"/>
        <w:jc w:val="left"/>
        <w:rPr>
          <w:color w:val="000000"/>
          <w:sz w:val="24"/>
        </w:rPr>
      </w:pPr>
      <w:r>
        <w:rPr>
          <w:color w:val="000000"/>
          <w:sz w:val="24"/>
        </w:rPr>
        <w:t>注：1、基金经理（或基金经理小组）期后变动（如有）敬请关注基金管理人发布的相关公告。</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 xml:space="preserve">     2、魏玉敏女士于2020年10月17日不再担任本基金的基金经理。</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回顾2020年三季度，债券收益率整体呈现震荡上行的趋势，从宏观数据来看，经济基本面走势在疫情之后出现了一定回暖态势，而在这种情况下，公开市场操作也进行了相应的节奏调整，在这种情况下，经济复苏预期下叠加货币政策回归中性，资金面呈现出阶段性紧张局面，债券市场弱势震荡。具体来看，本季度初，央行公开市场操作持续净回笼传递货币政策偏紧预期，一级市场供给压力导致市场供需问题明显，债券市场延续弱势调整。季度中期，债市在配置资金和避险情绪催化下开启一波反弹行情。进入季度末，在超储率低位的情况下，并受到假期因素的影响，资金面持续维持平衡偏紧格局，存单发行利率不断上行，带动曲线平坦化上行，考虑到票息因素，中短久期信用债配置需求恢复较好。</w:t>
      </w:r>
    </w:p>
    <w:p>
      <w:pPr>
        <w:spacing w:before="29" w:line="288" w:lineRule="auto"/>
        <w:ind w:firstLine="480" w:firstLineChars="200"/>
        <w:rPr>
          <w:color w:val="000000"/>
          <w:sz w:val="24"/>
        </w:rPr>
      </w:pPr>
      <w:r>
        <w:rPr>
          <w:color w:val="000000"/>
          <w:sz w:val="24"/>
        </w:rPr>
        <w:t>报告期内，组合以信用债为主要配置，基于对宏观经济和政策的判断，认为债券市场趋势性机会需要等待，组合控制久期，降低利率风险暴露，把握票息机会，通过精选信用个券和保持一定的杠杆操作，增强组合收益，考虑到组合规模波动情况，本季度内组合进行了部分信用品种的置换和优选工作。</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国内基本面恢复的节奏和货币信用的边际变化将成为影响债市的主要因素。短期来看经济延续改善趋势、工业品价格上行压力增大，货币政策回归中性以及银行负债端压力较大等因素影响下，我们认为债券市场将维持震荡上行，趋势性机会仍需要等待。但随着年末供给压力减弱、信用增速放缓以及中美关系不确定性提升，债券市场或存在波段交易机会。操作策略方面，我们将关注信用债的票息机会，进一步挖掘信用债投资机会，并维持中等的杠杆水平，同时进行组合持仓个券的优化，以期提升组合整体静态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319,267,000.00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319,267,000.00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2,817,431.13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0.86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4,484,046.49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326,568,477.62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4,995,000.00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2.03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9,907,000.00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4.03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9,907,000.00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4.03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4,985,000.00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2.03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299,380,000.00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121.67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319,267,000.00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129.76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101900509</w:t>
            </w:r>
          </w:p>
        </w:tc>
        <w:tc>
          <w:tcPr>
            <w:vAlign w:val="center"/>
          </w:tcPr>
          <w:p>
            <w:pPr>
              <w:jc w:val="center"/>
            </w:pPr>
            <w:r>
              <w:rPr>
                <w:color w:val="000000"/>
                <w:sz w:val="24"/>
              </w:rPr>
              <w:t>19泉国投MTN001</w:t>
            </w:r>
          </w:p>
        </w:tc>
        <w:tc>
          <w:tcPr>
            <w:vAlign w:val="center"/>
          </w:tcPr>
          <w:p>
            <w:pPr>
              <w:jc w:val="right"/>
            </w:pPr>
            <w:r>
              <w:rPr>
                <w:color w:val="000000"/>
                <w:sz w:val="24"/>
              </w:rPr>
              <w:t>200,000</w:t>
            </w:r>
          </w:p>
        </w:tc>
        <w:tc>
          <w:tcPr>
            <w:vAlign w:val="center"/>
          </w:tcPr>
          <w:p>
            <w:pPr>
              <w:jc w:val="right"/>
            </w:pPr>
            <w:r>
              <w:rPr>
                <w:color w:val="000000"/>
                <w:sz w:val="24"/>
              </w:rPr>
              <w:t>20,712,000.00</w:t>
            </w:r>
          </w:p>
        </w:tc>
        <w:tc>
          <w:tcPr>
            <w:vAlign w:val="center"/>
          </w:tcPr>
          <w:p>
            <w:pPr>
              <w:jc w:val="right"/>
            </w:pPr>
            <w:r>
              <w:rPr>
                <w:color w:val="000000"/>
                <w:sz w:val="24"/>
              </w:rPr>
              <w:t>8.42</w:t>
            </w:r>
          </w:p>
        </w:tc>
      </w:tr>
      <w:tr>
        <w:tc>
          <w:tcPr>
            <w:vAlign w:val="center"/>
          </w:tcPr>
          <w:p>
            <w:pPr>
              <w:jc w:val="center"/>
            </w:pPr>
            <w:r>
              <w:rPr>
                <w:color w:val="000000"/>
                <w:sz w:val="24"/>
              </w:rPr>
              <w:t>2</w:t>
            </w:r>
          </w:p>
        </w:tc>
        <w:tc>
          <w:tcPr>
            <w:vAlign w:val="center"/>
          </w:tcPr>
          <w:p>
            <w:pPr>
              <w:jc w:val="center"/>
            </w:pPr>
            <w:r>
              <w:rPr>
                <w:color w:val="000000"/>
                <w:sz w:val="24"/>
              </w:rPr>
              <w:t>101755021</w:t>
            </w:r>
          </w:p>
        </w:tc>
        <w:tc>
          <w:tcPr>
            <w:vAlign w:val="center"/>
          </w:tcPr>
          <w:p>
            <w:pPr>
              <w:jc w:val="center"/>
            </w:pPr>
            <w:r>
              <w:rPr>
                <w:color w:val="000000"/>
                <w:sz w:val="24"/>
              </w:rPr>
              <w:t>17乐山国资MTN001</w:t>
            </w:r>
          </w:p>
        </w:tc>
        <w:tc>
          <w:tcPr>
            <w:vAlign w:val="center"/>
          </w:tcPr>
          <w:p>
            <w:pPr>
              <w:jc w:val="right"/>
            </w:pPr>
            <w:r>
              <w:rPr>
                <w:color w:val="000000"/>
                <w:sz w:val="24"/>
              </w:rPr>
              <w:t>200,000</w:t>
            </w:r>
          </w:p>
        </w:tc>
        <w:tc>
          <w:tcPr>
            <w:vAlign w:val="center"/>
          </w:tcPr>
          <w:p>
            <w:pPr>
              <w:jc w:val="right"/>
            </w:pPr>
            <w:r>
              <w:rPr>
                <w:color w:val="000000"/>
                <w:sz w:val="24"/>
              </w:rPr>
              <w:t>20,692,000.00</w:t>
            </w:r>
          </w:p>
        </w:tc>
        <w:tc>
          <w:tcPr>
            <w:vAlign w:val="center"/>
          </w:tcPr>
          <w:p>
            <w:pPr>
              <w:jc w:val="right"/>
            </w:pPr>
            <w:r>
              <w:rPr>
                <w:color w:val="000000"/>
                <w:sz w:val="24"/>
              </w:rPr>
              <w:t>8.41</w:t>
            </w:r>
          </w:p>
        </w:tc>
      </w:tr>
      <w:tr>
        <w:tc>
          <w:tcPr>
            <w:vAlign w:val="center"/>
          </w:tcPr>
          <w:p>
            <w:pPr>
              <w:jc w:val="center"/>
            </w:pPr>
            <w:r>
              <w:rPr>
                <w:color w:val="000000"/>
                <w:sz w:val="24"/>
              </w:rPr>
              <w:t>3</w:t>
            </w:r>
          </w:p>
        </w:tc>
        <w:tc>
          <w:tcPr>
            <w:vAlign w:val="center"/>
          </w:tcPr>
          <w:p>
            <w:pPr>
              <w:jc w:val="center"/>
            </w:pPr>
            <w:r>
              <w:rPr>
                <w:color w:val="000000"/>
                <w:sz w:val="24"/>
              </w:rPr>
              <w:t>101759057</w:t>
            </w:r>
          </w:p>
        </w:tc>
        <w:tc>
          <w:tcPr>
            <w:vAlign w:val="center"/>
          </w:tcPr>
          <w:p>
            <w:pPr>
              <w:jc w:val="center"/>
            </w:pPr>
            <w:r>
              <w:rPr>
                <w:color w:val="000000"/>
                <w:sz w:val="24"/>
              </w:rPr>
              <w:t>17郑州城建MTN002</w:t>
            </w:r>
          </w:p>
        </w:tc>
        <w:tc>
          <w:tcPr>
            <w:vAlign w:val="center"/>
          </w:tcPr>
          <w:p>
            <w:pPr>
              <w:jc w:val="right"/>
            </w:pPr>
            <w:r>
              <w:rPr>
                <w:color w:val="000000"/>
                <w:sz w:val="24"/>
              </w:rPr>
              <w:t>200,000</w:t>
            </w:r>
          </w:p>
        </w:tc>
        <w:tc>
          <w:tcPr>
            <w:vAlign w:val="center"/>
          </w:tcPr>
          <w:p>
            <w:pPr>
              <w:jc w:val="right"/>
            </w:pPr>
            <w:r>
              <w:rPr>
                <w:color w:val="000000"/>
                <w:sz w:val="24"/>
              </w:rPr>
              <w:t>20,618,000.00</w:t>
            </w:r>
          </w:p>
        </w:tc>
        <w:tc>
          <w:tcPr>
            <w:vAlign w:val="center"/>
          </w:tcPr>
          <w:p>
            <w:pPr>
              <w:jc w:val="right"/>
            </w:pPr>
            <w:r>
              <w:rPr>
                <w:color w:val="000000"/>
                <w:sz w:val="24"/>
              </w:rPr>
              <w:t>8.38</w:t>
            </w:r>
          </w:p>
        </w:tc>
      </w:tr>
      <w:tr>
        <w:tc>
          <w:tcPr>
            <w:vAlign w:val="center"/>
          </w:tcPr>
          <w:p>
            <w:pPr>
              <w:jc w:val="center"/>
            </w:pPr>
            <w:r>
              <w:rPr>
                <w:color w:val="000000"/>
                <w:sz w:val="24"/>
              </w:rPr>
              <w:t>4</w:t>
            </w:r>
          </w:p>
        </w:tc>
        <w:tc>
          <w:tcPr>
            <w:vAlign w:val="center"/>
          </w:tcPr>
          <w:p>
            <w:pPr>
              <w:jc w:val="center"/>
            </w:pPr>
            <w:r>
              <w:rPr>
                <w:color w:val="000000"/>
                <w:sz w:val="24"/>
              </w:rPr>
              <w:t>101900577</w:t>
            </w:r>
          </w:p>
        </w:tc>
        <w:tc>
          <w:tcPr>
            <w:vAlign w:val="center"/>
          </w:tcPr>
          <w:p>
            <w:pPr>
              <w:jc w:val="center"/>
            </w:pPr>
            <w:r>
              <w:rPr>
                <w:color w:val="000000"/>
                <w:sz w:val="24"/>
              </w:rPr>
              <w:t>19泉州城投MTN001</w:t>
            </w:r>
          </w:p>
        </w:tc>
        <w:tc>
          <w:tcPr>
            <w:vAlign w:val="center"/>
          </w:tcPr>
          <w:p>
            <w:pPr>
              <w:jc w:val="right"/>
            </w:pPr>
            <w:r>
              <w:rPr>
                <w:color w:val="000000"/>
                <w:sz w:val="24"/>
              </w:rPr>
              <w:t>200,000</w:t>
            </w:r>
          </w:p>
        </w:tc>
        <w:tc>
          <w:tcPr>
            <w:vAlign w:val="center"/>
          </w:tcPr>
          <w:p>
            <w:pPr>
              <w:jc w:val="right"/>
            </w:pPr>
            <w:r>
              <w:rPr>
                <w:color w:val="000000"/>
                <w:sz w:val="24"/>
              </w:rPr>
              <w:t>20,310,000.00</w:t>
            </w:r>
          </w:p>
        </w:tc>
        <w:tc>
          <w:tcPr>
            <w:vAlign w:val="center"/>
          </w:tcPr>
          <w:p>
            <w:pPr>
              <w:jc w:val="right"/>
            </w:pPr>
            <w:r>
              <w:rPr>
                <w:color w:val="000000"/>
                <w:sz w:val="24"/>
              </w:rPr>
              <w:t>8.25</w:t>
            </w:r>
          </w:p>
        </w:tc>
      </w:tr>
      <w:tr>
        <w:tc>
          <w:tcPr>
            <w:vAlign w:val="center"/>
          </w:tcPr>
          <w:p>
            <w:pPr>
              <w:jc w:val="center"/>
            </w:pPr>
            <w:r>
              <w:rPr>
                <w:color w:val="000000"/>
                <w:sz w:val="24"/>
              </w:rPr>
              <w:t>5</w:t>
            </w:r>
          </w:p>
        </w:tc>
        <w:tc>
          <w:tcPr>
            <w:vAlign w:val="center"/>
          </w:tcPr>
          <w:p>
            <w:pPr>
              <w:jc w:val="center"/>
            </w:pPr>
            <w:r>
              <w:rPr>
                <w:color w:val="000000"/>
                <w:sz w:val="24"/>
              </w:rPr>
              <w:t>101800809</w:t>
            </w:r>
          </w:p>
        </w:tc>
        <w:tc>
          <w:tcPr>
            <w:vAlign w:val="center"/>
          </w:tcPr>
          <w:p>
            <w:pPr>
              <w:jc w:val="center"/>
            </w:pPr>
            <w:r>
              <w:rPr>
                <w:color w:val="000000"/>
                <w:sz w:val="24"/>
              </w:rPr>
              <w:t>18市北高新MTN001</w:t>
            </w:r>
          </w:p>
        </w:tc>
        <w:tc>
          <w:tcPr>
            <w:vAlign w:val="center"/>
          </w:tcPr>
          <w:p>
            <w:pPr>
              <w:jc w:val="right"/>
            </w:pPr>
            <w:r>
              <w:rPr>
                <w:color w:val="000000"/>
                <w:sz w:val="24"/>
              </w:rPr>
              <w:t>200,000</w:t>
            </w:r>
          </w:p>
        </w:tc>
        <w:tc>
          <w:tcPr>
            <w:vAlign w:val="center"/>
          </w:tcPr>
          <w:p>
            <w:pPr>
              <w:jc w:val="right"/>
            </w:pPr>
            <w:r>
              <w:rPr>
                <w:color w:val="000000"/>
                <w:sz w:val="24"/>
              </w:rPr>
              <w:t>20,190,000.00</w:t>
            </w:r>
          </w:p>
        </w:tc>
        <w:tc>
          <w:tcPr>
            <w:vAlign w:val="center"/>
          </w:tcPr>
          <w:p>
            <w:pPr>
              <w:jc w:val="right"/>
            </w:pPr>
            <w:r>
              <w:rPr>
                <w:color w:val="000000"/>
                <w:sz w:val="24"/>
              </w:rPr>
              <w:t>8.21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12,542.32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4,333,059.83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138,444.34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4,484,046.49</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交银丰晟收益债券A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交银丰晟收益债券C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74,241,622.61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285,332.75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183,679,546.57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50,844.89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25,656,285.00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75,714.71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232,264,884.18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260,462.93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45,913,664.88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45,913,664.88</w:t>
            </w:r>
          </w:p>
        </w:tc>
        <w:tc>
          <w:tcPr>
            <w:vAlign w:val="center"/>
          </w:tcPr>
          <w:p>
            <w:pPr>
              <w:jc w:val="center"/>
            </w:pPr>
            <w:r>
              <w:rPr>
                <w:rFonts w:ascii="宋体" w:hAnsi="宋体" w:hint="eastAsia"/>
                <w:color w:val="000000"/>
                <w:kern w:val="0"/>
                <w:szCs w:val="21"/>
              </w:rPr>
              <w:t>19.75%</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113,625,603.64</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113,625,603.64</w:t>
            </w:r>
          </w:p>
        </w:tc>
        <w:tc>
          <w:tcPr>
            <w:vAlign w:val="center"/>
          </w:tcPr>
          <w:p>
            <w:pPr>
              <w:jc w:val="center"/>
            </w:pPr>
            <w:r>
              <w:rPr>
                <w:rFonts w:ascii="宋体" w:hAnsi="宋体" w:hint="eastAsia"/>
                <w:color w:val="000000"/>
                <w:kern w:val="0"/>
                <w:szCs w:val="21"/>
              </w:rPr>
              <w:t>48.87%</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18,902,646.50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18,902,646.50</w:t>
            </w:r>
          </w:p>
        </w:tc>
        <w:tc>
          <w:tcPr>
            <w:vAlign w:val="center"/>
          </w:tcPr>
          <w:p>
            <w:pPr>
              <w:jc w:val="center"/>
            </w:pPr>
            <w:r>
              <w:rPr>
                <w:rFonts w:ascii="宋体" w:hAnsi="宋体" w:hint="eastAsia"/>
                <w:color w:val="000000"/>
                <w:kern w:val="0"/>
                <w:szCs w:val="21"/>
              </w:rPr>
              <w:t>8.13%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为更好地满足广大投资者的投资需求，本基金管理人经与基金托管人招商银行股份有限公司协商一致，并报中国证券监督管理委员会备案，自2020年7月8日（含当日）起调整本基金的管理费率与托管费率，并对本基金的基金合同作相应修改。详情请查阅本基金管理人于2020年7月8日发布的《交银施罗德基金管理有限公司关于调整交银施罗德丰晟收益债券型证券投资基金管理费率与托管费率并修改基金合同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1、中国证监会准予交银施罗德丰晟收益债券型证券投资基金募集注册的文件；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2、《交银施罗德丰晟收益债券型证券投资基金基金合同》；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3、《交银施罗德丰晟收益债券型证券投资基金招募说明书》；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4、《交银施罗德丰晟收益债券型证券投资基金托管协议》；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5、关于申请募集注册交银施罗德丰晟收益债券型证券投资基金的法律意见书；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8、报告期内交银施罗德丰晟收益债券型证券投资基金在指定报刊上各项公告的原稿。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交银施罗德丰晟收益债券型证券投资基金2020年第3季度报告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