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交银施罗德策略回报灵活配置混合型证券投资基金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2020年第3季度报告</w:t>
      </w:r>
    </w:p>
    <w:p w:rsidP="00C15CAC" w:rsidR="004061AC" w:rsidRDefault="00655CD8" w:rsidRPr="0081286B">
      <w:pPr>
        <w:spacing w:before="29" w:line="288" w:lineRule="auto"/>
        <w:jc w:val="center"/>
        <w:rPr>
          <w:b/>
          <w:sz w:val="36"/>
          <w:szCs w:val="36"/>
        </w:rPr>
      </w:pPr>
      <w:r w:rsidRPr="0081286B">
        <w:rPr>
          <w:b/>
          <w:sz w:val="36"/>
          <w:szCs w:val="36"/>
        </w:rPr>
        <w:t>2020年9月30日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二〇二〇年十月二十八日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交银策略回报灵活配置混合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2015年6月27日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242,695,266.46</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通过“自上而下”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(2020年7月1日-2020年9月30日)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93,724,615.71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69,857,610.68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0.2580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401,947,937.78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1.656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17.36%</w:t>
            </w:r>
          </w:p>
        </w:tc>
        <w:tc>
          <w:tcPr>
            <w:vAlign w:val="center"/>
          </w:tcPr>
          <w:p>
            <w:pPr>
              <w:jc w:val="center"/>
            </w:pPr>
            <w:r>
              <w:rPr>
                <w:color w:val="000000"/>
                <w:sz w:val="24"/>
                <w:szCs w:val="24"/>
              </w:rPr>
              <w:t>1.43%</w:t>
            </w:r>
          </w:p>
        </w:tc>
        <w:tc>
          <w:tcPr>
            <w:vAlign w:val="center"/>
          </w:tcPr>
          <w:p>
            <w:pPr>
              <w:jc w:val="center"/>
            </w:pPr>
            <w:r>
              <w:rPr>
                <w:color w:val="000000"/>
                <w:sz w:val="24"/>
                <w:szCs w:val="24"/>
              </w:rPr>
              <w:t>5.96%</w:t>
            </w:r>
          </w:p>
        </w:tc>
        <w:tc>
          <w:tcPr>
            <w:vAlign w:val="center"/>
          </w:tcPr>
          <w:p>
            <w:pPr>
              <w:jc w:val="center"/>
            </w:pPr>
            <w:r>
              <w:rPr>
                <w:color w:val="000000"/>
                <w:sz w:val="24"/>
                <w:szCs w:val="24"/>
              </w:rPr>
              <w:t>0.96%</w:t>
            </w:r>
          </w:p>
        </w:tc>
        <w:tc>
          <w:tcPr>
            <w:vAlign w:val="center"/>
          </w:tcPr>
          <w:p>
            <w:pPr>
              <w:jc w:val="center"/>
            </w:pPr>
            <w:r>
              <w:rPr>
                <w:color w:val="000000"/>
                <w:sz w:val="24"/>
                <w:szCs w:val="24"/>
              </w:rPr>
              <w:t>11.40%</w:t>
            </w:r>
          </w:p>
        </w:tc>
        <w:tc>
          <w:tcPr>
            <w:vAlign w:val="center"/>
          </w:tcPr>
          <w:p>
            <w:pPr>
              <w:jc w:val="center"/>
            </w:pPr>
            <w:r>
              <w:rPr>
                <w:color w:val="000000"/>
                <w:sz w:val="24"/>
                <w:szCs w:val="24"/>
              </w:rPr>
              <w:t>0.47%</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58.17%</w:t>
            </w:r>
          </w:p>
        </w:tc>
        <w:tc>
          <w:tcPr>
            <w:vAlign w:val="center"/>
          </w:tcPr>
          <w:p>
            <w:pPr>
              <w:jc w:val="center"/>
            </w:pPr>
            <w:r>
              <w:rPr>
                <w:color w:val="000000"/>
                <w:sz w:val="24"/>
                <w:szCs w:val="24"/>
              </w:rPr>
              <w:t>1.26%</w:t>
            </w:r>
          </w:p>
        </w:tc>
        <w:tc>
          <w:tcPr>
            <w:vAlign w:val="center"/>
          </w:tcPr>
          <w:p>
            <w:pPr>
              <w:jc w:val="center"/>
            </w:pPr>
            <w:r>
              <w:rPr>
                <w:color w:val="000000"/>
                <w:sz w:val="24"/>
                <w:szCs w:val="24"/>
              </w:rPr>
              <w:t>13.95%</w:t>
            </w:r>
          </w:p>
        </w:tc>
        <w:tc>
          <w:tcPr>
            <w:vAlign w:val="center"/>
          </w:tcPr>
          <w:p>
            <w:pPr>
              <w:jc w:val="center"/>
            </w:pPr>
            <w:r>
              <w:rPr>
                <w:color w:val="000000"/>
                <w:sz w:val="24"/>
                <w:szCs w:val="24"/>
              </w:rPr>
              <w:t>0.79%</w:t>
            </w:r>
          </w:p>
        </w:tc>
        <w:tc>
          <w:tcPr>
            <w:vAlign w:val="center"/>
          </w:tcPr>
          <w:p>
            <w:pPr>
              <w:jc w:val="center"/>
            </w:pPr>
            <w:r>
              <w:rPr>
                <w:color w:val="000000"/>
                <w:sz w:val="24"/>
                <w:szCs w:val="24"/>
              </w:rPr>
              <w:t>44.22%</w:t>
            </w:r>
          </w:p>
        </w:tc>
        <w:tc>
          <w:tcPr>
            <w:vAlign w:val="center"/>
          </w:tcPr>
          <w:p>
            <w:pPr>
              <w:jc w:val="center"/>
            </w:pPr>
            <w:r>
              <w:rPr>
                <w:color w:val="000000"/>
                <w:sz w:val="24"/>
                <w:szCs w:val="24"/>
              </w:rPr>
              <w:t>0.47%</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54.74%</w:t>
            </w:r>
          </w:p>
        </w:tc>
        <w:tc>
          <w:tcPr>
            <w:vAlign w:val="center"/>
          </w:tcPr>
          <w:p>
            <w:pPr>
              <w:jc w:val="center"/>
            </w:pPr>
            <w:r>
              <w:rPr>
                <w:color w:val="000000"/>
                <w:sz w:val="24"/>
                <w:szCs w:val="24"/>
              </w:rPr>
              <w:t>1.31%</w:t>
            </w:r>
          </w:p>
        </w:tc>
        <w:tc>
          <w:tcPr>
            <w:vAlign w:val="center"/>
          </w:tcPr>
          <w:p>
            <w:pPr>
              <w:jc w:val="center"/>
            </w:pPr>
            <w:r>
              <w:rPr>
                <w:color w:val="000000"/>
                <w:sz w:val="24"/>
                <w:szCs w:val="24"/>
              </w:rPr>
              <w:t>13.70%</w:t>
            </w:r>
          </w:p>
        </w:tc>
        <w:tc>
          <w:tcPr>
            <w:vAlign w:val="center"/>
          </w:tcPr>
          <w:p>
            <w:pPr>
              <w:jc w:val="center"/>
            </w:pPr>
            <w:r>
              <w:rPr>
                <w:color w:val="000000"/>
                <w:sz w:val="24"/>
                <w:szCs w:val="24"/>
              </w:rPr>
              <w:t>0.83%</w:t>
            </w:r>
          </w:p>
        </w:tc>
        <w:tc>
          <w:tcPr>
            <w:vAlign w:val="center"/>
          </w:tcPr>
          <w:p>
            <w:pPr>
              <w:jc w:val="center"/>
            </w:pPr>
            <w:r>
              <w:rPr>
                <w:color w:val="000000"/>
                <w:sz w:val="24"/>
                <w:szCs w:val="24"/>
              </w:rPr>
              <w:t>41.04%</w:t>
            </w:r>
          </w:p>
        </w:tc>
        <w:tc>
          <w:tcPr>
            <w:vAlign w:val="center"/>
          </w:tcPr>
          <w:p>
            <w:pPr>
              <w:jc w:val="center"/>
            </w:pPr>
            <w:r>
              <w:rPr>
                <w:color w:val="000000"/>
                <w:sz w:val="24"/>
                <w:szCs w:val="24"/>
              </w:rPr>
              <w:t>0.48%</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66.42%</w:t>
            </w:r>
          </w:p>
        </w:tc>
        <w:tc>
          <w:tcPr>
            <w:vAlign w:val="center"/>
          </w:tcPr>
          <w:p>
            <w:pPr>
              <w:jc w:val="center"/>
            </w:pPr>
            <w:r>
              <w:rPr>
                <w:color w:val="000000"/>
                <w:sz w:val="24"/>
                <w:szCs w:val="24"/>
              </w:rPr>
              <w:t>1.32%</w:t>
            </w:r>
          </w:p>
        </w:tc>
        <w:tc>
          <w:tcPr>
            <w:vAlign w:val="center"/>
          </w:tcPr>
          <w:p>
            <w:pPr>
              <w:jc w:val="center"/>
            </w:pPr>
            <w:r>
              <w:rPr>
                <w:color w:val="000000"/>
                <w:sz w:val="24"/>
                <w:szCs w:val="24"/>
              </w:rPr>
              <w:t>19.47%</w:t>
            </w:r>
          </w:p>
        </w:tc>
        <w:tc>
          <w:tcPr>
            <w:vAlign w:val="center"/>
          </w:tcPr>
          <w:p>
            <w:pPr>
              <w:jc w:val="center"/>
            </w:pPr>
            <w:r>
              <w:rPr>
                <w:color w:val="000000"/>
                <w:sz w:val="24"/>
                <w:szCs w:val="24"/>
              </w:rPr>
              <w:t>0.79%</w:t>
            </w:r>
          </w:p>
        </w:tc>
        <w:tc>
          <w:tcPr>
            <w:vAlign w:val="center"/>
          </w:tcPr>
          <w:p>
            <w:pPr>
              <w:jc w:val="center"/>
            </w:pPr>
            <w:r>
              <w:rPr>
                <w:color w:val="000000"/>
                <w:sz w:val="24"/>
                <w:szCs w:val="24"/>
              </w:rPr>
              <w:t>46.95%</w:t>
            </w:r>
          </w:p>
        </w:tc>
        <w:tc>
          <w:tcPr>
            <w:vAlign w:val="center"/>
          </w:tcPr>
          <w:p>
            <w:pPr>
              <w:jc w:val="center"/>
            </w:pPr>
            <w:r>
              <w:rPr>
                <w:color w:val="000000"/>
                <w:sz w:val="24"/>
                <w:szCs w:val="24"/>
              </w:rPr>
              <w:t>0.53%</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180.39%</w:t>
            </w:r>
          </w:p>
        </w:tc>
        <w:tc>
          <w:tcPr>
            <w:vAlign w:val="center"/>
          </w:tcPr>
          <w:p>
            <w:pPr>
              <w:jc w:val="center"/>
            </w:pPr>
            <w:r>
              <w:rPr>
                <w:color w:val="000000"/>
                <w:sz w:val="24"/>
                <w:szCs w:val="24"/>
              </w:rPr>
              <w:t>1.30%</w:t>
            </w:r>
          </w:p>
        </w:tc>
        <w:tc>
          <w:tcPr>
            <w:vAlign w:val="center"/>
          </w:tcPr>
          <w:p>
            <w:pPr>
              <w:jc w:val="center"/>
            </w:pPr>
            <w:r>
              <w:rPr>
                <w:color w:val="000000"/>
                <w:sz w:val="24"/>
                <w:szCs w:val="24"/>
              </w:rPr>
              <w:t>37.13%</w:t>
            </w:r>
          </w:p>
        </w:tc>
        <w:tc>
          <w:tcPr>
            <w:vAlign w:val="center"/>
          </w:tcPr>
          <w:p>
            <w:pPr>
              <w:jc w:val="center"/>
            </w:pPr>
            <w:r>
              <w:rPr>
                <w:color w:val="000000"/>
                <w:sz w:val="24"/>
                <w:szCs w:val="24"/>
              </w:rPr>
              <w:t>0.77%</w:t>
            </w:r>
          </w:p>
        </w:tc>
        <w:tc>
          <w:tcPr>
            <w:vAlign w:val="center"/>
          </w:tcPr>
          <w:p>
            <w:pPr>
              <w:jc w:val="center"/>
            </w:pPr>
            <w:r>
              <w:rPr>
                <w:color w:val="000000"/>
                <w:sz w:val="24"/>
                <w:szCs w:val="24"/>
              </w:rPr>
              <w:t>143.26%</w:t>
            </w:r>
          </w:p>
        </w:tc>
        <w:tc>
          <w:tcPr>
            <w:vAlign w:val="center"/>
          </w:tcPr>
          <w:p>
            <w:pPr>
              <w:jc w:val="center"/>
            </w:pPr>
            <w:r>
              <w:rPr>
                <w:color w:val="000000"/>
                <w:sz w:val="24"/>
                <w:szCs w:val="24"/>
              </w:rPr>
              <w:t>0.53%</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97.68%</w:t>
            </w:r>
          </w:p>
        </w:tc>
        <w:tc>
          <w:tcPr>
            <w:vAlign w:val="center"/>
          </w:tcPr>
          <w:p>
            <w:pPr>
              <w:jc w:val="center"/>
            </w:pPr>
            <w:r>
              <w:rPr>
                <w:color w:val="000000"/>
                <w:sz w:val="24"/>
                <w:szCs w:val="24"/>
              </w:rPr>
              <w:t>1.46%</w:t>
            </w:r>
          </w:p>
        </w:tc>
        <w:tc>
          <w:tcPr>
            <w:vAlign w:val="center"/>
          </w:tcPr>
          <w:p>
            <w:pPr>
              <w:jc w:val="center"/>
            </w:pPr>
            <w:r>
              <w:rPr>
                <w:color w:val="000000"/>
                <w:sz w:val="24"/>
                <w:szCs w:val="24"/>
              </w:rPr>
              <w:t>16.30%</w:t>
            </w:r>
          </w:p>
        </w:tc>
        <w:tc>
          <w:tcPr>
            <w:vAlign w:val="center"/>
          </w:tcPr>
          <w:p>
            <w:pPr>
              <w:jc w:val="center"/>
            </w:pPr>
            <w:r>
              <w:rPr>
                <w:color w:val="000000"/>
                <w:sz w:val="24"/>
                <w:szCs w:val="24"/>
              </w:rPr>
              <w:t>0.88%</w:t>
            </w:r>
          </w:p>
        </w:tc>
        <w:tc>
          <w:tcPr>
            <w:vAlign w:val="center"/>
          </w:tcPr>
          <w:p>
            <w:pPr>
              <w:jc w:val="center"/>
            </w:pPr>
            <w:r>
              <w:rPr>
                <w:color w:val="000000"/>
                <w:sz w:val="24"/>
                <w:szCs w:val="24"/>
              </w:rPr>
              <w:t>81.38%</w:t>
            </w:r>
          </w:p>
        </w:tc>
        <w:tc>
          <w:tcPr>
            <w:vAlign w:val="center"/>
          </w:tcPr>
          <w:p>
            <w:pPr>
              <w:jc w:val="center"/>
            </w:pPr>
            <w:r>
              <w:rPr>
                <w:color w:val="000000"/>
                <w:sz w:val="24"/>
                <w:szCs w:val="24"/>
              </w:rPr>
              <w:t>0.58%</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60%×沪深300指数收益率+40%×中信标普全债指数收益率”变更为“60%×沪深300指数收益率+40%×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交银施罗德策略回报灵活配置混合型证券投资基金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2015年6月27日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安保本混合型证券投资基金转型而来。基金转型日为2015年6月27日。本基金的投资转型期为交银施罗德荣安保本混合型证券投资基金保本周期到期选择期截止日次日（即2015年6月27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交银策略回报灵活配置混合、交银消费新驱动股票、交银股息优化混合、交银品质升级混合的基金经理</w:t>
            </w:r>
          </w:p>
        </w:tc>
        <w:tc>
          <w:tcPr>
            <w:vAlign w:val="center"/>
          </w:tcPr>
          <w:p>
            <w:pPr>
              <w:jc w:val="center"/>
            </w:pPr>
            <w:r>
              <w:rPr>
                <w:color w:val="000000"/>
                <w:sz w:val="24"/>
                <w:szCs w:val="24"/>
              </w:rPr>
              <w:t>2016-01-20</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2017年6月3日至2020年5月26日担任交银施罗德趋势优先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2020年三季度，国内疫情基本上已得到控制，整个经济活动开始明显复苏。全球流动性泛滥，导致全球资本市场溢价率快速提升。从目前情况来看，海外疫情出现反复，中国经济逐步恢复以后，中国资产（包括货币、债券、股票）在全球市场的吸引力大幅提升，海外资金或将继续快速流入中国，带动国内利率水平进一步回落以及债券价格和股票价格上升。</w:t>
      </w:r>
    </w:p>
    <w:p>
      <w:pPr>
        <w:spacing w:before="29" w:line="288" w:lineRule="auto"/>
        <w:ind w:firstLine="480" w:firstLineChars="200"/>
        <w:rPr>
          <w:color w:val="000000"/>
          <w:sz w:val="24"/>
          <w:szCs w:val="24"/>
        </w:rPr>
      </w:pPr>
      <w:r>
        <w:rPr>
          <w:color w:val="000000"/>
          <w:sz w:val="24"/>
          <w:szCs w:val="24"/>
        </w:rPr>
        <w:t>本基金在2020年三季度仍然主要以消费白马配置为主，主要增加了一些上半年疫情受损后出现明显复苏的行业和个股，如区域白酒、酒店旅游以及医疗服务等，减持了疫情受益的品种。国内消费行业有望迎来全面复苏，全年绝对收益或将仍然值得期待。</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四季度，国庆中秋消费复苏比较明显，明年春节可能会更加明显，在假设国内疫情不出现大幅反复的背景下，预计整个吃喝玩乐以及医疗服务等行业或在未来三到四个季度出现比较明显的环比改善和高增长。</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318,169,745.13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76.99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318,169,745.13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76.99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11,261,549.20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2.73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11,261,549.20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2.73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83,211,366.96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20.14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599,784.85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0.15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413,242,446.14</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245,351,069.95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61.04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13,029.12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28,264.03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8,218,229.36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20,034,378.00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4.98</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878,404.03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0.22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4,805,430.00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17,322,593.40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4.31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5,313,120.84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16,182,719.00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22,507.40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318,169,745.13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79.16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21,597</w:t>
            </w:r>
          </w:p>
        </w:tc>
        <w:tc>
          <w:tcPr>
            <w:vAlign w:val="center"/>
          </w:tcPr>
          <w:p>
            <w:pPr>
              <w:jc w:val="right"/>
            </w:pPr>
            <w:r>
              <w:rPr>
                <w:color w:val="000000"/>
                <w:sz w:val="24"/>
                <w:szCs w:val="24"/>
              </w:rPr>
              <w:t>36,034,594.50</w:t>
            </w:r>
          </w:p>
        </w:tc>
        <w:tc>
          <w:tcPr>
            <w:vAlign w:val="center"/>
          </w:tcPr>
          <w:p>
            <w:pPr>
              <w:jc w:val="right"/>
            </w:pPr>
            <w:r>
              <w:rPr>
                <w:color w:val="000000"/>
                <w:sz w:val="24"/>
                <w:szCs w:val="24"/>
              </w:rPr>
              <w:t>8.96</w:t>
            </w:r>
          </w:p>
        </w:tc>
      </w:tr>
      <w:tr>
        <w:tc>
          <w:tcPr>
            <w:vAlign w:val="center"/>
          </w:tcPr>
          <w:p>
            <w:pPr>
              <w:jc w:val="center"/>
            </w:pPr>
            <w:r>
              <w:rPr>
                <w:color w:val="000000"/>
                <w:sz w:val="24"/>
                <w:szCs w:val="24"/>
              </w:rPr>
              <w:t>2</w:t>
            </w:r>
          </w:p>
        </w:tc>
        <w:tc>
          <w:tcPr>
            <w:vAlign w:val="center"/>
          </w:tcPr>
          <w:p>
            <w:pPr>
              <w:jc w:val="center"/>
            </w:pPr>
            <w:r>
              <w:rPr>
                <w:color w:val="000000"/>
                <w:sz w:val="24"/>
                <w:szCs w:val="24"/>
              </w:rPr>
              <w:t>002304</w:t>
            </w:r>
          </w:p>
        </w:tc>
        <w:tc>
          <w:tcPr>
            <w:vAlign w:val="center"/>
          </w:tcPr>
          <w:p>
            <w:pPr>
              <w:jc w:val="center"/>
            </w:pPr>
            <w:r>
              <w:rPr>
                <w:color w:val="000000"/>
                <w:sz w:val="24"/>
                <w:szCs w:val="24"/>
              </w:rPr>
              <w:t>洋河股份</w:t>
            </w:r>
          </w:p>
        </w:tc>
        <w:tc>
          <w:tcPr>
            <w:vAlign w:val="center"/>
          </w:tcPr>
          <w:p>
            <w:pPr>
              <w:jc w:val="right"/>
            </w:pPr>
            <w:r>
              <w:rPr>
                <w:color w:val="000000"/>
                <w:sz w:val="24"/>
                <w:szCs w:val="24"/>
              </w:rPr>
              <w:t>280,910</w:t>
            </w:r>
          </w:p>
        </w:tc>
        <w:tc>
          <w:tcPr>
            <w:vAlign w:val="center"/>
          </w:tcPr>
          <w:p>
            <w:pPr>
              <w:jc w:val="right"/>
            </w:pPr>
            <w:r>
              <w:rPr>
                <w:color w:val="000000"/>
                <w:sz w:val="24"/>
                <w:szCs w:val="24"/>
              </w:rPr>
              <w:t>35,110,940.90</w:t>
            </w:r>
          </w:p>
        </w:tc>
        <w:tc>
          <w:tcPr>
            <w:vAlign w:val="center"/>
          </w:tcPr>
          <w:p>
            <w:pPr>
              <w:jc w:val="right"/>
            </w:pPr>
            <w:r>
              <w:rPr>
                <w:color w:val="000000"/>
                <w:sz w:val="24"/>
                <w:szCs w:val="24"/>
              </w:rPr>
              <w:t>8.74</w:t>
            </w:r>
          </w:p>
        </w:tc>
      </w:tr>
      <w:tr>
        <w:tc>
          <w:tcPr>
            <w:vAlign w:val="center"/>
          </w:tcPr>
          <w:p>
            <w:pPr>
              <w:jc w:val="center"/>
            </w:pPr>
            <w:r>
              <w:rPr>
                <w:color w:val="000000"/>
                <w:sz w:val="24"/>
                <w:szCs w:val="24"/>
              </w:rPr>
              <w:t>3</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144,175</w:t>
            </w:r>
          </w:p>
        </w:tc>
        <w:tc>
          <w:tcPr>
            <w:vAlign w:val="center"/>
          </w:tcPr>
          <w:p>
            <w:pPr>
              <w:jc w:val="right"/>
            </w:pPr>
            <w:r>
              <w:rPr>
                <w:color w:val="000000"/>
                <w:sz w:val="24"/>
                <w:szCs w:val="24"/>
              </w:rPr>
              <w:t>31,862,675.00</w:t>
            </w:r>
          </w:p>
        </w:tc>
        <w:tc>
          <w:tcPr>
            <w:vAlign w:val="center"/>
          </w:tcPr>
          <w:p>
            <w:pPr>
              <w:jc w:val="right"/>
            </w:pPr>
            <w:r>
              <w:rPr>
                <w:color w:val="000000"/>
                <w:sz w:val="24"/>
                <w:szCs w:val="24"/>
              </w:rPr>
              <w:t>7.93</w:t>
            </w:r>
          </w:p>
        </w:tc>
      </w:tr>
      <w:tr>
        <w:tc>
          <w:tcPr>
            <w:vAlign w:val="center"/>
          </w:tcPr>
          <w:p>
            <w:pPr>
              <w:jc w:val="center"/>
            </w:pPr>
            <w:r>
              <w:rPr>
                <w:color w:val="000000"/>
                <w:sz w:val="24"/>
                <w:szCs w:val="24"/>
              </w:rPr>
              <w:t>4</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1,103,509</w:t>
            </w:r>
          </w:p>
        </w:tc>
        <w:tc>
          <w:tcPr>
            <w:vAlign w:val="center"/>
          </w:tcPr>
          <w:p>
            <w:pPr>
              <w:jc w:val="right"/>
            </w:pPr>
            <w:r>
              <w:rPr>
                <w:color w:val="000000"/>
                <w:sz w:val="24"/>
                <w:szCs w:val="24"/>
              </w:rPr>
              <w:t>23,184,724.09</w:t>
            </w:r>
          </w:p>
        </w:tc>
        <w:tc>
          <w:tcPr>
            <w:vAlign w:val="center"/>
          </w:tcPr>
          <w:p>
            <w:pPr>
              <w:jc w:val="right"/>
            </w:pPr>
            <w:r>
              <w:rPr>
                <w:color w:val="000000"/>
                <w:sz w:val="24"/>
                <w:szCs w:val="24"/>
              </w:rPr>
              <w:t>5.77</w:t>
            </w:r>
          </w:p>
        </w:tc>
      </w:tr>
      <w:tr>
        <w:tc>
          <w:tcPr>
            <w:vAlign w:val="center"/>
          </w:tcPr>
          <w:p>
            <w:pPr>
              <w:jc w:val="center"/>
            </w:pPr>
            <w:r>
              <w:rPr>
                <w:color w:val="000000"/>
                <w:sz w:val="24"/>
                <w:szCs w:val="24"/>
              </w:rPr>
              <w:t>5</w:t>
            </w:r>
          </w:p>
        </w:tc>
        <w:tc>
          <w:tcPr>
            <w:vAlign w:val="center"/>
          </w:tcPr>
          <w:p>
            <w:pPr>
              <w:jc w:val="center"/>
            </w:pPr>
            <w:r>
              <w:rPr>
                <w:color w:val="000000"/>
                <w:sz w:val="24"/>
                <w:szCs w:val="24"/>
              </w:rPr>
              <w:t>600779</w:t>
            </w:r>
          </w:p>
        </w:tc>
        <w:tc>
          <w:tcPr>
            <w:vAlign w:val="center"/>
          </w:tcPr>
          <w:p>
            <w:pPr>
              <w:jc w:val="center"/>
            </w:pPr>
            <w:r>
              <w:rPr>
                <w:color w:val="000000"/>
                <w:sz w:val="24"/>
                <w:szCs w:val="24"/>
              </w:rPr>
              <w:t>水井坊</w:t>
            </w:r>
          </w:p>
        </w:tc>
        <w:tc>
          <w:tcPr>
            <w:vAlign w:val="center"/>
          </w:tcPr>
          <w:p>
            <w:pPr>
              <w:jc w:val="right"/>
            </w:pPr>
            <w:r>
              <w:rPr>
                <w:color w:val="000000"/>
                <w:sz w:val="24"/>
                <w:szCs w:val="24"/>
              </w:rPr>
              <w:t>311,446</w:t>
            </w:r>
          </w:p>
        </w:tc>
        <w:tc>
          <w:tcPr>
            <w:vAlign w:val="center"/>
          </w:tcPr>
          <w:p>
            <w:pPr>
              <w:jc w:val="right"/>
            </w:pPr>
            <w:r>
              <w:rPr>
                <w:color w:val="000000"/>
                <w:sz w:val="24"/>
                <w:szCs w:val="24"/>
              </w:rPr>
              <w:t>20,088,267.00</w:t>
            </w:r>
          </w:p>
        </w:tc>
        <w:tc>
          <w:tcPr>
            <w:vAlign w:val="center"/>
          </w:tcPr>
          <w:p>
            <w:pPr>
              <w:jc w:val="right"/>
            </w:pPr>
            <w:r>
              <w:rPr>
                <w:color w:val="000000"/>
                <w:sz w:val="24"/>
                <w:szCs w:val="24"/>
              </w:rPr>
              <w:t>5.00</w:t>
            </w:r>
          </w:p>
        </w:tc>
      </w:tr>
      <w:tr>
        <w:tc>
          <w:tcPr>
            <w:vAlign w:val="center"/>
          </w:tcPr>
          <w:p>
            <w:pPr>
              <w:jc w:val="center"/>
            </w:pPr>
            <w:r>
              <w:rPr>
                <w:color w:val="000000"/>
                <w:sz w:val="24"/>
                <w:szCs w:val="24"/>
              </w:rPr>
              <w:t>6</w:t>
            </w:r>
          </w:p>
        </w:tc>
        <w:tc>
          <w:tcPr>
            <w:vAlign w:val="center"/>
          </w:tcPr>
          <w:p>
            <w:pPr>
              <w:jc w:val="center"/>
            </w:pPr>
            <w:r>
              <w:rPr>
                <w:color w:val="000000"/>
                <w:sz w:val="24"/>
                <w:szCs w:val="24"/>
              </w:rPr>
              <w:t>600754</w:t>
            </w:r>
          </w:p>
        </w:tc>
        <w:tc>
          <w:tcPr>
            <w:vAlign w:val="center"/>
          </w:tcPr>
          <w:p>
            <w:pPr>
              <w:jc w:val="center"/>
            </w:pPr>
            <w:r>
              <w:rPr>
                <w:color w:val="000000"/>
                <w:sz w:val="24"/>
                <w:szCs w:val="24"/>
              </w:rPr>
              <w:t>锦江酒店</w:t>
            </w:r>
          </w:p>
        </w:tc>
        <w:tc>
          <w:tcPr>
            <w:vAlign w:val="center"/>
          </w:tcPr>
          <w:p>
            <w:pPr>
              <w:jc w:val="right"/>
            </w:pPr>
            <w:r>
              <w:rPr>
                <w:color w:val="000000"/>
                <w:sz w:val="24"/>
                <w:szCs w:val="24"/>
              </w:rPr>
              <w:t>491,400</w:t>
            </w:r>
          </w:p>
        </w:tc>
        <w:tc>
          <w:tcPr>
            <w:vAlign w:val="center"/>
          </w:tcPr>
          <w:p>
            <w:pPr>
              <w:jc w:val="right"/>
            </w:pPr>
            <w:r>
              <w:rPr>
                <w:color w:val="000000"/>
                <w:sz w:val="24"/>
                <w:szCs w:val="24"/>
              </w:rPr>
              <w:t>20,034,378.00</w:t>
            </w:r>
          </w:p>
        </w:tc>
        <w:tc>
          <w:tcPr>
            <w:vAlign w:val="center"/>
          </w:tcPr>
          <w:p>
            <w:pPr>
              <w:jc w:val="right"/>
            </w:pPr>
            <w:r>
              <w:rPr>
                <w:color w:val="000000"/>
                <w:sz w:val="24"/>
                <w:szCs w:val="24"/>
              </w:rPr>
              <w:t>4.98</w:t>
            </w:r>
          </w:p>
        </w:tc>
      </w:tr>
      <w:tr>
        <w:tc>
          <w:tcPr>
            <w:vAlign w:val="center"/>
          </w:tcPr>
          <w:p>
            <w:pPr>
              <w:jc w:val="center"/>
            </w:pPr>
            <w:r>
              <w:rPr>
                <w:color w:val="000000"/>
                <w:sz w:val="24"/>
                <w:szCs w:val="24"/>
              </w:rPr>
              <w:t>7</w:t>
            </w:r>
          </w:p>
        </w:tc>
        <w:tc>
          <w:tcPr>
            <w:vAlign w:val="center"/>
          </w:tcPr>
          <w:p>
            <w:pPr>
              <w:jc w:val="center"/>
            </w:pPr>
            <w:r>
              <w:rPr>
                <w:color w:val="000000"/>
                <w:sz w:val="24"/>
                <w:szCs w:val="24"/>
              </w:rPr>
              <w:t>000799</w:t>
            </w:r>
          </w:p>
        </w:tc>
        <w:tc>
          <w:tcPr>
            <w:vAlign w:val="center"/>
          </w:tcPr>
          <w:p>
            <w:pPr>
              <w:jc w:val="center"/>
            </w:pPr>
            <w:r>
              <w:rPr>
                <w:color w:val="000000"/>
                <w:sz w:val="24"/>
                <w:szCs w:val="24"/>
              </w:rPr>
              <w:t>酒鬼酒</w:t>
            </w:r>
          </w:p>
        </w:tc>
        <w:tc>
          <w:tcPr>
            <w:vAlign w:val="center"/>
          </w:tcPr>
          <w:p>
            <w:pPr>
              <w:jc w:val="right"/>
            </w:pPr>
            <w:r>
              <w:rPr>
                <w:color w:val="000000"/>
                <w:sz w:val="24"/>
                <w:szCs w:val="24"/>
              </w:rPr>
              <w:t>240,273</w:t>
            </w:r>
          </w:p>
        </w:tc>
        <w:tc>
          <w:tcPr>
            <w:vAlign w:val="center"/>
          </w:tcPr>
          <w:p>
            <w:pPr>
              <w:jc w:val="right"/>
            </w:pPr>
            <w:r>
              <w:rPr>
                <w:color w:val="000000"/>
                <w:sz w:val="24"/>
                <w:szCs w:val="24"/>
              </w:rPr>
              <w:t>19,786,481.55</w:t>
            </w:r>
          </w:p>
        </w:tc>
        <w:tc>
          <w:tcPr>
            <w:vAlign w:val="center"/>
          </w:tcPr>
          <w:p>
            <w:pPr>
              <w:jc w:val="right"/>
            </w:pPr>
            <w:r>
              <w:rPr>
                <w:color w:val="000000"/>
                <w:sz w:val="24"/>
                <w:szCs w:val="24"/>
              </w:rPr>
              <w:t>4.92</w:t>
            </w:r>
          </w:p>
        </w:tc>
      </w:tr>
      <w:tr>
        <w:tc>
          <w:tcPr>
            <w:vAlign w:val="center"/>
          </w:tcPr>
          <w:p>
            <w:pPr>
              <w:jc w:val="center"/>
            </w:pPr>
            <w:r>
              <w:rPr>
                <w:color w:val="000000"/>
                <w:sz w:val="24"/>
                <w:szCs w:val="24"/>
              </w:rPr>
              <w:t>8</w:t>
            </w:r>
          </w:p>
        </w:tc>
        <w:tc>
          <w:tcPr>
            <w:vAlign w:val="center"/>
          </w:tcPr>
          <w:p>
            <w:pPr>
              <w:jc w:val="center"/>
            </w:pPr>
            <w:r>
              <w:rPr>
                <w:color w:val="000000"/>
                <w:sz w:val="24"/>
                <w:szCs w:val="24"/>
              </w:rPr>
              <w:t>603259</w:t>
            </w:r>
          </w:p>
        </w:tc>
        <w:tc>
          <w:tcPr>
            <w:vAlign w:val="center"/>
          </w:tcPr>
          <w:p>
            <w:pPr>
              <w:jc w:val="center"/>
            </w:pPr>
            <w:r>
              <w:rPr>
                <w:color w:val="000000"/>
                <w:sz w:val="24"/>
                <w:szCs w:val="24"/>
              </w:rPr>
              <w:t>药明康德</w:t>
            </w:r>
          </w:p>
        </w:tc>
        <w:tc>
          <w:tcPr>
            <w:vAlign w:val="center"/>
          </w:tcPr>
          <w:p>
            <w:pPr>
              <w:jc w:val="right"/>
            </w:pPr>
            <w:r>
              <w:rPr>
                <w:color w:val="000000"/>
                <w:sz w:val="24"/>
                <w:szCs w:val="24"/>
              </w:rPr>
              <w:t>170,520</w:t>
            </w:r>
          </w:p>
        </w:tc>
        <w:tc>
          <w:tcPr>
            <w:vAlign w:val="center"/>
          </w:tcPr>
          <w:p>
            <w:pPr>
              <w:jc w:val="right"/>
            </w:pPr>
            <w:r>
              <w:rPr>
                <w:color w:val="000000"/>
                <w:sz w:val="24"/>
                <w:szCs w:val="24"/>
              </w:rPr>
              <w:t>17,307,780.00</w:t>
            </w:r>
          </w:p>
        </w:tc>
        <w:tc>
          <w:tcPr>
            <w:vAlign w:val="center"/>
          </w:tcPr>
          <w:p>
            <w:pPr>
              <w:jc w:val="right"/>
            </w:pPr>
            <w:r>
              <w:rPr>
                <w:color w:val="000000"/>
                <w:sz w:val="24"/>
                <w:szCs w:val="24"/>
              </w:rPr>
              <w:t>4.31</w:t>
            </w:r>
          </w:p>
        </w:tc>
      </w:tr>
      <w:tr>
        <w:tc>
          <w:tcPr>
            <w:vAlign w:val="center"/>
          </w:tcPr>
          <w:p>
            <w:pPr>
              <w:jc w:val="center"/>
            </w:pPr>
            <w:r>
              <w:rPr>
                <w:color w:val="000000"/>
                <w:sz w:val="24"/>
                <w:szCs w:val="24"/>
              </w:rPr>
              <w:t>9</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283,100</w:t>
            </w:r>
          </w:p>
        </w:tc>
        <w:tc>
          <w:tcPr>
            <w:vAlign w:val="center"/>
          </w:tcPr>
          <w:p>
            <w:pPr>
              <w:jc w:val="right"/>
            </w:pPr>
            <w:r>
              <w:rPr>
                <w:color w:val="000000"/>
                <w:sz w:val="24"/>
                <w:szCs w:val="24"/>
              </w:rPr>
              <w:t>15,259,090.00</w:t>
            </w:r>
          </w:p>
        </w:tc>
        <w:tc>
          <w:tcPr>
            <w:vAlign w:val="center"/>
          </w:tcPr>
          <w:p>
            <w:pPr>
              <w:jc w:val="right"/>
            </w:pPr>
            <w:r>
              <w:rPr>
                <w:color w:val="000000"/>
                <w:sz w:val="24"/>
                <w:szCs w:val="24"/>
              </w:rPr>
              <w:t>3.80</w:t>
            </w:r>
          </w:p>
        </w:tc>
      </w:tr>
      <w:tr>
        <w:tc>
          <w:tcPr>
            <w:vAlign w:val="center"/>
          </w:tcPr>
          <w:p>
            <w:pPr>
              <w:jc w:val="center"/>
            </w:pPr>
            <w:r>
              <w:rPr>
                <w:color w:val="000000"/>
                <w:sz w:val="24"/>
                <w:szCs w:val="24"/>
              </w:rPr>
              <w:t>10</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165,193</w:t>
            </w:r>
          </w:p>
        </w:tc>
        <w:tc>
          <w:tcPr>
            <w:vAlign w:val="center"/>
          </w:tcPr>
          <w:p>
            <w:pPr>
              <w:jc w:val="right"/>
            </w:pPr>
            <w:r>
              <w:rPr>
                <w:color w:val="000000"/>
                <w:sz w:val="24"/>
                <w:szCs w:val="24"/>
              </w:rPr>
              <w:t>14,837,635.26</w:t>
            </w:r>
          </w:p>
        </w:tc>
        <w:tc>
          <w:tcPr>
            <w:vAlign w:val="center"/>
          </w:tcPr>
          <w:p>
            <w:pPr>
              <w:jc w:val="right"/>
            </w:pPr>
            <w:r>
              <w:rPr>
                <w:color w:val="000000"/>
                <w:sz w:val="24"/>
                <w:szCs w:val="24"/>
              </w:rPr>
              <w:t>3.69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11,261,549.20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2.80</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11,261,549.20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2.80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110055</w:t>
            </w:r>
          </w:p>
        </w:tc>
        <w:tc>
          <w:tcPr>
            <w:vAlign w:val="center"/>
          </w:tcPr>
          <w:p>
            <w:pPr>
              <w:jc w:val="center"/>
            </w:pPr>
            <w:r>
              <w:rPr>
                <w:color w:val="000000"/>
                <w:sz w:val="24"/>
                <w:szCs w:val="24"/>
              </w:rPr>
              <w:t>伊力转债</w:t>
            </w:r>
          </w:p>
        </w:tc>
        <w:tc>
          <w:tcPr>
            <w:vAlign w:val="center"/>
          </w:tcPr>
          <w:p>
            <w:pPr>
              <w:jc w:val="right"/>
            </w:pPr>
            <w:r>
              <w:rPr>
                <w:color w:val="000000"/>
                <w:sz w:val="24"/>
                <w:szCs w:val="24"/>
              </w:rPr>
              <w:t>90,680</w:t>
            </w:r>
          </w:p>
        </w:tc>
        <w:tc>
          <w:tcPr>
            <w:vAlign w:val="center"/>
          </w:tcPr>
          <w:p>
            <w:pPr>
              <w:jc w:val="right"/>
            </w:pPr>
            <w:r>
              <w:rPr>
                <w:color w:val="000000"/>
                <w:sz w:val="24"/>
                <w:szCs w:val="24"/>
              </w:rPr>
              <w:t>11,261,549.20</w:t>
            </w:r>
          </w:p>
        </w:tc>
        <w:tc>
          <w:tcPr>
            <w:vAlign w:val="center"/>
          </w:tcPr>
          <w:p>
            <w:pPr>
              <w:jc w:val="right"/>
            </w:pPr>
            <w:r>
              <w:rPr>
                <w:color w:val="000000"/>
                <w:sz w:val="24"/>
                <w:szCs w:val="24"/>
              </w:rPr>
              <w:t>2.80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353,789.89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42,643.88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203,351.08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599,784.85</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110055</w:t>
            </w:r>
          </w:p>
        </w:tc>
        <w:tc>
          <w:tcPr>
            <w:vAlign w:val="center"/>
          </w:tcPr>
          <w:p>
            <w:pPr>
              <w:jc w:val="center"/>
            </w:pPr>
            <w:r>
              <w:rPr>
                <w:color w:val="000000"/>
                <w:sz w:val="24"/>
                <w:szCs w:val="24"/>
              </w:rPr>
              <w:t>伊力转债</w:t>
            </w:r>
          </w:p>
        </w:tc>
        <w:tc>
          <w:tcPr>
            <w:vAlign w:val="center"/>
          </w:tcPr>
          <w:p>
            <w:pPr>
              <w:jc w:val="right"/>
            </w:pPr>
            <w:r>
              <w:rPr>
                <w:color w:val="000000"/>
                <w:sz w:val="24"/>
                <w:szCs w:val="24"/>
              </w:rPr>
              <w:t>11,261,549.20</w:t>
            </w:r>
          </w:p>
        </w:tc>
        <w:tc>
          <w:tcPr>
            <w:vAlign w:val="center"/>
          </w:tcPr>
          <w:p>
            <w:pPr>
              <w:jc w:val="right"/>
            </w:pPr>
            <w:r>
              <w:rPr>
                <w:color w:val="000000"/>
                <w:sz w:val="24"/>
                <w:szCs w:val="24"/>
              </w:rPr>
              <w:t>2.80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286,258,652.85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45,312,004.67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88,875,391.06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242,695,266.46</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2020/7/1-2020/9/30</w:t>
            </w:r>
          </w:p>
        </w:tc>
        <w:tc>
          <w:tcPr>
            <w:vAlign w:val="center"/>
          </w:tcPr>
          <w:p>
            <w:pPr>
              <w:jc w:val="center"/>
            </w:pPr>
            <w:r>
              <w:rPr>
                <w:rFonts w:ascii="宋体" w:hAnsi="宋体"/>
                <w:color w:val="000000"/>
                <w:kern w:val="0"/>
              </w:rPr>
              <w:t>48,557,147.72</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48,557,147.72</w:t>
            </w:r>
          </w:p>
        </w:tc>
        <w:tc>
          <w:tcPr>
            <w:vAlign w:val="center"/>
          </w:tcPr>
          <w:p>
            <w:pPr>
              <w:jc w:val="center"/>
            </w:pPr>
            <w:r>
              <w:rPr>
                <w:rFonts w:ascii="宋体" w:hAnsi="宋体"/>
                <w:color w:val="000000"/>
                <w:kern w:val="0"/>
              </w:rPr>
              <w:t>20.01%</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1、中国证监会批准交银施罗德荣安保本混合型证券投资基金募集的文件；</w:t>
      </w:r>
    </w:p>
    <w:p>
      <w:pPr>
        <w:spacing w:before="29" w:line="288" w:lineRule="auto"/>
        <w:ind w:firstLine="480" w:firstLineChars="200"/>
        <w:rPr>
          <w:color w:val="000000"/>
          <w:sz w:val="24"/>
          <w:szCs w:val="24"/>
        </w:rPr>
      </w:pPr>
      <w:r>
        <w:rPr>
          <w:color w:val="000000"/>
          <w:sz w:val="24"/>
          <w:szCs w:val="24"/>
        </w:rPr>
        <w:t>2、《交银施罗德策略回报灵活配置混合型证券投资基金基金合同》；</w:t>
      </w:r>
    </w:p>
    <w:p>
      <w:pPr>
        <w:spacing w:before="29" w:line="288" w:lineRule="auto"/>
        <w:ind w:firstLine="480" w:firstLineChars="200"/>
        <w:rPr>
          <w:color w:val="000000"/>
          <w:sz w:val="24"/>
          <w:szCs w:val="24"/>
        </w:rPr>
      </w:pPr>
      <w:r>
        <w:rPr>
          <w:color w:val="000000"/>
          <w:sz w:val="24"/>
          <w:szCs w:val="24"/>
        </w:rPr>
        <w:t>3、《交银施罗德策略回报灵活配置混合型证券投资基金招募说明书》；</w:t>
      </w:r>
    </w:p>
    <w:p>
      <w:pPr>
        <w:spacing w:before="29" w:line="288" w:lineRule="auto"/>
        <w:ind w:firstLine="480" w:firstLineChars="200"/>
        <w:rPr>
          <w:color w:val="000000"/>
          <w:sz w:val="24"/>
          <w:szCs w:val="24"/>
        </w:rPr>
      </w:pPr>
      <w:r>
        <w:rPr>
          <w:color w:val="000000"/>
          <w:sz w:val="24"/>
          <w:szCs w:val="24"/>
        </w:rPr>
        <w:t>4、《交银施罗德策略回报灵活配置混合型证券投资基金托管协议》；</w:t>
      </w:r>
    </w:p>
    <w:p>
      <w:pPr>
        <w:spacing w:before="29" w:line="288" w:lineRule="auto"/>
        <w:ind w:firstLine="480" w:firstLineChars="200"/>
        <w:rPr>
          <w:color w:val="000000"/>
          <w:sz w:val="24"/>
          <w:szCs w:val="24"/>
        </w:rPr>
      </w:pPr>
      <w:r>
        <w:rPr>
          <w:color w:val="000000"/>
          <w:sz w:val="24"/>
          <w:szCs w:val="24"/>
        </w:rPr>
        <w:t>5、《交银施罗德荣安保本混合型证券投资基金基金合同》；</w:t>
      </w:r>
    </w:p>
    <w:p>
      <w:pPr>
        <w:spacing w:before="29" w:line="288" w:lineRule="auto"/>
        <w:ind w:firstLine="480" w:firstLineChars="200"/>
        <w:rPr>
          <w:color w:val="000000"/>
          <w:sz w:val="24"/>
          <w:szCs w:val="24"/>
        </w:rPr>
      </w:pPr>
      <w:r>
        <w:rPr>
          <w:color w:val="000000"/>
          <w:sz w:val="24"/>
          <w:szCs w:val="24"/>
        </w:rPr>
        <w:t>6、《交银施罗德荣安保本混合型证券投资基金招募说明书》；</w:t>
      </w:r>
    </w:p>
    <w:p>
      <w:pPr>
        <w:spacing w:before="29" w:line="288" w:lineRule="auto"/>
        <w:ind w:firstLine="480" w:firstLineChars="200"/>
        <w:rPr>
          <w:color w:val="000000"/>
          <w:sz w:val="24"/>
          <w:szCs w:val="24"/>
        </w:rPr>
      </w:pPr>
      <w:r>
        <w:rPr>
          <w:color w:val="000000"/>
          <w:sz w:val="24"/>
          <w:szCs w:val="24"/>
        </w:rPr>
        <w:t>7、《交银施罗德荣安保本混合型证券投资基金托管协议》；</w:t>
      </w:r>
    </w:p>
    <w:p>
      <w:pPr>
        <w:spacing w:before="29" w:line="288" w:lineRule="auto"/>
        <w:ind w:firstLine="480" w:firstLineChars="200"/>
        <w:rPr>
          <w:color w:val="000000"/>
          <w:sz w:val="24"/>
          <w:szCs w:val="24"/>
        </w:rPr>
      </w:pPr>
      <w:r>
        <w:rPr>
          <w:color w:val="000000"/>
          <w:sz w:val="24"/>
          <w:szCs w:val="24"/>
        </w:rPr>
        <w:t xml:space="preserve">8、《交银施罗德荣安保本混合型证券投资基金保证合同》； </w:t>
      </w:r>
    </w:p>
    <w:p>
      <w:pPr>
        <w:spacing w:before="29" w:line="288" w:lineRule="auto"/>
        <w:ind w:firstLine="480" w:firstLineChars="200"/>
        <w:rPr>
          <w:color w:val="000000"/>
          <w:sz w:val="24"/>
          <w:szCs w:val="24"/>
        </w:rPr>
      </w:pPr>
      <w:r>
        <w:rPr>
          <w:color w:val="000000"/>
          <w:sz w:val="24"/>
          <w:szCs w:val="24"/>
        </w:rPr>
        <w:t>9、基金管理人业务资格批件、营业执照；</w:t>
      </w:r>
    </w:p>
    <w:p>
      <w:pPr>
        <w:spacing w:before="29" w:line="288" w:lineRule="auto"/>
        <w:ind w:firstLine="480" w:firstLineChars="200"/>
        <w:rPr>
          <w:color w:val="000000"/>
          <w:sz w:val="24"/>
          <w:szCs w:val="24"/>
        </w:rPr>
      </w:pPr>
      <w:r>
        <w:rPr>
          <w:color w:val="000000"/>
          <w:sz w:val="24"/>
          <w:szCs w:val="24"/>
        </w:rPr>
        <w:t>10、基金托管人业务资格批件、营业执照；</w:t>
      </w:r>
    </w:p>
    <w:p>
      <w:pPr>
        <w:spacing w:before="29" w:line="288" w:lineRule="auto"/>
        <w:ind w:firstLine="480" w:firstLineChars="200"/>
        <w:rPr>
          <w:color w:val="000000"/>
          <w:sz w:val="24"/>
          <w:szCs w:val="24"/>
        </w:rPr>
      </w:pPr>
      <w:r>
        <w:rPr>
          <w:color w:val="000000"/>
          <w:sz w:val="24"/>
          <w:szCs w:val="24"/>
        </w:rPr>
        <w:t>11、关于申请募集交银施罗德荣安保本混合型证券投资基金之法律意见书；</w:t>
      </w:r>
    </w:p>
    <w:p>
      <w:pPr>
        <w:spacing w:before="29" w:line="288" w:lineRule="auto"/>
        <w:ind w:firstLine="480" w:firstLineChars="200"/>
        <w:rPr>
          <w:color w:val="000000"/>
          <w:sz w:val="24"/>
          <w:szCs w:val="24"/>
        </w:rPr>
      </w:pPr>
      <w:r>
        <w:rPr>
          <w:color w:val="000000"/>
          <w:sz w:val="24"/>
          <w:szCs w:val="24"/>
        </w:rPr>
        <w:t>12、关于修改《交银施罗德荣安保本混合型证券投资基金基金合同》的法律意见；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13、报告期内交银施罗德策略回报灵活配置混合型证券投资基金在指定报刊上各项公告的原稿。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交银施罗德策略回报灵活配置混合型证券投资基金2020年第3季度报告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