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交银施罗德裕坤纯债一年定期开放债券型发起式证券投资基金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基金托管人：中国光大银行股份有限公司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A67C9" w:rsidRDefault="00500AF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A67C9" w:rsidRDefault="00500AF3">
      <w:pPr>
        <w:spacing w:before="29" w:line="288" w:lineRule="auto"/>
        <w:ind w:firstLineChars="200" w:firstLine="480"/>
        <w:rPr>
          <w:color w:val="000000"/>
          <w:sz w:val="24"/>
          <w:szCs w:val="24"/>
        </w:rPr>
      </w:pPr>
      <w:r>
        <w:rPr>
          <w:color w:val="000000"/>
          <w:sz w:val="24"/>
          <w:szCs w:val="24"/>
        </w:rPr>
        <w:t>基金托管人中国光大银行股份有限公司根据本基金合同规定，于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A67C9" w:rsidRDefault="00500AF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A67C9" w:rsidRDefault="00500AF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A67C9" w:rsidRDefault="00500AF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交银裕坤纯债一年定期开放债券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008352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008352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26</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999,999,000.00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本基金在严格控制风险和保持资产流动性的基础上，通过积极主动的投资管理，力争持续稳定地实现超越业绩比较基准的投资回报。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本基金是一只债券型基金，其预期风险与预期收益高于货币市场基金，低于混合型基金和股票型基金。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中国光大银行股份有限公司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446C2" w:rsidRPr="00414345" w:rsidTr="005446C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446C2" w:rsidRPr="00414345" w:rsidTr="005446C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6,595,392.18</w:t>
            </w:r>
          </w:p>
        </w:tc>
      </w:tr>
      <w:tr w:rsidR="005446C2" w:rsidRPr="00414345" w:rsidTr="005446C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-3,792,126.52</w:t>
            </w:r>
          </w:p>
        </w:tc>
      </w:tr>
      <w:tr w:rsidR="005446C2" w:rsidRPr="00414345" w:rsidTr="005446C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-0.0038</w:t>
            </w:r>
          </w:p>
        </w:tc>
      </w:tr>
      <w:tr w:rsidR="005446C2" w:rsidRPr="00414345" w:rsidTr="005446C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1,003,391,005.64</w:t>
            </w:r>
          </w:p>
        </w:tc>
      </w:tr>
      <w:tr w:rsidR="005446C2" w:rsidRPr="00414345" w:rsidTr="005446C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1.0034</w:t>
            </w:r>
          </w:p>
        </w:tc>
      </w:tr>
    </w:tbl>
    <w:p w:rsidR="009A67C9" w:rsidRDefault="00500AF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A67C9">
        <w:trPr>
          <w:jc w:val="center"/>
        </w:trPr>
        <w:tc>
          <w:tcPr>
            <w:tcW w:w="1701" w:type="dxa"/>
            <w:vAlign w:val="center"/>
          </w:tcPr>
          <w:p w:rsidR="009A67C9" w:rsidRDefault="00500AF3">
            <w:pPr>
              <w:jc w:val="left"/>
            </w:pPr>
            <w:r>
              <w:rPr>
                <w:color w:val="000000"/>
                <w:sz w:val="24"/>
                <w:szCs w:val="24"/>
              </w:rPr>
              <w:t>过去三个月</w:t>
            </w:r>
          </w:p>
        </w:tc>
        <w:tc>
          <w:tcPr>
            <w:tcW w:w="1045" w:type="dxa"/>
            <w:vAlign w:val="center"/>
          </w:tcPr>
          <w:p w:rsidR="009A67C9" w:rsidRDefault="00500AF3">
            <w:pPr>
              <w:jc w:val="center"/>
            </w:pPr>
            <w:r>
              <w:rPr>
                <w:color w:val="000000"/>
                <w:sz w:val="24"/>
                <w:szCs w:val="24"/>
              </w:rPr>
              <w:t>-0.38%</w:t>
            </w:r>
          </w:p>
        </w:tc>
        <w:tc>
          <w:tcPr>
            <w:tcW w:w="1344" w:type="dxa"/>
            <w:vAlign w:val="center"/>
          </w:tcPr>
          <w:p w:rsidR="009A67C9" w:rsidRDefault="00500AF3">
            <w:pPr>
              <w:jc w:val="center"/>
            </w:pPr>
            <w:r>
              <w:rPr>
                <w:color w:val="000000"/>
                <w:sz w:val="24"/>
                <w:szCs w:val="24"/>
              </w:rPr>
              <w:t>0.08%</w:t>
            </w:r>
          </w:p>
        </w:tc>
        <w:tc>
          <w:tcPr>
            <w:tcW w:w="1194" w:type="dxa"/>
            <w:vAlign w:val="center"/>
          </w:tcPr>
          <w:p w:rsidR="009A67C9" w:rsidRDefault="00500AF3">
            <w:pPr>
              <w:jc w:val="center"/>
            </w:pPr>
            <w:r>
              <w:rPr>
                <w:color w:val="000000"/>
                <w:sz w:val="24"/>
                <w:szCs w:val="24"/>
              </w:rPr>
              <w:t>-1.48%</w:t>
            </w:r>
          </w:p>
        </w:tc>
        <w:tc>
          <w:tcPr>
            <w:tcW w:w="1492" w:type="dxa"/>
            <w:vAlign w:val="center"/>
          </w:tcPr>
          <w:p w:rsidR="009A67C9" w:rsidRDefault="00500AF3">
            <w:pPr>
              <w:jc w:val="center"/>
            </w:pPr>
            <w:r>
              <w:rPr>
                <w:color w:val="000000"/>
                <w:sz w:val="24"/>
                <w:szCs w:val="24"/>
              </w:rPr>
              <w:t>0.08%</w:t>
            </w:r>
          </w:p>
        </w:tc>
        <w:tc>
          <w:tcPr>
            <w:tcW w:w="1194" w:type="dxa"/>
            <w:vAlign w:val="center"/>
          </w:tcPr>
          <w:p w:rsidR="009A67C9" w:rsidRDefault="00500AF3">
            <w:pPr>
              <w:jc w:val="center"/>
            </w:pPr>
            <w:r>
              <w:rPr>
                <w:color w:val="000000"/>
                <w:sz w:val="24"/>
                <w:szCs w:val="24"/>
              </w:rPr>
              <w:t>1.10%</w:t>
            </w:r>
          </w:p>
        </w:tc>
        <w:tc>
          <w:tcPr>
            <w:tcW w:w="898" w:type="dxa"/>
            <w:vAlign w:val="center"/>
          </w:tcPr>
          <w:p w:rsidR="009A67C9" w:rsidRDefault="00500AF3">
            <w:pPr>
              <w:jc w:val="center"/>
            </w:pPr>
            <w:r>
              <w:rPr>
                <w:color w:val="000000"/>
                <w:sz w:val="24"/>
                <w:szCs w:val="24"/>
              </w:rPr>
              <w:t>0.00%</w:t>
            </w:r>
          </w:p>
        </w:tc>
      </w:tr>
      <w:tr w:rsidR="009A67C9">
        <w:trPr>
          <w:jc w:val="center"/>
        </w:trPr>
        <w:tc>
          <w:tcPr>
            <w:tcW w:w="1701" w:type="dxa"/>
            <w:vAlign w:val="center"/>
          </w:tcPr>
          <w:p w:rsidR="009A67C9" w:rsidRDefault="00500AF3">
            <w:pPr>
              <w:jc w:val="left"/>
            </w:pPr>
            <w:r>
              <w:rPr>
                <w:color w:val="000000"/>
                <w:sz w:val="24"/>
                <w:szCs w:val="24"/>
              </w:rPr>
              <w:t>过去六个月</w:t>
            </w:r>
          </w:p>
        </w:tc>
        <w:tc>
          <w:tcPr>
            <w:tcW w:w="1045" w:type="dxa"/>
            <w:vAlign w:val="center"/>
          </w:tcPr>
          <w:p w:rsidR="009A67C9" w:rsidRDefault="00500AF3">
            <w:pPr>
              <w:jc w:val="center"/>
            </w:pPr>
            <w:r>
              <w:rPr>
                <w:color w:val="000000"/>
                <w:sz w:val="24"/>
                <w:szCs w:val="24"/>
              </w:rPr>
              <w:t>-0.49%</w:t>
            </w:r>
          </w:p>
        </w:tc>
        <w:tc>
          <w:tcPr>
            <w:tcW w:w="1344" w:type="dxa"/>
            <w:vAlign w:val="center"/>
          </w:tcPr>
          <w:p w:rsidR="009A67C9" w:rsidRDefault="00500AF3">
            <w:pPr>
              <w:jc w:val="center"/>
            </w:pPr>
            <w:r>
              <w:rPr>
                <w:color w:val="000000"/>
                <w:sz w:val="24"/>
                <w:szCs w:val="24"/>
              </w:rPr>
              <w:t>0.12%</w:t>
            </w:r>
          </w:p>
        </w:tc>
        <w:tc>
          <w:tcPr>
            <w:tcW w:w="1194" w:type="dxa"/>
            <w:vAlign w:val="center"/>
          </w:tcPr>
          <w:p w:rsidR="009A67C9" w:rsidRDefault="00500AF3">
            <w:pPr>
              <w:jc w:val="center"/>
            </w:pPr>
            <w:r>
              <w:rPr>
                <w:color w:val="000000"/>
                <w:sz w:val="24"/>
                <w:szCs w:val="24"/>
              </w:rPr>
              <w:t>-2.50%</w:t>
            </w:r>
          </w:p>
        </w:tc>
        <w:tc>
          <w:tcPr>
            <w:tcW w:w="1492" w:type="dxa"/>
            <w:vAlign w:val="center"/>
          </w:tcPr>
          <w:p w:rsidR="009A67C9" w:rsidRDefault="00500AF3">
            <w:pPr>
              <w:jc w:val="center"/>
            </w:pPr>
            <w:r>
              <w:rPr>
                <w:color w:val="000000"/>
                <w:sz w:val="24"/>
                <w:szCs w:val="24"/>
              </w:rPr>
              <w:t>0.10%</w:t>
            </w:r>
          </w:p>
        </w:tc>
        <w:tc>
          <w:tcPr>
            <w:tcW w:w="1194" w:type="dxa"/>
            <w:vAlign w:val="center"/>
          </w:tcPr>
          <w:p w:rsidR="009A67C9" w:rsidRDefault="00500AF3">
            <w:pPr>
              <w:jc w:val="center"/>
            </w:pPr>
            <w:r>
              <w:rPr>
                <w:color w:val="000000"/>
                <w:sz w:val="24"/>
                <w:szCs w:val="24"/>
              </w:rPr>
              <w:t>2.01%</w:t>
            </w:r>
          </w:p>
        </w:tc>
        <w:tc>
          <w:tcPr>
            <w:tcW w:w="898" w:type="dxa"/>
            <w:vAlign w:val="center"/>
          </w:tcPr>
          <w:p w:rsidR="009A67C9" w:rsidRDefault="00500AF3">
            <w:pPr>
              <w:jc w:val="center"/>
            </w:pPr>
            <w:r>
              <w:rPr>
                <w:color w:val="000000"/>
                <w:sz w:val="24"/>
                <w:szCs w:val="24"/>
              </w:rPr>
              <w:t>0.02%</w:t>
            </w:r>
          </w:p>
        </w:tc>
      </w:tr>
      <w:tr w:rsidR="009A67C9">
        <w:trPr>
          <w:jc w:val="center"/>
        </w:trPr>
        <w:tc>
          <w:tcPr>
            <w:tcW w:w="1701" w:type="dxa"/>
            <w:vAlign w:val="center"/>
          </w:tcPr>
          <w:p w:rsidR="009A67C9" w:rsidRDefault="00500AF3">
            <w:pPr>
              <w:jc w:val="left"/>
            </w:pPr>
            <w:r>
              <w:rPr>
                <w:color w:val="000000"/>
                <w:sz w:val="24"/>
                <w:szCs w:val="24"/>
              </w:rPr>
              <w:t>自基金合同生效至今</w:t>
            </w:r>
          </w:p>
        </w:tc>
        <w:tc>
          <w:tcPr>
            <w:tcW w:w="1045" w:type="dxa"/>
            <w:vAlign w:val="center"/>
          </w:tcPr>
          <w:p w:rsidR="009A67C9" w:rsidRDefault="00500AF3">
            <w:pPr>
              <w:jc w:val="center"/>
            </w:pPr>
            <w:r>
              <w:rPr>
                <w:color w:val="000000"/>
                <w:sz w:val="24"/>
                <w:szCs w:val="24"/>
              </w:rPr>
              <w:t>0.34%</w:t>
            </w:r>
          </w:p>
        </w:tc>
        <w:tc>
          <w:tcPr>
            <w:tcW w:w="1344" w:type="dxa"/>
            <w:vAlign w:val="center"/>
          </w:tcPr>
          <w:p w:rsidR="009A67C9" w:rsidRDefault="00500AF3">
            <w:pPr>
              <w:jc w:val="center"/>
            </w:pPr>
            <w:r>
              <w:rPr>
                <w:color w:val="000000"/>
                <w:sz w:val="24"/>
                <w:szCs w:val="24"/>
              </w:rPr>
              <w:t>0.10%</w:t>
            </w:r>
          </w:p>
        </w:tc>
        <w:tc>
          <w:tcPr>
            <w:tcW w:w="1194" w:type="dxa"/>
            <w:vAlign w:val="center"/>
          </w:tcPr>
          <w:p w:rsidR="009A67C9" w:rsidRDefault="00500AF3">
            <w:pPr>
              <w:jc w:val="center"/>
            </w:pPr>
            <w:r>
              <w:rPr>
                <w:color w:val="000000"/>
                <w:sz w:val="24"/>
                <w:szCs w:val="24"/>
              </w:rPr>
              <w:t>-0.57%</w:t>
            </w:r>
          </w:p>
        </w:tc>
        <w:tc>
          <w:tcPr>
            <w:tcW w:w="1492" w:type="dxa"/>
            <w:vAlign w:val="center"/>
          </w:tcPr>
          <w:p w:rsidR="009A67C9" w:rsidRDefault="00500AF3">
            <w:pPr>
              <w:jc w:val="center"/>
            </w:pPr>
            <w:r>
              <w:rPr>
                <w:color w:val="000000"/>
                <w:sz w:val="24"/>
                <w:szCs w:val="24"/>
              </w:rPr>
              <w:t>0.10%</w:t>
            </w:r>
          </w:p>
        </w:tc>
        <w:tc>
          <w:tcPr>
            <w:tcW w:w="1194" w:type="dxa"/>
            <w:vAlign w:val="center"/>
          </w:tcPr>
          <w:p w:rsidR="009A67C9" w:rsidRDefault="00500AF3">
            <w:pPr>
              <w:jc w:val="center"/>
            </w:pPr>
            <w:r>
              <w:rPr>
                <w:color w:val="000000"/>
                <w:sz w:val="24"/>
                <w:szCs w:val="24"/>
              </w:rPr>
              <w:t>0.91%</w:t>
            </w:r>
          </w:p>
        </w:tc>
        <w:tc>
          <w:tcPr>
            <w:tcW w:w="898" w:type="dxa"/>
            <w:vAlign w:val="center"/>
          </w:tcPr>
          <w:p w:rsidR="009A67C9" w:rsidRDefault="00500AF3">
            <w:pPr>
              <w:jc w:val="center"/>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交银施罗德裕坤纯债一年定期开放债券型发起式证券投资基金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26</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26</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A67C9">
        <w:trPr>
          <w:jc w:val="center"/>
        </w:trPr>
        <w:tc>
          <w:tcPr>
            <w:tcW w:w="846" w:type="dxa"/>
            <w:vAlign w:val="center"/>
          </w:tcPr>
          <w:p w:rsidR="009A67C9" w:rsidRDefault="00500AF3">
            <w:pPr>
              <w:jc w:val="center"/>
            </w:pPr>
            <w:r>
              <w:rPr>
                <w:color w:val="000000"/>
                <w:sz w:val="24"/>
                <w:szCs w:val="24"/>
              </w:rPr>
              <w:t>于海颖</w:t>
            </w:r>
          </w:p>
        </w:tc>
        <w:tc>
          <w:tcPr>
            <w:tcW w:w="845" w:type="dxa"/>
            <w:vAlign w:val="center"/>
          </w:tcPr>
          <w:p w:rsidR="009A67C9" w:rsidRDefault="00500AF3">
            <w:pPr>
              <w:jc w:val="center"/>
            </w:pPr>
            <w:r>
              <w:rPr>
                <w:color w:val="000000"/>
                <w:sz w:val="24"/>
                <w:szCs w:val="24"/>
              </w:rPr>
              <w:t>交银纯债债券发起、交银丰晟收益债券、交银裕如</w:t>
            </w:r>
            <w:r>
              <w:rPr>
                <w:color w:val="000000"/>
                <w:sz w:val="24"/>
                <w:szCs w:val="24"/>
              </w:rPr>
              <w:lastRenderedPageBreak/>
              <w:t>纯债债券、交银裕泰两年定期开放债券、交银裕坤纯债一年定期开放债券的基金经理，公司固定收益（公募）投资总监</w:t>
            </w:r>
          </w:p>
        </w:tc>
        <w:tc>
          <w:tcPr>
            <w:tcW w:w="1549" w:type="dxa"/>
            <w:vAlign w:val="center"/>
          </w:tcPr>
          <w:p w:rsidR="009A67C9" w:rsidRDefault="00500AF3">
            <w:pPr>
              <w:jc w:val="center"/>
            </w:pPr>
            <w:r>
              <w:rPr>
                <w:color w:val="000000"/>
                <w:sz w:val="24"/>
                <w:szCs w:val="24"/>
              </w:rPr>
              <w:lastRenderedPageBreak/>
              <w:t>2019-12-26</w:t>
            </w:r>
          </w:p>
        </w:tc>
        <w:tc>
          <w:tcPr>
            <w:tcW w:w="1548" w:type="dxa"/>
            <w:vAlign w:val="center"/>
          </w:tcPr>
          <w:p w:rsidR="009A67C9" w:rsidRDefault="00500AF3">
            <w:pPr>
              <w:jc w:val="center"/>
            </w:pPr>
            <w:r>
              <w:rPr>
                <w:color w:val="000000"/>
                <w:sz w:val="24"/>
                <w:szCs w:val="24"/>
              </w:rPr>
              <w:t>-</w:t>
            </w:r>
          </w:p>
        </w:tc>
        <w:tc>
          <w:tcPr>
            <w:tcW w:w="1407" w:type="dxa"/>
            <w:vAlign w:val="center"/>
          </w:tcPr>
          <w:p w:rsidR="009A67C9" w:rsidRDefault="00500AF3">
            <w:pPr>
              <w:jc w:val="center"/>
            </w:pPr>
            <w:r>
              <w:rPr>
                <w:color w:val="000000"/>
                <w:sz w:val="24"/>
                <w:szCs w:val="24"/>
              </w:rPr>
              <w:t>14</w:t>
            </w:r>
            <w:r>
              <w:rPr>
                <w:color w:val="000000"/>
                <w:sz w:val="24"/>
                <w:szCs w:val="24"/>
              </w:rPr>
              <w:t>年</w:t>
            </w:r>
          </w:p>
        </w:tc>
        <w:tc>
          <w:tcPr>
            <w:tcW w:w="2673" w:type="dxa"/>
            <w:vAlign w:val="center"/>
          </w:tcPr>
          <w:p w:rsidR="009A67C9" w:rsidRDefault="00500AF3">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w:t>
            </w:r>
            <w:r>
              <w:rPr>
                <w:color w:val="000000"/>
                <w:sz w:val="24"/>
                <w:szCs w:val="24"/>
              </w:rPr>
              <w:lastRenderedPageBreak/>
              <w:t>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日担任交银施罗德丰硕收益债券型证券投资基金的基金经理。</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2019</w:t>
            </w:r>
            <w:r>
              <w:rPr>
                <w:color w:val="000000"/>
                <w:sz w:val="24"/>
                <w:szCs w:val="24"/>
              </w:rPr>
              <w:t>年</w:t>
            </w:r>
            <w:r>
              <w:rPr>
                <w:color w:val="000000"/>
                <w:sz w:val="24"/>
                <w:szCs w:val="24"/>
              </w:rPr>
              <w:t>3</w:t>
            </w:r>
            <w:r>
              <w:rPr>
                <w:color w:val="000000"/>
                <w:sz w:val="24"/>
                <w:szCs w:val="24"/>
              </w:rPr>
              <w:t>月</w:t>
            </w:r>
            <w:r>
              <w:rPr>
                <w:color w:val="000000"/>
                <w:sz w:val="24"/>
                <w:szCs w:val="24"/>
              </w:rPr>
              <w:t>14</w:t>
            </w:r>
            <w:r>
              <w:rPr>
                <w:color w:val="000000"/>
                <w:sz w:val="24"/>
                <w:szCs w:val="24"/>
              </w:rPr>
              <w:t>日担任</w:t>
            </w:r>
            <w:r>
              <w:rPr>
                <w:color w:val="000000"/>
                <w:sz w:val="24"/>
                <w:szCs w:val="24"/>
              </w:rPr>
              <w:lastRenderedPageBreak/>
              <w:t>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日至</w:t>
            </w:r>
            <w:r>
              <w:rPr>
                <w:color w:val="000000"/>
                <w:sz w:val="24"/>
                <w:szCs w:val="24"/>
              </w:rPr>
              <w:t>2020</w:t>
            </w:r>
            <w:r>
              <w:rPr>
                <w:color w:val="000000"/>
                <w:sz w:val="24"/>
                <w:szCs w:val="24"/>
              </w:rPr>
              <w:t>年</w:t>
            </w:r>
            <w:r>
              <w:rPr>
                <w:color w:val="000000"/>
                <w:sz w:val="24"/>
                <w:szCs w:val="24"/>
              </w:rPr>
              <w:t>8</w:t>
            </w:r>
            <w:r>
              <w:rPr>
                <w:color w:val="000000"/>
                <w:sz w:val="24"/>
                <w:szCs w:val="24"/>
              </w:rPr>
              <w:t>月</w:t>
            </w:r>
            <w:r>
              <w:rPr>
                <w:color w:val="000000"/>
                <w:sz w:val="24"/>
                <w:szCs w:val="24"/>
              </w:rPr>
              <w:t>21</w:t>
            </w:r>
            <w:r>
              <w:rPr>
                <w:color w:val="000000"/>
                <w:sz w:val="24"/>
                <w:szCs w:val="24"/>
              </w:rPr>
              <w:t>日担任交银施罗德丰盈收益债券型证券投资基金的基金经理。</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2020</w:t>
            </w:r>
            <w:r>
              <w:rPr>
                <w:color w:val="000000"/>
                <w:sz w:val="24"/>
                <w:szCs w:val="24"/>
              </w:rPr>
              <w:t>年</w:t>
            </w:r>
            <w:r>
              <w:rPr>
                <w:color w:val="000000"/>
                <w:sz w:val="24"/>
                <w:szCs w:val="24"/>
              </w:rPr>
              <w:t>8</w:t>
            </w:r>
            <w:r>
              <w:rPr>
                <w:color w:val="000000"/>
                <w:sz w:val="24"/>
                <w:szCs w:val="24"/>
              </w:rPr>
              <w:t>月</w:t>
            </w:r>
            <w:r>
              <w:rPr>
                <w:color w:val="000000"/>
                <w:sz w:val="24"/>
                <w:szCs w:val="24"/>
              </w:rPr>
              <w:t>21</w:t>
            </w:r>
            <w:r>
              <w:rPr>
                <w:color w:val="000000"/>
                <w:sz w:val="24"/>
                <w:szCs w:val="24"/>
              </w:rPr>
              <w:t>日担任交银施罗德增利债券证券投资基金的基金经理。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A67C9" w:rsidRDefault="00500AF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A67C9" w:rsidRDefault="00500AF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w:t>
      </w:r>
      <w:r>
        <w:rPr>
          <w:color w:val="000000"/>
          <w:sz w:val="24"/>
          <w:szCs w:val="24"/>
        </w:rPr>
        <w:lastRenderedPageBreak/>
        <w:t>进行分配。</w:t>
      </w:r>
    </w:p>
    <w:p w:rsidR="009A67C9" w:rsidRDefault="00500AF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A67C9" w:rsidRDefault="00500AF3">
      <w:pPr>
        <w:spacing w:before="29" w:line="288" w:lineRule="auto"/>
        <w:ind w:firstLineChars="200" w:firstLine="480"/>
        <w:rPr>
          <w:color w:val="000000"/>
          <w:sz w:val="24"/>
          <w:szCs w:val="24"/>
        </w:rPr>
      </w:pPr>
      <w:r>
        <w:rPr>
          <w:color w:val="000000"/>
          <w:sz w:val="24"/>
          <w:szCs w:val="24"/>
        </w:rPr>
        <w:t>回顾</w:t>
      </w:r>
      <w:r>
        <w:rPr>
          <w:color w:val="000000"/>
          <w:sz w:val="24"/>
          <w:szCs w:val="24"/>
        </w:rPr>
        <w:t>2020</w:t>
      </w:r>
      <w:r>
        <w:rPr>
          <w:color w:val="000000"/>
          <w:sz w:val="24"/>
          <w:szCs w:val="24"/>
        </w:rPr>
        <w:t>年三季度，债券收益率整体呈现震荡上行的趋势，从宏观数据来看，经济基本面走势在疫情之后出现了一定回暖态势，而在这种情况下，公开市场操作也进行了相应的节奏调整，在这种情况下，经济复苏预期下叠加货币政策回归中性，资金面呈现出阶段性紧张局面，债券市场弱势震荡。具体来看，本季度初，央行公开市场操作持续净回笼传递货币政策偏紧预期，一级市场供给压力导致市场供需问题明显，债券市场延续弱势调整。季度中期，债市在配置资金和避险情绪催化下开启一波反弹行情。进入季度末，在超储率低位的情况下，并受到假期因素的影响，资金面持续维持平衡偏紧格局，存单发行利率不断上行，带动曲线平坦化上行，考虑到票息因素，中短久期信用债配置需求恢复较好。</w:t>
      </w:r>
    </w:p>
    <w:p w:rsidR="009A67C9" w:rsidRDefault="00500AF3">
      <w:pPr>
        <w:spacing w:before="29" w:line="288" w:lineRule="auto"/>
        <w:ind w:firstLineChars="200" w:firstLine="480"/>
        <w:rPr>
          <w:color w:val="000000"/>
          <w:sz w:val="24"/>
          <w:szCs w:val="24"/>
        </w:rPr>
      </w:pPr>
      <w:r>
        <w:rPr>
          <w:color w:val="000000"/>
          <w:sz w:val="24"/>
          <w:szCs w:val="24"/>
        </w:rPr>
        <w:t>报告期内，组合以信用债为主要配置，基于对宏观经济和政策的判断，认为债券市场趋势性机会需要等待，组合适度降低了利率风险暴露，并把握票息机会，通过精选信用个券和保持一定的杠杆操作，增厚组合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国内基本面恢复的节奏和货币信用的边际变化将成为影响债市的主要因素。短期来看经济延续改善趋势、工业品价格上行压力增大，货币政策回归中性以及银行负债端压力较大等因素影响下，我们认为债券市场将维持震荡上行，趋势性机会仍需要等待。但随着年末供给压力减弱、信用增速放缓以及中美关系不确定性提升，债券市场或存在波段交易机会。操作策略方面，我们关注信用债的票息机会，进一步挖掘信用债投资机会，同时考虑到本基金为定期开放基金，在目前的市场收益率水平下，会适度提升组合的杠杆水平，以期提升组合整体静态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w:t>
      </w:r>
      <w:r w:rsidRPr="00414345">
        <w:rPr>
          <w:color w:val="000000"/>
          <w:sz w:val="24"/>
          <w:szCs w:val="24"/>
        </w:rPr>
        <w:lastRenderedPageBreak/>
        <w:t>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1,283,127,000.00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98.32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1,283,127,000.00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98.32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1,562,542.75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0.12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20,395,555.88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1,305,085,098.63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bookmarkStart w:id="0" w:name="_GoBack"/>
      <w:bookmarkEnd w:id="0"/>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700,410,000.00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69.80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700,410,000.00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69.80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229,024,000.00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22.83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353,693,000.00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35.25</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1,283,127,000.00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127.88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A67C9">
        <w:trPr>
          <w:jc w:val="center"/>
        </w:trPr>
        <w:tc>
          <w:tcPr>
            <w:tcW w:w="850" w:type="dxa"/>
            <w:vAlign w:val="center"/>
          </w:tcPr>
          <w:p w:rsidR="009A67C9" w:rsidRDefault="00500AF3">
            <w:pPr>
              <w:jc w:val="center"/>
            </w:pPr>
            <w:r>
              <w:rPr>
                <w:color w:val="000000"/>
                <w:sz w:val="24"/>
                <w:szCs w:val="24"/>
              </w:rPr>
              <w:t>1</w:t>
            </w:r>
          </w:p>
        </w:tc>
        <w:tc>
          <w:tcPr>
            <w:tcW w:w="1475" w:type="dxa"/>
            <w:vAlign w:val="center"/>
          </w:tcPr>
          <w:p w:rsidR="009A67C9" w:rsidRDefault="00500AF3">
            <w:pPr>
              <w:jc w:val="center"/>
            </w:pPr>
            <w:r>
              <w:rPr>
                <w:color w:val="000000"/>
                <w:sz w:val="24"/>
                <w:szCs w:val="24"/>
              </w:rPr>
              <w:t>190202</w:t>
            </w:r>
          </w:p>
        </w:tc>
        <w:tc>
          <w:tcPr>
            <w:tcW w:w="1769" w:type="dxa"/>
            <w:vAlign w:val="center"/>
          </w:tcPr>
          <w:p w:rsidR="009A67C9" w:rsidRDefault="00500AF3">
            <w:pPr>
              <w:jc w:val="center"/>
            </w:pPr>
            <w:r>
              <w:rPr>
                <w:color w:val="000000"/>
                <w:sz w:val="24"/>
                <w:szCs w:val="24"/>
              </w:rPr>
              <w:t>19</w:t>
            </w:r>
            <w:r>
              <w:rPr>
                <w:color w:val="000000"/>
                <w:sz w:val="24"/>
                <w:szCs w:val="24"/>
              </w:rPr>
              <w:t>国开</w:t>
            </w:r>
            <w:r>
              <w:rPr>
                <w:color w:val="000000"/>
                <w:sz w:val="24"/>
                <w:szCs w:val="24"/>
              </w:rPr>
              <w:t>02</w:t>
            </w:r>
          </w:p>
        </w:tc>
        <w:tc>
          <w:tcPr>
            <w:tcW w:w="1387" w:type="dxa"/>
            <w:vAlign w:val="center"/>
          </w:tcPr>
          <w:p w:rsidR="009A67C9" w:rsidRDefault="00500AF3">
            <w:pPr>
              <w:jc w:val="right"/>
            </w:pPr>
            <w:r>
              <w:rPr>
                <w:color w:val="000000"/>
                <w:sz w:val="24"/>
                <w:szCs w:val="24"/>
              </w:rPr>
              <w:t>4,000,000</w:t>
            </w:r>
          </w:p>
        </w:tc>
        <w:tc>
          <w:tcPr>
            <w:tcW w:w="2150" w:type="dxa"/>
            <w:vAlign w:val="center"/>
          </w:tcPr>
          <w:p w:rsidR="009A67C9" w:rsidRDefault="00500AF3">
            <w:pPr>
              <w:jc w:val="right"/>
            </w:pPr>
            <w:r>
              <w:rPr>
                <w:color w:val="000000"/>
                <w:sz w:val="24"/>
                <w:szCs w:val="24"/>
              </w:rPr>
              <w:t>400,320,000.00</w:t>
            </w:r>
          </w:p>
        </w:tc>
        <w:tc>
          <w:tcPr>
            <w:tcW w:w="1237" w:type="dxa"/>
            <w:vAlign w:val="center"/>
          </w:tcPr>
          <w:p w:rsidR="009A67C9" w:rsidRDefault="00500AF3">
            <w:pPr>
              <w:jc w:val="right"/>
            </w:pPr>
            <w:r>
              <w:rPr>
                <w:color w:val="000000"/>
                <w:sz w:val="24"/>
                <w:szCs w:val="24"/>
              </w:rPr>
              <w:t>39.90</w:t>
            </w:r>
          </w:p>
        </w:tc>
      </w:tr>
      <w:tr w:rsidR="009A67C9">
        <w:trPr>
          <w:jc w:val="center"/>
        </w:trPr>
        <w:tc>
          <w:tcPr>
            <w:tcW w:w="850" w:type="dxa"/>
            <w:vAlign w:val="center"/>
          </w:tcPr>
          <w:p w:rsidR="009A67C9" w:rsidRDefault="00500AF3">
            <w:pPr>
              <w:jc w:val="center"/>
            </w:pPr>
            <w:r>
              <w:rPr>
                <w:color w:val="000000"/>
                <w:sz w:val="24"/>
                <w:szCs w:val="24"/>
              </w:rPr>
              <w:t>2</w:t>
            </w:r>
          </w:p>
        </w:tc>
        <w:tc>
          <w:tcPr>
            <w:tcW w:w="1475" w:type="dxa"/>
            <w:vAlign w:val="center"/>
          </w:tcPr>
          <w:p w:rsidR="009A67C9" w:rsidRDefault="00500AF3">
            <w:pPr>
              <w:jc w:val="center"/>
            </w:pPr>
            <w:r>
              <w:rPr>
                <w:color w:val="000000"/>
                <w:sz w:val="24"/>
                <w:szCs w:val="24"/>
              </w:rPr>
              <w:t>190207</w:t>
            </w:r>
          </w:p>
        </w:tc>
        <w:tc>
          <w:tcPr>
            <w:tcW w:w="1769" w:type="dxa"/>
            <w:vAlign w:val="center"/>
          </w:tcPr>
          <w:p w:rsidR="009A67C9" w:rsidRDefault="00500AF3">
            <w:pPr>
              <w:jc w:val="center"/>
            </w:pPr>
            <w:r>
              <w:rPr>
                <w:color w:val="000000"/>
                <w:sz w:val="24"/>
                <w:szCs w:val="24"/>
              </w:rPr>
              <w:t>19</w:t>
            </w:r>
            <w:r>
              <w:rPr>
                <w:color w:val="000000"/>
                <w:sz w:val="24"/>
                <w:szCs w:val="24"/>
              </w:rPr>
              <w:t>国开</w:t>
            </w:r>
            <w:r>
              <w:rPr>
                <w:color w:val="000000"/>
                <w:sz w:val="24"/>
                <w:szCs w:val="24"/>
              </w:rPr>
              <w:t>07</w:t>
            </w:r>
          </w:p>
        </w:tc>
        <w:tc>
          <w:tcPr>
            <w:tcW w:w="1387" w:type="dxa"/>
            <w:vAlign w:val="center"/>
          </w:tcPr>
          <w:p w:rsidR="009A67C9" w:rsidRDefault="00500AF3">
            <w:pPr>
              <w:jc w:val="right"/>
            </w:pPr>
            <w:r>
              <w:rPr>
                <w:color w:val="000000"/>
                <w:sz w:val="24"/>
                <w:szCs w:val="24"/>
              </w:rPr>
              <w:t>3,000,000</w:t>
            </w:r>
          </w:p>
        </w:tc>
        <w:tc>
          <w:tcPr>
            <w:tcW w:w="2150" w:type="dxa"/>
            <w:vAlign w:val="center"/>
          </w:tcPr>
          <w:p w:rsidR="009A67C9" w:rsidRDefault="00500AF3">
            <w:pPr>
              <w:jc w:val="right"/>
            </w:pPr>
            <w:r>
              <w:rPr>
                <w:color w:val="000000"/>
                <w:sz w:val="24"/>
                <w:szCs w:val="24"/>
              </w:rPr>
              <w:t>300,090,000.00</w:t>
            </w:r>
          </w:p>
        </w:tc>
        <w:tc>
          <w:tcPr>
            <w:tcW w:w="1237" w:type="dxa"/>
            <w:vAlign w:val="center"/>
          </w:tcPr>
          <w:p w:rsidR="009A67C9" w:rsidRDefault="00500AF3">
            <w:pPr>
              <w:jc w:val="right"/>
            </w:pPr>
            <w:r>
              <w:rPr>
                <w:color w:val="000000"/>
                <w:sz w:val="24"/>
                <w:szCs w:val="24"/>
              </w:rPr>
              <w:t>29.91</w:t>
            </w:r>
          </w:p>
        </w:tc>
      </w:tr>
      <w:tr w:rsidR="009A67C9">
        <w:trPr>
          <w:jc w:val="center"/>
        </w:trPr>
        <w:tc>
          <w:tcPr>
            <w:tcW w:w="850" w:type="dxa"/>
            <w:vAlign w:val="center"/>
          </w:tcPr>
          <w:p w:rsidR="009A67C9" w:rsidRDefault="00500AF3">
            <w:pPr>
              <w:jc w:val="center"/>
            </w:pPr>
            <w:r>
              <w:rPr>
                <w:color w:val="000000"/>
                <w:sz w:val="24"/>
                <w:szCs w:val="24"/>
              </w:rPr>
              <w:t>3</w:t>
            </w:r>
          </w:p>
        </w:tc>
        <w:tc>
          <w:tcPr>
            <w:tcW w:w="1475" w:type="dxa"/>
            <w:vAlign w:val="center"/>
          </w:tcPr>
          <w:p w:rsidR="009A67C9" w:rsidRDefault="00500AF3">
            <w:pPr>
              <w:jc w:val="center"/>
            </w:pPr>
            <w:r>
              <w:rPr>
                <w:color w:val="000000"/>
                <w:sz w:val="24"/>
                <w:szCs w:val="24"/>
              </w:rPr>
              <w:t>102000524</w:t>
            </w:r>
          </w:p>
        </w:tc>
        <w:tc>
          <w:tcPr>
            <w:tcW w:w="1769" w:type="dxa"/>
            <w:vAlign w:val="center"/>
          </w:tcPr>
          <w:p w:rsidR="009A67C9" w:rsidRDefault="00500AF3">
            <w:pPr>
              <w:jc w:val="center"/>
            </w:pPr>
            <w:r>
              <w:rPr>
                <w:color w:val="000000"/>
                <w:sz w:val="24"/>
                <w:szCs w:val="24"/>
              </w:rPr>
              <w:t>20</w:t>
            </w:r>
            <w:r>
              <w:rPr>
                <w:color w:val="000000"/>
                <w:sz w:val="24"/>
                <w:szCs w:val="24"/>
              </w:rPr>
              <w:t>申通</w:t>
            </w:r>
            <w:r>
              <w:rPr>
                <w:color w:val="000000"/>
                <w:sz w:val="24"/>
                <w:szCs w:val="24"/>
              </w:rPr>
              <w:t>MTN001</w:t>
            </w:r>
          </w:p>
        </w:tc>
        <w:tc>
          <w:tcPr>
            <w:tcW w:w="1387" w:type="dxa"/>
            <w:vAlign w:val="center"/>
          </w:tcPr>
          <w:p w:rsidR="009A67C9" w:rsidRDefault="00500AF3">
            <w:pPr>
              <w:jc w:val="right"/>
            </w:pPr>
            <w:r>
              <w:rPr>
                <w:color w:val="000000"/>
                <w:sz w:val="24"/>
                <w:szCs w:val="24"/>
              </w:rPr>
              <w:t>1,000,000</w:t>
            </w:r>
          </w:p>
        </w:tc>
        <w:tc>
          <w:tcPr>
            <w:tcW w:w="2150" w:type="dxa"/>
            <w:vAlign w:val="center"/>
          </w:tcPr>
          <w:p w:rsidR="009A67C9" w:rsidRDefault="00500AF3">
            <w:pPr>
              <w:jc w:val="right"/>
            </w:pPr>
            <w:r>
              <w:rPr>
                <w:color w:val="000000"/>
                <w:sz w:val="24"/>
                <w:szCs w:val="24"/>
              </w:rPr>
              <w:t>99,090,000.00</w:t>
            </w:r>
          </w:p>
        </w:tc>
        <w:tc>
          <w:tcPr>
            <w:tcW w:w="1237" w:type="dxa"/>
            <w:vAlign w:val="center"/>
          </w:tcPr>
          <w:p w:rsidR="009A67C9" w:rsidRDefault="00500AF3">
            <w:pPr>
              <w:jc w:val="right"/>
            </w:pPr>
            <w:r>
              <w:rPr>
                <w:color w:val="000000"/>
                <w:sz w:val="24"/>
                <w:szCs w:val="24"/>
              </w:rPr>
              <w:t>9.88</w:t>
            </w:r>
          </w:p>
        </w:tc>
      </w:tr>
      <w:tr w:rsidR="009A67C9">
        <w:trPr>
          <w:jc w:val="center"/>
        </w:trPr>
        <w:tc>
          <w:tcPr>
            <w:tcW w:w="850" w:type="dxa"/>
            <w:vAlign w:val="center"/>
          </w:tcPr>
          <w:p w:rsidR="009A67C9" w:rsidRDefault="00500AF3">
            <w:pPr>
              <w:jc w:val="center"/>
            </w:pPr>
            <w:r>
              <w:rPr>
                <w:color w:val="000000"/>
                <w:sz w:val="24"/>
                <w:szCs w:val="24"/>
              </w:rPr>
              <w:t>4</w:t>
            </w:r>
          </w:p>
        </w:tc>
        <w:tc>
          <w:tcPr>
            <w:tcW w:w="1475" w:type="dxa"/>
            <w:vAlign w:val="center"/>
          </w:tcPr>
          <w:p w:rsidR="009A67C9" w:rsidRDefault="00500AF3">
            <w:pPr>
              <w:jc w:val="center"/>
            </w:pPr>
            <w:r>
              <w:rPr>
                <w:color w:val="000000"/>
                <w:sz w:val="24"/>
                <w:szCs w:val="24"/>
              </w:rPr>
              <w:t>163246</w:t>
            </w:r>
          </w:p>
        </w:tc>
        <w:tc>
          <w:tcPr>
            <w:tcW w:w="1769" w:type="dxa"/>
            <w:vAlign w:val="center"/>
          </w:tcPr>
          <w:p w:rsidR="009A67C9" w:rsidRDefault="00500AF3">
            <w:pPr>
              <w:jc w:val="center"/>
            </w:pPr>
            <w:r>
              <w:rPr>
                <w:color w:val="000000"/>
                <w:sz w:val="24"/>
                <w:szCs w:val="24"/>
              </w:rPr>
              <w:t>20</w:t>
            </w:r>
            <w:r>
              <w:rPr>
                <w:color w:val="000000"/>
                <w:sz w:val="24"/>
                <w:szCs w:val="24"/>
              </w:rPr>
              <w:t>上国投</w:t>
            </w:r>
          </w:p>
        </w:tc>
        <w:tc>
          <w:tcPr>
            <w:tcW w:w="1387" w:type="dxa"/>
            <w:vAlign w:val="center"/>
          </w:tcPr>
          <w:p w:rsidR="009A67C9" w:rsidRDefault="00500AF3">
            <w:pPr>
              <w:jc w:val="right"/>
            </w:pPr>
            <w:r>
              <w:rPr>
                <w:color w:val="000000"/>
                <w:sz w:val="24"/>
                <w:szCs w:val="24"/>
              </w:rPr>
              <w:t>800,000</w:t>
            </w:r>
          </w:p>
        </w:tc>
        <w:tc>
          <w:tcPr>
            <w:tcW w:w="2150" w:type="dxa"/>
            <w:vAlign w:val="center"/>
          </w:tcPr>
          <w:p w:rsidR="009A67C9" w:rsidRDefault="00500AF3">
            <w:pPr>
              <w:jc w:val="right"/>
            </w:pPr>
            <w:r>
              <w:rPr>
                <w:color w:val="000000"/>
                <w:sz w:val="24"/>
                <w:szCs w:val="24"/>
              </w:rPr>
              <w:t>78,680,000.00</w:t>
            </w:r>
          </w:p>
        </w:tc>
        <w:tc>
          <w:tcPr>
            <w:tcW w:w="1237" w:type="dxa"/>
            <w:vAlign w:val="center"/>
          </w:tcPr>
          <w:p w:rsidR="009A67C9" w:rsidRDefault="00500AF3">
            <w:pPr>
              <w:jc w:val="right"/>
            </w:pPr>
            <w:r>
              <w:rPr>
                <w:color w:val="000000"/>
                <w:sz w:val="24"/>
                <w:szCs w:val="24"/>
              </w:rPr>
              <w:t>7.84</w:t>
            </w:r>
          </w:p>
        </w:tc>
      </w:tr>
      <w:tr w:rsidR="009A67C9">
        <w:trPr>
          <w:jc w:val="center"/>
        </w:trPr>
        <w:tc>
          <w:tcPr>
            <w:tcW w:w="850" w:type="dxa"/>
            <w:vAlign w:val="center"/>
          </w:tcPr>
          <w:p w:rsidR="009A67C9" w:rsidRDefault="00500AF3">
            <w:pPr>
              <w:jc w:val="center"/>
            </w:pPr>
            <w:r>
              <w:rPr>
                <w:color w:val="000000"/>
                <w:sz w:val="24"/>
                <w:szCs w:val="24"/>
              </w:rPr>
              <w:t>5</w:t>
            </w:r>
          </w:p>
        </w:tc>
        <w:tc>
          <w:tcPr>
            <w:tcW w:w="1475" w:type="dxa"/>
            <w:vAlign w:val="center"/>
          </w:tcPr>
          <w:p w:rsidR="009A67C9" w:rsidRDefault="00500AF3">
            <w:pPr>
              <w:jc w:val="center"/>
            </w:pPr>
            <w:r>
              <w:rPr>
                <w:color w:val="000000"/>
                <w:sz w:val="24"/>
                <w:szCs w:val="24"/>
              </w:rPr>
              <w:t>149191</w:t>
            </w:r>
          </w:p>
        </w:tc>
        <w:tc>
          <w:tcPr>
            <w:tcW w:w="1769" w:type="dxa"/>
            <w:vAlign w:val="center"/>
          </w:tcPr>
          <w:p w:rsidR="009A67C9" w:rsidRDefault="00500AF3">
            <w:pPr>
              <w:jc w:val="center"/>
            </w:pPr>
            <w:r>
              <w:rPr>
                <w:color w:val="000000"/>
                <w:sz w:val="24"/>
                <w:szCs w:val="24"/>
              </w:rPr>
              <w:t>20</w:t>
            </w:r>
            <w:r>
              <w:rPr>
                <w:color w:val="000000"/>
                <w:sz w:val="24"/>
                <w:szCs w:val="24"/>
              </w:rPr>
              <w:t>广物</w:t>
            </w:r>
            <w:r>
              <w:rPr>
                <w:color w:val="000000"/>
                <w:sz w:val="24"/>
                <w:szCs w:val="24"/>
              </w:rPr>
              <w:t>02</w:t>
            </w:r>
          </w:p>
        </w:tc>
        <w:tc>
          <w:tcPr>
            <w:tcW w:w="1387" w:type="dxa"/>
            <w:vAlign w:val="center"/>
          </w:tcPr>
          <w:p w:rsidR="009A67C9" w:rsidRDefault="00500AF3">
            <w:pPr>
              <w:jc w:val="right"/>
            </w:pPr>
            <w:r>
              <w:rPr>
                <w:color w:val="000000"/>
                <w:sz w:val="24"/>
                <w:szCs w:val="24"/>
              </w:rPr>
              <w:t>700,000</w:t>
            </w:r>
          </w:p>
        </w:tc>
        <w:tc>
          <w:tcPr>
            <w:tcW w:w="2150" w:type="dxa"/>
            <w:vAlign w:val="center"/>
          </w:tcPr>
          <w:p w:rsidR="009A67C9" w:rsidRDefault="00500AF3">
            <w:pPr>
              <w:jc w:val="right"/>
            </w:pPr>
            <w:r>
              <w:rPr>
                <w:color w:val="000000"/>
                <w:sz w:val="24"/>
                <w:szCs w:val="24"/>
              </w:rPr>
              <w:t>69,902,000.00</w:t>
            </w:r>
          </w:p>
        </w:tc>
        <w:tc>
          <w:tcPr>
            <w:tcW w:w="1237" w:type="dxa"/>
            <w:vAlign w:val="center"/>
          </w:tcPr>
          <w:p w:rsidR="009A67C9" w:rsidRDefault="00500AF3">
            <w:pPr>
              <w:jc w:val="right"/>
            </w:pPr>
            <w:r>
              <w:rPr>
                <w:color w:val="000000"/>
                <w:sz w:val="24"/>
                <w:szCs w:val="24"/>
              </w:rPr>
              <w:t>6.97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5,682.60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20,389,873.28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20,395,555.88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999,999,000.00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999,999,000.00</w:t>
            </w:r>
          </w:p>
        </w:tc>
      </w:tr>
    </w:tbl>
    <w:p w:rsidR="009A67C9" w:rsidRDefault="00500AF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10,000,000.00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10,000,000.00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1.00</w:t>
            </w:r>
          </w:p>
        </w:tc>
      </w:tr>
    </w:tbl>
    <w:p w:rsidR="009A67C9" w:rsidRDefault="00500AF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D21FFF" w:rsidRPr="00414345" w:rsidRDefault="00D21FFF"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6423B9" w:rsidRPr="00414345">
        <w:rPr>
          <w:color w:val="000000"/>
          <w:kern w:val="0"/>
          <w:sz w:val="24"/>
          <w:szCs w:val="24"/>
        </w:rPr>
        <w:t>8</w:t>
      </w:r>
      <w:r w:rsidR="00834E74">
        <w:rPr>
          <w:color w:val="000000"/>
          <w:kern w:val="0"/>
          <w:sz w:val="24"/>
          <w:szCs w:val="24"/>
        </w:rPr>
        <w:t xml:space="preserve">  </w:t>
      </w:r>
      <w:r w:rsidR="003307FE" w:rsidRPr="00414345">
        <w:rPr>
          <w:color w:val="000000"/>
          <w:kern w:val="0"/>
          <w:sz w:val="24"/>
          <w:szCs w:val="24"/>
        </w:rPr>
        <w:t>报告期末</w:t>
      </w:r>
      <w:r w:rsidRPr="00414345">
        <w:rPr>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2387"/>
        <w:gridCol w:w="1156"/>
        <w:gridCol w:w="1312"/>
        <w:gridCol w:w="1064"/>
        <w:gridCol w:w="1456"/>
        <w:gridCol w:w="1493"/>
      </w:tblGrid>
      <w:tr w:rsidR="00D21FFF" w:rsidRPr="00414345" w:rsidTr="00AB4DB6">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发起份额承诺持有期限</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10,000,000.00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不少于三年</w:t>
            </w:r>
          </w:p>
        </w:tc>
      </w:tr>
      <w:tr w:rsidR="00D21FFF" w:rsidRPr="00414345" w:rsidTr="00AB4DB6">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10,000,000.00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bl>
    <w:p w:rsidR="005B09FA" w:rsidRPr="00414345" w:rsidRDefault="005B09FA" w:rsidP="00C15CAC">
      <w:pPr>
        <w:autoSpaceDE w:val="0"/>
        <w:autoSpaceDN w:val="0"/>
        <w:adjustRightInd w:val="0"/>
        <w:spacing w:before="29" w:line="288" w:lineRule="auto"/>
        <w:jc w:val="left"/>
        <w:rPr>
          <w:color w:val="000000"/>
          <w:sz w:val="24"/>
          <w:szCs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9A67C9">
        <w:tc>
          <w:tcPr>
            <w:tcW w:w="993" w:type="dxa"/>
            <w:vMerge w:val="restart"/>
          </w:tcPr>
          <w:p w:rsidR="009A67C9" w:rsidRDefault="009A67C9"/>
          <w:p w:rsidR="009A67C9" w:rsidRDefault="00500AF3">
            <w:r>
              <w:rPr>
                <w:rFonts w:ascii="宋体" w:hAnsi="宋体" w:hint="eastAsia"/>
                <w:bCs/>
                <w:color w:val="000000"/>
                <w:kern w:val="0"/>
              </w:rPr>
              <w:t>机构</w:t>
            </w:r>
          </w:p>
        </w:tc>
        <w:tc>
          <w:tcPr>
            <w:tcW w:w="992" w:type="dxa"/>
            <w:vAlign w:val="center"/>
          </w:tcPr>
          <w:p w:rsidR="009A67C9" w:rsidRDefault="00500AF3">
            <w:pPr>
              <w:jc w:val="center"/>
            </w:pPr>
            <w:r>
              <w:rPr>
                <w:rFonts w:ascii="宋体" w:hAnsi="宋体"/>
                <w:color w:val="000000"/>
                <w:kern w:val="0"/>
              </w:rPr>
              <w:t>1</w:t>
            </w:r>
          </w:p>
        </w:tc>
        <w:tc>
          <w:tcPr>
            <w:tcW w:w="1843" w:type="dxa"/>
            <w:vAlign w:val="center"/>
          </w:tcPr>
          <w:p w:rsidR="009A67C9" w:rsidRDefault="00500AF3">
            <w:pPr>
              <w:jc w:val="center"/>
            </w:pPr>
            <w:r>
              <w:rPr>
                <w:rFonts w:ascii="宋体" w:hAnsi="宋体"/>
                <w:color w:val="000000"/>
                <w:kern w:val="0"/>
              </w:rPr>
              <w:t>2020/7/1-2020/9/30</w:t>
            </w:r>
          </w:p>
        </w:tc>
        <w:tc>
          <w:tcPr>
            <w:tcW w:w="851" w:type="dxa"/>
            <w:vAlign w:val="center"/>
          </w:tcPr>
          <w:p w:rsidR="009A67C9" w:rsidRDefault="00500AF3">
            <w:pPr>
              <w:jc w:val="center"/>
            </w:pPr>
            <w:r>
              <w:rPr>
                <w:rFonts w:ascii="宋体" w:hAnsi="宋体"/>
                <w:color w:val="000000"/>
                <w:kern w:val="0"/>
              </w:rPr>
              <w:t>989,999,000.00</w:t>
            </w:r>
          </w:p>
        </w:tc>
        <w:tc>
          <w:tcPr>
            <w:tcW w:w="850" w:type="dxa"/>
            <w:vAlign w:val="center"/>
          </w:tcPr>
          <w:p w:rsidR="009A67C9" w:rsidRDefault="00500AF3">
            <w:pPr>
              <w:jc w:val="center"/>
            </w:pPr>
            <w:r>
              <w:rPr>
                <w:rFonts w:ascii="宋体" w:hAnsi="宋体"/>
                <w:color w:val="000000"/>
                <w:kern w:val="0"/>
              </w:rPr>
              <w:t>-</w:t>
            </w:r>
          </w:p>
        </w:tc>
        <w:tc>
          <w:tcPr>
            <w:tcW w:w="1134" w:type="dxa"/>
            <w:vAlign w:val="center"/>
          </w:tcPr>
          <w:p w:rsidR="009A67C9" w:rsidRDefault="00500AF3">
            <w:pPr>
              <w:jc w:val="center"/>
            </w:pPr>
            <w:r>
              <w:rPr>
                <w:rFonts w:ascii="宋体" w:hAnsi="宋体"/>
                <w:color w:val="000000"/>
                <w:kern w:val="0"/>
              </w:rPr>
              <w:t>-</w:t>
            </w:r>
          </w:p>
        </w:tc>
        <w:tc>
          <w:tcPr>
            <w:tcW w:w="1419" w:type="dxa"/>
            <w:vAlign w:val="center"/>
          </w:tcPr>
          <w:p w:rsidR="009A67C9" w:rsidRDefault="00500AF3">
            <w:pPr>
              <w:jc w:val="center"/>
            </w:pPr>
            <w:r>
              <w:rPr>
                <w:rFonts w:ascii="宋体" w:hAnsi="宋体"/>
                <w:color w:val="000000"/>
                <w:kern w:val="0"/>
              </w:rPr>
              <w:t>989,999,000.00</w:t>
            </w:r>
          </w:p>
        </w:tc>
        <w:tc>
          <w:tcPr>
            <w:tcW w:w="1130" w:type="dxa"/>
            <w:vAlign w:val="center"/>
          </w:tcPr>
          <w:p w:rsidR="009A67C9" w:rsidRDefault="00500AF3">
            <w:pPr>
              <w:jc w:val="center"/>
            </w:pPr>
            <w:r>
              <w:rPr>
                <w:rFonts w:ascii="宋体" w:hAnsi="宋体"/>
                <w:color w:val="000000"/>
                <w:kern w:val="0"/>
              </w:rPr>
              <w:t>99.00%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A67C9" w:rsidRDefault="00500AF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、中国证监会准予交银施罗德裕坤纯债一年定期开放债券型发起式证券投资基金募集注册的文件；</w:t>
      </w:r>
      <w:r>
        <w:rPr>
          <w:color w:val="000000"/>
          <w:sz w:val="24"/>
          <w:szCs w:val="24"/>
        </w:rPr>
        <w:t xml:space="preserve"> </w:t>
      </w:r>
    </w:p>
    <w:p w:rsidR="009A67C9" w:rsidRDefault="00500AF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、《交银施罗德裕坤纯债一年定期开放债券型发起式证券投资基金基金合同》；</w:t>
      </w:r>
      <w:r>
        <w:rPr>
          <w:color w:val="000000"/>
          <w:sz w:val="24"/>
          <w:szCs w:val="24"/>
        </w:rPr>
        <w:t xml:space="preserve"> </w:t>
      </w:r>
    </w:p>
    <w:p w:rsidR="009A67C9" w:rsidRDefault="00500AF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、《交银施罗德裕坤纯债一年定期开放债券型发起式证券投资基金招募说明书》；</w:t>
      </w:r>
      <w:r>
        <w:rPr>
          <w:color w:val="000000"/>
          <w:sz w:val="24"/>
          <w:szCs w:val="24"/>
        </w:rPr>
        <w:t xml:space="preserve"> </w:t>
      </w:r>
    </w:p>
    <w:p w:rsidR="009A67C9" w:rsidRDefault="00500AF3">
      <w:pPr>
        <w:spacing w:before="29" w:line="288" w:lineRule="auto"/>
        <w:ind w:firstLineChars="200" w:firstLine="480"/>
        <w:rPr>
          <w:color w:val="000000"/>
          <w:sz w:val="24"/>
          <w:szCs w:val="24"/>
        </w:rPr>
      </w:pPr>
      <w:r>
        <w:rPr>
          <w:color w:val="000000"/>
          <w:sz w:val="24"/>
          <w:szCs w:val="24"/>
        </w:rPr>
        <w:lastRenderedPageBreak/>
        <w:t>4</w:t>
      </w:r>
      <w:r>
        <w:rPr>
          <w:color w:val="000000"/>
          <w:sz w:val="24"/>
          <w:szCs w:val="24"/>
        </w:rPr>
        <w:t>、《交银施罗德裕坤纯债一年定期开放债券型发起式证券投资基金托管协议》；</w:t>
      </w:r>
      <w:r>
        <w:rPr>
          <w:color w:val="000000"/>
          <w:sz w:val="24"/>
          <w:szCs w:val="24"/>
        </w:rPr>
        <w:t xml:space="preserve"> </w:t>
      </w:r>
    </w:p>
    <w:p w:rsidR="009A67C9" w:rsidRDefault="00500AF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、关于申请募集注册交银施罗德裕坤纯债一年定期开放债券型发起式证券投资基金的法律意见书；</w:t>
      </w:r>
      <w:r>
        <w:rPr>
          <w:color w:val="000000"/>
          <w:sz w:val="24"/>
          <w:szCs w:val="24"/>
        </w:rPr>
        <w:t xml:space="preserve"> </w:t>
      </w:r>
    </w:p>
    <w:p w:rsidR="009A67C9" w:rsidRDefault="00500AF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A67C9" w:rsidRDefault="00500AF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、报告期内交银施罗德裕坤纯债一年定期开放债券型发起式证券投资基金在指定报刊上各项公告的原稿。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A67C9" w:rsidRDefault="00500AF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999" w:rsidRDefault="00FF4999" w:rsidP="00876D65">
      <w:r>
        <w:separator/>
      </w:r>
    </w:p>
  </w:endnote>
  <w:endnote w:type="continuationSeparator" w:id="0">
    <w:p w:rsidR="00FF4999" w:rsidRDefault="00FF499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C63CF5">
      <w:rPr>
        <w:noProof/>
        <w:kern w:val="0"/>
        <w:szCs w:val="21"/>
      </w:rPr>
      <w:t>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C63CF5">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999" w:rsidRDefault="00FF4999" w:rsidP="00876D65">
      <w:r>
        <w:separator/>
      </w:r>
    </w:p>
  </w:footnote>
  <w:footnote w:type="continuationSeparator" w:id="0">
    <w:p w:rsidR="00FF4999" w:rsidRDefault="00FF499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交银施罗德裕坤纯债一年定期开放债券型发起式证券投资基金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00AF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46C2"/>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A67C9"/>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3CF5"/>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4999"/>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F3298-0AA8-43AF-8BFD-0271D3250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曹国良</cp:lastModifiedBy>
  <cp:revision>603</cp:revision>
  <dcterms:created xsi:type="dcterms:W3CDTF">2012-10-16T06:07:00Z</dcterms:created>
  <dcterms:modified xsi:type="dcterms:W3CDTF">2020-10-19T09:15:00Z</dcterms:modified>
</cp:coreProperties>
</file>