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交银施罗德创新成长混合型证券投资基金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交银创新成长混合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006223</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006223</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2018年9月27日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469,585,985.83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本基金通过优化资产配置和灵活运用多种投资策略，把握港股通资本市场开放政策下的投资机会，力争实现基金资产的稳定增值。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沪深300指数收益率×50%+恒生指数收益率×30%+中证综合债券指数收益率×20%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75,206,194.41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68,010,827.83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0.1678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1,043,946,350.91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2.2231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9.23%</w:t>
            </w:r>
          </w:p>
        </w:tc>
        <w:tc>
          <w:tcPr>
            <w:vAlign w:val="center"/>
          </w:tcPr>
          <w:p>
            <w:pPr>
              <w:jc w:val="center"/>
            </w:pPr>
            <w:r>
              <w:rPr>
                <w:color w:val="000000"/>
                <w:sz w:val="24"/>
                <w:szCs w:val="24"/>
              </w:rPr>
              <w:t>1.68%</w:t>
            </w:r>
          </w:p>
        </w:tc>
        <w:tc>
          <w:tcPr>
            <w:vAlign w:val="center"/>
          </w:tcPr>
          <w:p>
            <w:pPr>
              <w:jc w:val="center"/>
            </w:pPr>
            <w:r>
              <w:rPr>
                <w:color w:val="000000"/>
                <w:sz w:val="24"/>
                <w:szCs w:val="24"/>
              </w:rPr>
              <w:t>3.79%</w:t>
            </w:r>
          </w:p>
        </w:tc>
        <w:tc>
          <w:tcPr>
            <w:vAlign w:val="center"/>
          </w:tcPr>
          <w:p>
            <w:pPr>
              <w:jc w:val="center"/>
            </w:pPr>
            <w:r>
              <w:rPr>
                <w:color w:val="000000"/>
                <w:sz w:val="24"/>
                <w:szCs w:val="24"/>
              </w:rPr>
              <w:t>1.06%</w:t>
            </w:r>
          </w:p>
        </w:tc>
        <w:tc>
          <w:tcPr>
            <w:vAlign w:val="center"/>
          </w:tcPr>
          <w:p>
            <w:pPr>
              <w:jc w:val="center"/>
            </w:pPr>
            <w:r>
              <w:rPr>
                <w:color w:val="000000"/>
                <w:sz w:val="24"/>
                <w:szCs w:val="24"/>
              </w:rPr>
              <w:t>5.44%</w:t>
            </w:r>
          </w:p>
        </w:tc>
        <w:tc>
          <w:tcPr>
            <w:vAlign w:val="center"/>
          </w:tcPr>
          <w:p>
            <w:pPr>
              <w:jc w:val="center"/>
            </w:pPr>
            <w:r>
              <w:rPr>
                <w:color w:val="000000"/>
                <w:sz w:val="24"/>
                <w:szCs w:val="24"/>
              </w:rPr>
              <w:t>0.62%</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38.53%</w:t>
            </w:r>
          </w:p>
        </w:tc>
        <w:tc>
          <w:tcPr>
            <w:vAlign w:val="center"/>
          </w:tcPr>
          <w:p>
            <w:pPr>
              <w:jc w:val="center"/>
            </w:pPr>
            <w:r>
              <w:rPr>
                <w:color w:val="000000"/>
                <w:sz w:val="24"/>
                <w:szCs w:val="24"/>
              </w:rPr>
              <w:t>1.46%</w:t>
            </w:r>
          </w:p>
        </w:tc>
        <w:tc>
          <w:tcPr>
            <w:vAlign w:val="center"/>
          </w:tcPr>
          <w:p>
            <w:pPr>
              <w:jc w:val="center"/>
            </w:pPr>
            <w:r>
              <w:rPr>
                <w:color w:val="000000"/>
                <w:sz w:val="24"/>
                <w:szCs w:val="24"/>
              </w:rPr>
              <w:t>11.52%</w:t>
            </w:r>
          </w:p>
        </w:tc>
        <w:tc>
          <w:tcPr>
            <w:vAlign w:val="center"/>
          </w:tcPr>
          <w:p>
            <w:pPr>
              <w:jc w:val="center"/>
            </w:pPr>
            <w:r>
              <w:rPr>
                <w:color w:val="000000"/>
                <w:sz w:val="24"/>
                <w:szCs w:val="24"/>
              </w:rPr>
              <w:t>0.97%</w:t>
            </w:r>
          </w:p>
        </w:tc>
        <w:tc>
          <w:tcPr>
            <w:vAlign w:val="center"/>
          </w:tcPr>
          <w:p>
            <w:pPr>
              <w:jc w:val="center"/>
            </w:pPr>
            <w:r>
              <w:rPr>
                <w:color w:val="000000"/>
                <w:sz w:val="24"/>
                <w:szCs w:val="24"/>
              </w:rPr>
              <w:t>27.01%</w:t>
            </w:r>
          </w:p>
        </w:tc>
        <w:tc>
          <w:tcPr>
            <w:vAlign w:val="center"/>
          </w:tcPr>
          <w:p>
            <w:pPr>
              <w:jc w:val="center"/>
            </w:pPr>
            <w:r>
              <w:rPr>
                <w:color w:val="000000"/>
                <w:sz w:val="24"/>
                <w:szCs w:val="24"/>
              </w:rPr>
              <w:t>0.49%</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66.35%</w:t>
            </w:r>
          </w:p>
        </w:tc>
        <w:tc>
          <w:tcPr>
            <w:vAlign w:val="center"/>
          </w:tcPr>
          <w:p>
            <w:pPr>
              <w:jc w:val="center"/>
            </w:pPr>
            <w:r>
              <w:rPr>
                <w:color w:val="000000"/>
                <w:sz w:val="24"/>
                <w:szCs w:val="24"/>
              </w:rPr>
              <w:t>1.57%</w:t>
            </w:r>
          </w:p>
        </w:tc>
        <w:tc>
          <w:tcPr>
            <w:vAlign w:val="center"/>
          </w:tcPr>
          <w:p>
            <w:pPr>
              <w:jc w:val="center"/>
            </w:pPr>
            <w:r>
              <w:rPr>
                <w:color w:val="000000"/>
                <w:sz w:val="24"/>
                <w:szCs w:val="24"/>
              </w:rPr>
              <w:t>7.53%</w:t>
            </w:r>
          </w:p>
        </w:tc>
        <w:tc>
          <w:tcPr>
            <w:vAlign w:val="center"/>
          </w:tcPr>
          <w:p>
            <w:pPr>
              <w:jc w:val="center"/>
            </w:pPr>
            <w:r>
              <w:rPr>
                <w:color w:val="000000"/>
                <w:sz w:val="24"/>
                <w:szCs w:val="24"/>
              </w:rPr>
              <w:t>1.06%</w:t>
            </w:r>
          </w:p>
        </w:tc>
        <w:tc>
          <w:tcPr>
            <w:vAlign w:val="center"/>
          </w:tcPr>
          <w:p>
            <w:pPr>
              <w:jc w:val="center"/>
            </w:pPr>
            <w:r>
              <w:rPr>
                <w:color w:val="000000"/>
                <w:sz w:val="24"/>
                <w:szCs w:val="24"/>
              </w:rPr>
              <w:t>58.82%</w:t>
            </w:r>
          </w:p>
        </w:tc>
        <w:tc>
          <w:tcPr>
            <w:vAlign w:val="center"/>
          </w:tcPr>
          <w:p>
            <w:pPr>
              <w:jc w:val="center"/>
            </w:pPr>
            <w:r>
              <w:rPr>
                <w:color w:val="000000"/>
                <w:sz w:val="24"/>
                <w:szCs w:val="24"/>
              </w:rPr>
              <w:t>0.51%</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122.31%</w:t>
            </w:r>
          </w:p>
        </w:tc>
        <w:tc>
          <w:tcPr>
            <w:vAlign w:val="center"/>
          </w:tcPr>
          <w:p>
            <w:pPr>
              <w:jc w:val="center"/>
            </w:pPr>
            <w:r>
              <w:rPr>
                <w:color w:val="000000"/>
                <w:sz w:val="24"/>
                <w:szCs w:val="24"/>
              </w:rPr>
              <w:t>1.42%</w:t>
            </w:r>
          </w:p>
        </w:tc>
        <w:tc>
          <w:tcPr>
            <w:vAlign w:val="center"/>
          </w:tcPr>
          <w:p>
            <w:pPr>
              <w:jc w:val="center"/>
            </w:pPr>
            <w:r>
              <w:rPr>
                <w:color w:val="000000"/>
                <w:sz w:val="24"/>
                <w:szCs w:val="24"/>
              </w:rPr>
              <w:t>13.45%</w:t>
            </w:r>
          </w:p>
        </w:tc>
        <w:tc>
          <w:tcPr>
            <w:vAlign w:val="center"/>
          </w:tcPr>
          <w:p>
            <w:pPr>
              <w:jc w:val="center"/>
            </w:pPr>
            <w:r>
              <w:rPr>
                <w:color w:val="000000"/>
                <w:sz w:val="24"/>
                <w:szCs w:val="24"/>
              </w:rPr>
              <w:t>1.02%</w:t>
            </w:r>
          </w:p>
        </w:tc>
        <w:tc>
          <w:tcPr>
            <w:vAlign w:val="center"/>
          </w:tcPr>
          <w:p>
            <w:pPr>
              <w:jc w:val="center"/>
            </w:pPr>
            <w:r>
              <w:rPr>
                <w:color w:val="000000"/>
                <w:sz w:val="24"/>
                <w:szCs w:val="24"/>
              </w:rPr>
              <w:t>108.86%</w:t>
            </w:r>
          </w:p>
        </w:tc>
        <w:tc>
          <w:tcPr>
            <w:vAlign w:val="center"/>
          </w:tcPr>
          <w:p>
            <w:pPr>
              <w:jc w:val="center"/>
            </w:pPr>
            <w:r>
              <w:rPr>
                <w:color w:val="000000"/>
                <w:sz w:val="24"/>
                <w:szCs w:val="24"/>
              </w:rPr>
              <w:t>0.40%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交银施罗德创新成长混合型证券投资基金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2018年9月27日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周中</w:t>
            </w:r>
          </w:p>
        </w:tc>
        <w:tc>
          <w:tcPr>
            <w:vAlign w:val="center"/>
          </w:tcPr>
          <w:p>
            <w:pPr>
              <w:jc w:val="center"/>
            </w:pPr>
            <w:r>
              <w:rPr>
                <w:color w:val="000000"/>
                <w:sz w:val="24"/>
                <w:szCs w:val="24"/>
              </w:rPr>
              <w:t>交银环球精选混合(QDII)、交银创新成长混合的基金经理</w:t>
            </w:r>
          </w:p>
        </w:tc>
        <w:tc>
          <w:tcPr>
            <w:vAlign w:val="center"/>
          </w:tcPr>
          <w:p>
            <w:pPr>
              <w:jc w:val="center"/>
            </w:pPr>
            <w:r>
              <w:rPr>
                <w:color w:val="000000"/>
                <w:sz w:val="24"/>
                <w:szCs w:val="24"/>
              </w:rPr>
              <w:t>2018-09-27</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周中先生，中国国籍，复旦大学金融学硕士。历任野村证券亚太区股票研究部研究助理，中银国际证券研究部研究员、高级经理，瑞银证券研究部行业分析师、董事。2015年加入交银施罗德基金管理有限公司。2015年12月12日至2019年9月19日担任交银施罗德全球自然资源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2020年三季度A股市场和H股市场均出现了前高后低。七月市场热度较高，但是八、九月在中美关系恶化和美国大选不确定性影响之下陷入低迷。整体来看，价值股开始跑赢部分高估值成长股，估值分化有所收敛。</w:t>
      </w:r>
    </w:p>
    <w:p>
      <w:pPr>
        <w:spacing w:before="29" w:line="288" w:lineRule="auto"/>
        <w:ind w:firstLine="480" w:firstLineChars="200"/>
        <w:rPr>
          <w:color w:val="000000"/>
          <w:sz w:val="24"/>
          <w:szCs w:val="24"/>
        </w:rPr>
      </w:pPr>
      <w:r>
        <w:rPr>
          <w:color w:val="000000"/>
          <w:sz w:val="24"/>
          <w:szCs w:val="24"/>
        </w:rPr>
        <w:t>本基金在三季度整体仓位变动较小，主要配置于互联网、医药、云计算、电子行业和食品饮料。</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四季度，我们认为美国大选可能对市场短期产生一定的波动，但是不影响优质公司长期上行的格局。看好数字经济的平台型企业价值持续提高，新能源革命也将推动全球能源格局的变化。我们将持续关注那些在疫情冲击之下核心竞争力较强，韧性优秀的上市公司，在下一轮经济的企稳回升过程中，这样的企业往往能够提供较好的超额回报。我们将积极寻找具有较好成长性的行业和优质的上市公司，在合适的价格买入，坚持自下而上精选个股的投资策略，力争为投资者创造较好的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840,279,317.59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78.79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840,279,317.59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78.79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122,449,688.67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11.48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103,802,600.00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9.73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1,066,531,606.26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378,268,058.53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36.23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13,029.12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4,975,264.03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37,860,653.36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63,779,758.85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24,969,000.00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17,583,245.00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14,460,995.16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15,348.36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55,366,510.55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5.30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10,295,000.00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13,522,639.46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621,109,502.42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59.50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tbl>
      <w:tblPr>
        <w:tblW w:type="dxa" w:w="8634"/>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2397"/>
        <w:gridCol w:w="3119"/>
        <w:gridCol w:w="3118"/>
      </w:tblGrid>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行业类别</w:t>
            </w:r>
            <w:r w:rsidRPr="00FF0BBF">
              <w:rPr>
                <w:color w:val="000000"/>
                <w:sz w:val="24"/>
              </w:rPr>
              <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公允价值（人民币）</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tc>
          <w:tcPr>
            <w:vAlign w:val="center"/>
          </w:tcPr>
          <w:p>
            <w:pPr>
              <w:jc w:val="center"/>
            </w:pPr>
            <w:r>
              <w:rPr>
                <w:color w:val="000000"/>
                <w:sz w:val="24"/>
              </w:rPr>
              <w:t>非日常生活消费品</w:t>
            </w:r>
          </w:p>
        </w:tc>
        <w:tc>
          <w:tcPr>
            <w:vAlign w:val="center"/>
          </w:tcPr>
          <w:p>
            <w:pPr>
              <w:jc w:val="center"/>
            </w:pPr>
            <w:r>
              <w:rPr>
                <w:color w:val="000000"/>
                <w:sz w:val="24"/>
              </w:rPr>
              <w:t>48,059,832.96</w:t>
            </w:r>
          </w:p>
        </w:tc>
        <w:tc>
          <w:tcPr>
            <w:vAlign w:val="center"/>
          </w:tcPr>
          <w:p>
            <w:pPr>
              <w:jc w:val="center"/>
            </w:pPr>
            <w:r>
              <w:rPr>
                <w:color w:val="000000"/>
                <w:sz w:val="24"/>
              </w:rPr>
              <w:t>4.60</w:t>
            </w:r>
          </w:p>
        </w:tc>
      </w:tr>
      <w:tr>
        <w:tc>
          <w:tcPr>
            <w:vAlign w:val="center"/>
          </w:tcPr>
          <w:p>
            <w:pPr>
              <w:jc w:val="center"/>
            </w:pPr>
            <w:r>
              <w:rPr>
                <w:color w:val="000000"/>
                <w:sz w:val="24"/>
              </w:rPr>
              <w:t>金融</w:t>
            </w:r>
          </w:p>
        </w:tc>
        <w:tc>
          <w:tcPr>
            <w:vAlign w:val="center"/>
          </w:tcPr>
          <w:p>
            <w:pPr>
              <w:jc w:val="center"/>
            </w:pPr>
            <w:r>
              <w:rPr>
                <w:color w:val="000000"/>
                <w:sz w:val="24"/>
              </w:rPr>
              <w:t>10,478,736.00</w:t>
            </w:r>
          </w:p>
        </w:tc>
        <w:tc>
          <w:tcPr>
            <w:vAlign w:val="center"/>
          </w:tcPr>
          <w:p>
            <w:pPr>
              <w:jc w:val="center"/>
            </w:pPr>
            <w:r>
              <w:rPr>
                <w:color w:val="000000"/>
                <w:sz w:val="24"/>
              </w:rPr>
              <w:t>1.00</w:t>
            </w:r>
          </w:p>
        </w:tc>
      </w:tr>
      <w:tr>
        <w:tc>
          <w:tcPr>
            <w:vAlign w:val="center"/>
          </w:tcPr>
          <w:p>
            <w:pPr>
              <w:jc w:val="center"/>
            </w:pPr>
            <w:r>
              <w:rPr>
                <w:color w:val="000000"/>
                <w:sz w:val="24"/>
              </w:rPr>
              <w:t>通讯服务</w:t>
            </w:r>
          </w:p>
        </w:tc>
        <w:tc>
          <w:tcPr>
            <w:vAlign w:val="center"/>
          </w:tcPr>
          <w:p>
            <w:pPr>
              <w:jc w:val="center"/>
            </w:pPr>
            <w:r>
              <w:rPr>
                <w:color w:val="000000"/>
                <w:sz w:val="24"/>
              </w:rPr>
              <w:t>78,445,531.20</w:t>
            </w:r>
          </w:p>
        </w:tc>
        <w:tc>
          <w:tcPr>
            <w:vAlign w:val="center"/>
          </w:tcPr>
          <w:p>
            <w:pPr>
              <w:jc w:val="center"/>
            </w:pPr>
            <w:r>
              <w:rPr>
                <w:color w:val="000000"/>
                <w:sz w:val="24"/>
              </w:rPr>
              <w:t>7.51</w:t>
            </w:r>
          </w:p>
        </w:tc>
      </w:tr>
      <w:tr>
        <w:tc>
          <w:tcPr>
            <w:vAlign w:val="center"/>
          </w:tcPr>
          <w:p>
            <w:pPr>
              <w:jc w:val="center"/>
            </w:pPr>
            <w:r>
              <w:rPr>
                <w:color w:val="000000"/>
                <w:sz w:val="24"/>
              </w:rPr>
              <w:t>信息技术</w:t>
            </w:r>
          </w:p>
        </w:tc>
        <w:tc>
          <w:tcPr>
            <w:vAlign w:val="center"/>
          </w:tcPr>
          <w:p>
            <w:pPr>
              <w:jc w:val="center"/>
            </w:pPr>
            <w:r>
              <w:rPr>
                <w:color w:val="000000"/>
                <w:sz w:val="24"/>
              </w:rPr>
              <w:t>49,842,755.84</w:t>
            </w:r>
          </w:p>
        </w:tc>
        <w:tc>
          <w:tcPr>
            <w:vAlign w:val="center"/>
          </w:tcPr>
          <w:p>
            <w:pPr>
              <w:jc w:val="center"/>
            </w:pPr>
            <w:r>
              <w:rPr>
                <w:color w:val="000000"/>
                <w:sz w:val="24"/>
              </w:rPr>
              <w:t>4.77</w:t>
            </w:r>
          </w:p>
        </w:tc>
      </w:tr>
      <w:tr>
        <w:tc>
          <w:tcPr>
            <w:vAlign w:val="center"/>
          </w:tcPr>
          <w:p>
            <w:pPr>
              <w:jc w:val="center"/>
            </w:pPr>
            <w:r>
              <w:rPr>
                <w:color w:val="000000"/>
                <w:sz w:val="24"/>
              </w:rPr>
              <w:t>医疗保健</w:t>
            </w:r>
          </w:p>
        </w:tc>
        <w:tc>
          <w:tcPr>
            <w:vAlign w:val="center"/>
          </w:tcPr>
          <w:p>
            <w:pPr>
              <w:jc w:val="center"/>
            </w:pPr>
            <w:r>
              <w:rPr>
                <w:color w:val="000000"/>
                <w:sz w:val="24"/>
              </w:rPr>
              <w:t>32,342,959.17</w:t>
            </w:r>
          </w:p>
        </w:tc>
        <w:tc>
          <w:tcPr>
            <w:vAlign w:val="center"/>
          </w:tcPr>
          <w:p>
            <w:pPr>
              <w:jc w:val="center"/>
            </w:pPr>
            <w:r>
              <w:rPr>
                <w:color w:val="000000"/>
                <w:sz w:val="24"/>
              </w:rPr>
              <w:t>3.10</w:t>
            </w:r>
          </w:p>
        </w:tc>
      </w:tr>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合计</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219,169,815.17</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20.99</w:t>
            </w:r>
          </w:p>
        </w:tc>
      </w:tr>
    </w:tbl>
    <w:p w:rsidP="00F51C4E" w:rsidR="00F51C4E" w:rsidRDefault="00F51C4E">
      <w:pPr>
        <w:spacing w:before="29" w:line="360" w:lineRule="auto"/>
        <w:ind w:left="17"/>
        <w:rPr>
          <w:color w:val="000000"/>
          <w:sz w:val="24"/>
        </w:rPr>
      </w:pPr>
      <w:r w:rsidRPr="00FF0BBF">
        <w:rPr>
          <w:color w:val="000000"/>
          <w:sz w:val="24"/>
        </w:rPr>
        <w:t>注：以上分类采用全球行业分类标准（GICS）。</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00700.HK</w:t>
            </w:r>
          </w:p>
        </w:tc>
        <w:tc>
          <w:tcPr>
            <w:vAlign w:val="center"/>
          </w:tcPr>
          <w:p>
            <w:pPr>
              <w:jc w:val="center"/>
            </w:pPr>
            <w:r>
              <w:rPr>
                <w:color w:val="000000"/>
                <w:sz w:val="24"/>
                <w:szCs w:val="24"/>
              </w:rPr>
              <w:t>腾讯控股</w:t>
            </w:r>
          </w:p>
        </w:tc>
        <w:tc>
          <w:tcPr>
            <w:vAlign w:val="center"/>
          </w:tcPr>
          <w:p>
            <w:pPr>
              <w:jc w:val="right"/>
            </w:pPr>
            <w:r>
              <w:rPr>
                <w:color w:val="000000"/>
                <w:sz w:val="24"/>
                <w:szCs w:val="24"/>
              </w:rPr>
              <w:t>165,000</w:t>
            </w:r>
          </w:p>
        </w:tc>
        <w:tc>
          <w:tcPr>
            <w:vAlign w:val="center"/>
          </w:tcPr>
          <w:p>
            <w:pPr>
              <w:jc w:val="right"/>
            </w:pPr>
            <w:r>
              <w:rPr>
                <w:color w:val="000000"/>
                <w:sz w:val="24"/>
                <w:szCs w:val="24"/>
              </w:rPr>
              <w:t>74,161,771.20</w:t>
            </w:r>
          </w:p>
        </w:tc>
        <w:tc>
          <w:tcPr>
            <w:vAlign w:val="center"/>
          </w:tcPr>
          <w:p>
            <w:pPr>
              <w:jc w:val="right"/>
            </w:pPr>
            <w:r>
              <w:rPr>
                <w:color w:val="000000"/>
                <w:sz w:val="24"/>
                <w:szCs w:val="24"/>
              </w:rPr>
              <w:t>7.10</w:t>
            </w:r>
          </w:p>
        </w:tc>
      </w:tr>
      <w:tr>
        <w:tc>
          <w:tcPr>
            <w:vAlign w:val="center"/>
          </w:tcPr>
          <w:p>
            <w:pPr>
              <w:jc w:val="center"/>
            </w:pPr>
            <w:r>
              <w:rPr>
                <w:color w:val="000000"/>
                <w:sz w:val="24"/>
                <w:szCs w:val="24"/>
              </w:rPr>
              <w:t>2</w:t>
            </w:r>
          </w:p>
        </w:tc>
        <w:tc>
          <w:tcPr>
            <w:vAlign w:val="center"/>
          </w:tcPr>
          <w:p>
            <w:pPr>
              <w:jc w:val="center"/>
            </w:pPr>
            <w:r>
              <w:rPr>
                <w:color w:val="000000"/>
                <w:sz w:val="24"/>
                <w:szCs w:val="24"/>
              </w:rPr>
              <w:t>03690.HK</w:t>
            </w:r>
          </w:p>
        </w:tc>
        <w:tc>
          <w:tcPr>
            <w:vAlign w:val="center"/>
          </w:tcPr>
          <w:p>
            <w:pPr>
              <w:jc w:val="center"/>
            </w:pPr>
            <w:r>
              <w:rPr>
                <w:color w:val="000000"/>
                <w:sz w:val="24"/>
                <w:szCs w:val="24"/>
              </w:rPr>
              <w:t>美团点评－Ｗ</w:t>
            </w:r>
          </w:p>
        </w:tc>
        <w:tc>
          <w:tcPr>
            <w:vAlign w:val="center"/>
          </w:tcPr>
          <w:p>
            <w:pPr>
              <w:jc w:val="right"/>
            </w:pPr>
            <w:r>
              <w:rPr>
                <w:color w:val="000000"/>
                <w:sz w:val="24"/>
                <w:szCs w:val="24"/>
              </w:rPr>
              <w:t>200,000</w:t>
            </w:r>
          </w:p>
        </w:tc>
        <w:tc>
          <w:tcPr>
            <w:vAlign w:val="center"/>
          </w:tcPr>
          <w:p>
            <w:pPr>
              <w:jc w:val="right"/>
            </w:pPr>
            <w:r>
              <w:rPr>
                <w:color w:val="000000"/>
                <w:sz w:val="24"/>
                <w:szCs w:val="24"/>
              </w:rPr>
              <w:t>42,494,899.20</w:t>
            </w:r>
          </w:p>
        </w:tc>
        <w:tc>
          <w:tcPr>
            <w:vAlign w:val="center"/>
          </w:tcPr>
          <w:p>
            <w:pPr>
              <w:jc w:val="right"/>
            </w:pPr>
            <w:r>
              <w:rPr>
                <w:color w:val="000000"/>
                <w:sz w:val="24"/>
                <w:szCs w:val="24"/>
              </w:rPr>
              <w:t>4.07</w:t>
            </w:r>
          </w:p>
        </w:tc>
      </w:tr>
      <w:tr>
        <w:tc>
          <w:tcPr>
            <w:vAlign w:val="center"/>
          </w:tcPr>
          <w:p>
            <w:pPr>
              <w:jc w:val="center"/>
            </w:pPr>
            <w:r>
              <w:rPr>
                <w:color w:val="000000"/>
                <w:sz w:val="24"/>
                <w:szCs w:val="24"/>
              </w:rPr>
              <w:t>3</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1,200,000</w:t>
            </w:r>
          </w:p>
        </w:tc>
        <w:tc>
          <w:tcPr>
            <w:vAlign w:val="center"/>
          </w:tcPr>
          <w:p>
            <w:pPr>
              <w:jc w:val="right"/>
            </w:pPr>
            <w:r>
              <w:rPr>
                <w:color w:val="000000"/>
                <w:sz w:val="24"/>
                <w:szCs w:val="24"/>
              </w:rPr>
              <w:t>41,724,000.00</w:t>
            </w:r>
          </w:p>
        </w:tc>
        <w:tc>
          <w:tcPr>
            <w:vAlign w:val="center"/>
          </w:tcPr>
          <w:p>
            <w:pPr>
              <w:jc w:val="right"/>
            </w:pPr>
            <w:r>
              <w:rPr>
                <w:color w:val="000000"/>
                <w:sz w:val="24"/>
                <w:szCs w:val="24"/>
              </w:rPr>
              <w:t>4.00</w:t>
            </w:r>
          </w:p>
        </w:tc>
      </w:tr>
      <w:tr>
        <w:tc>
          <w:tcPr>
            <w:vAlign w:val="center"/>
          </w:tcPr>
          <w:p>
            <w:pPr>
              <w:jc w:val="center"/>
            </w:pPr>
            <w:r>
              <w:rPr>
                <w:color w:val="000000"/>
                <w:sz w:val="24"/>
                <w:szCs w:val="24"/>
              </w:rPr>
              <w:t>4</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1,099,985</w:t>
            </w:r>
          </w:p>
        </w:tc>
        <w:tc>
          <w:tcPr>
            <w:vAlign w:val="center"/>
          </w:tcPr>
          <w:p>
            <w:pPr>
              <w:jc w:val="right"/>
            </w:pPr>
            <w:r>
              <w:rPr>
                <w:color w:val="000000"/>
                <w:sz w:val="24"/>
                <w:szCs w:val="24"/>
              </w:rPr>
              <w:t>35,892,510.55</w:t>
            </w:r>
          </w:p>
        </w:tc>
        <w:tc>
          <w:tcPr>
            <w:vAlign w:val="center"/>
          </w:tcPr>
          <w:p>
            <w:pPr>
              <w:jc w:val="right"/>
            </w:pPr>
            <w:r>
              <w:rPr>
                <w:color w:val="000000"/>
                <w:sz w:val="24"/>
                <w:szCs w:val="24"/>
              </w:rPr>
              <w:t>3.44</w:t>
            </w:r>
          </w:p>
        </w:tc>
      </w:tr>
      <w:tr>
        <w:tc>
          <w:tcPr>
            <w:vAlign w:val="center"/>
          </w:tcPr>
          <w:p>
            <w:pPr>
              <w:jc w:val="center"/>
            </w:pPr>
            <w:r>
              <w:rPr>
                <w:color w:val="000000"/>
                <w:sz w:val="24"/>
                <w:szCs w:val="24"/>
              </w:rPr>
              <w:t>5</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599,913</w:t>
            </w:r>
          </w:p>
        </w:tc>
        <w:tc>
          <w:tcPr>
            <w:vAlign w:val="center"/>
          </w:tcPr>
          <w:p>
            <w:pPr>
              <w:jc w:val="right"/>
            </w:pPr>
            <w:r>
              <w:rPr>
                <w:color w:val="000000"/>
                <w:sz w:val="24"/>
                <w:szCs w:val="24"/>
              </w:rPr>
              <w:t>34,273,029.69</w:t>
            </w:r>
          </w:p>
        </w:tc>
        <w:tc>
          <w:tcPr>
            <w:vAlign w:val="center"/>
          </w:tcPr>
          <w:p>
            <w:pPr>
              <w:jc w:val="right"/>
            </w:pPr>
            <w:r>
              <w:rPr>
                <w:color w:val="000000"/>
                <w:sz w:val="24"/>
                <w:szCs w:val="24"/>
              </w:rPr>
              <w:t>3.28</w:t>
            </w:r>
          </w:p>
        </w:tc>
      </w:tr>
      <w:tr>
        <w:tc>
          <w:tcPr>
            <w:vAlign w:val="center"/>
          </w:tcPr>
          <w:p>
            <w:pPr>
              <w:jc w:val="center"/>
            </w:pPr>
            <w:r>
              <w:rPr>
                <w:color w:val="000000"/>
                <w:sz w:val="24"/>
                <w:szCs w:val="24"/>
              </w:rPr>
              <w:t>6</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600,000</w:t>
            </w:r>
          </w:p>
        </w:tc>
        <w:tc>
          <w:tcPr>
            <w:vAlign w:val="center"/>
          </w:tcPr>
          <w:p>
            <w:pPr>
              <w:jc w:val="right"/>
            </w:pPr>
            <w:r>
              <w:rPr>
                <w:color w:val="000000"/>
                <w:sz w:val="24"/>
                <w:szCs w:val="24"/>
              </w:rPr>
              <w:t>32,340,000.00</w:t>
            </w:r>
          </w:p>
        </w:tc>
        <w:tc>
          <w:tcPr>
            <w:vAlign w:val="center"/>
          </w:tcPr>
          <w:p>
            <w:pPr>
              <w:jc w:val="right"/>
            </w:pPr>
            <w:r>
              <w:rPr>
                <w:color w:val="000000"/>
                <w:sz w:val="24"/>
                <w:szCs w:val="24"/>
              </w:rPr>
              <w:t>3.10</w:t>
            </w:r>
          </w:p>
        </w:tc>
      </w:tr>
      <w:tr>
        <w:tc>
          <w:tcPr>
            <w:vAlign w:val="center"/>
          </w:tcPr>
          <w:p>
            <w:pPr>
              <w:jc w:val="center"/>
            </w:pPr>
            <w:r>
              <w:rPr>
                <w:color w:val="000000"/>
                <w:sz w:val="24"/>
                <w:szCs w:val="24"/>
              </w:rPr>
              <w:t>7</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350,000</w:t>
            </w:r>
          </w:p>
        </w:tc>
        <w:tc>
          <w:tcPr>
            <w:vAlign w:val="center"/>
          </w:tcPr>
          <w:p>
            <w:pPr>
              <w:jc w:val="right"/>
            </w:pPr>
            <w:r>
              <w:rPr>
                <w:color w:val="000000"/>
                <w:sz w:val="24"/>
                <w:szCs w:val="24"/>
              </w:rPr>
              <w:t>27,570,000.00</w:t>
            </w:r>
          </w:p>
        </w:tc>
        <w:tc>
          <w:tcPr>
            <w:vAlign w:val="center"/>
          </w:tcPr>
          <w:p>
            <w:pPr>
              <w:jc w:val="right"/>
            </w:pPr>
            <w:r>
              <w:rPr>
                <w:color w:val="000000"/>
                <w:sz w:val="24"/>
                <w:szCs w:val="24"/>
              </w:rPr>
              <w:t>2.64</w:t>
            </w:r>
          </w:p>
        </w:tc>
      </w:tr>
      <w:tr>
        <w:tc>
          <w:tcPr>
            <w:vAlign w:val="center"/>
          </w:tcPr>
          <w:p>
            <w:pPr>
              <w:jc w:val="center"/>
            </w:pPr>
            <w:r>
              <w:rPr>
                <w:color w:val="000000"/>
                <w:sz w:val="24"/>
                <w:szCs w:val="24"/>
              </w:rPr>
              <w:t>8</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15,000</w:t>
            </w:r>
          </w:p>
        </w:tc>
        <w:tc>
          <w:tcPr>
            <w:vAlign w:val="center"/>
          </w:tcPr>
          <w:p>
            <w:pPr>
              <w:jc w:val="right"/>
            </w:pPr>
            <w:r>
              <w:rPr>
                <w:color w:val="000000"/>
                <w:sz w:val="24"/>
                <w:szCs w:val="24"/>
              </w:rPr>
              <w:t>25,027,500.00</w:t>
            </w:r>
          </w:p>
        </w:tc>
        <w:tc>
          <w:tcPr>
            <w:vAlign w:val="center"/>
          </w:tcPr>
          <w:p>
            <w:pPr>
              <w:jc w:val="right"/>
            </w:pPr>
            <w:r>
              <w:rPr>
                <w:color w:val="000000"/>
                <w:sz w:val="24"/>
                <w:szCs w:val="24"/>
              </w:rPr>
              <w:t>2.40</w:t>
            </w:r>
          </w:p>
        </w:tc>
      </w:tr>
      <w:tr>
        <w:tc>
          <w:tcPr>
            <w:vAlign w:val="center"/>
          </w:tcPr>
          <w:p>
            <w:pPr>
              <w:jc w:val="center"/>
            </w:pPr>
            <w:r>
              <w:rPr>
                <w:color w:val="000000"/>
                <w:sz w:val="24"/>
                <w:szCs w:val="24"/>
              </w:rPr>
              <w:t>9</w:t>
            </w:r>
          </w:p>
        </w:tc>
        <w:tc>
          <w:tcPr>
            <w:vAlign w:val="center"/>
          </w:tcPr>
          <w:p>
            <w:pPr>
              <w:jc w:val="center"/>
            </w:pPr>
            <w:r>
              <w:rPr>
                <w:color w:val="000000"/>
                <w:sz w:val="24"/>
                <w:szCs w:val="24"/>
              </w:rPr>
              <w:t>03888.HK</w:t>
            </w:r>
          </w:p>
        </w:tc>
        <w:tc>
          <w:tcPr>
            <w:vAlign w:val="center"/>
          </w:tcPr>
          <w:p>
            <w:pPr>
              <w:jc w:val="center"/>
            </w:pPr>
            <w:r>
              <w:rPr>
                <w:color w:val="000000"/>
                <w:sz w:val="24"/>
                <w:szCs w:val="24"/>
              </w:rPr>
              <w:t>金山软件</w:t>
            </w:r>
          </w:p>
        </w:tc>
        <w:tc>
          <w:tcPr>
            <w:vAlign w:val="center"/>
          </w:tcPr>
          <w:p>
            <w:pPr>
              <w:jc w:val="right"/>
            </w:pPr>
            <w:r>
              <w:rPr>
                <w:color w:val="000000"/>
                <w:sz w:val="24"/>
                <w:szCs w:val="24"/>
              </w:rPr>
              <w:t>700,000</w:t>
            </w:r>
          </w:p>
        </w:tc>
        <w:tc>
          <w:tcPr>
            <w:vAlign w:val="center"/>
          </w:tcPr>
          <w:p>
            <w:pPr>
              <w:jc w:val="right"/>
            </w:pPr>
            <w:r>
              <w:rPr>
                <w:color w:val="000000"/>
                <w:sz w:val="24"/>
                <w:szCs w:val="24"/>
              </w:rPr>
              <w:t>23,773,769.60</w:t>
            </w:r>
          </w:p>
        </w:tc>
        <w:tc>
          <w:tcPr>
            <w:vAlign w:val="center"/>
          </w:tcPr>
          <w:p>
            <w:pPr>
              <w:jc w:val="right"/>
            </w:pPr>
            <w:r>
              <w:rPr>
                <w:color w:val="000000"/>
                <w:sz w:val="24"/>
                <w:szCs w:val="24"/>
              </w:rPr>
              <w:t>2.28</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499,996</w:t>
            </w:r>
          </w:p>
        </w:tc>
        <w:tc>
          <w:tcPr>
            <w:vAlign w:val="center"/>
          </w:tcPr>
          <w:p>
            <w:pPr>
              <w:jc w:val="right"/>
            </w:pPr>
            <w:r>
              <w:rPr>
                <w:color w:val="000000"/>
                <w:sz w:val="24"/>
                <w:szCs w:val="24"/>
              </w:rPr>
              <w:t>22,559,819.52</w:t>
            </w:r>
          </w:p>
        </w:tc>
        <w:tc>
          <w:tcPr>
            <w:vAlign w:val="center"/>
          </w:tcPr>
          <w:p>
            <w:pPr>
              <w:jc w:val="right"/>
            </w:pPr>
            <w:r>
              <w:rPr>
                <w:color w:val="000000"/>
                <w:sz w:val="24"/>
                <w:szCs w:val="24"/>
              </w:rPr>
              <w:t>2.16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1,250,435.81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102,566,062.15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31,012.17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-44,910.13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103,802,600.00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15,390,000.00</w:t>
            </w:r>
          </w:p>
        </w:tc>
        <w:tc>
          <w:tcPr>
            <w:vAlign w:val="center"/>
          </w:tcPr>
          <w:p>
            <w:pPr>
              <w:jc w:val="right"/>
            </w:pPr>
            <w:r>
              <w:rPr>
                <w:color w:val="000000"/>
                <w:sz w:val="24"/>
                <w:szCs w:val="24"/>
              </w:rPr>
              <w:t>1.47</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340,644,726.50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219,464,035.07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90,522,775.74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469,585,985.83</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1、中国证监会准予交银施罗德创新成长混合型证券投资基金募集注册的文件；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2、《交银施罗德创新成长混合型证券投资基金基金合同》；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3、《交银施罗德创新成长混合型证券投资基金招募说明书》；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4、《交银施罗德创新成长混合型证券投资基金托管协议》；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5、关于申请募集注册交银施罗德创新成长混合型证券投资基金的法律意见书；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8、报告期内交银施罗德创新成长混合型证券投资基金在指定报刊上各项公告的原稿。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交银施罗德创新成长混合型证券投资基金2020年第3季度报告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