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2020</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2020</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二〇二〇年十月二十八日</w:t>
      </w:r>
    </w:p>
    <w:p w:rsidR="00CC4CB4" w:rsidRPr="008640AE" w:rsidRDefault="00CC4CB4" w:rsidP="005546C0">
      <w:pPr>
        <w:spacing w:before="29" w:line="288" w:lineRule="auto"/>
        <w:ind w:firstLineChars="900" w:firstLine="2168"/>
        <w:rPr>
          <w:b/>
          <w:color w:val="000000"/>
          <w:sz w:val="24"/>
        </w:rPr>
        <w:sectPr w:rsidR="00CC4CB4" w:rsidRPr="008640AE" w:rsidSect="00F078B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DB376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B366C6" w:rsidRDefault="004F335C">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366C6" w:rsidRDefault="004F335C">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10</w:t>
      </w:r>
      <w:r>
        <w:rPr>
          <w:color w:val="000000"/>
          <w:sz w:val="24"/>
        </w:rPr>
        <w:t>月</w:t>
      </w:r>
      <w:r>
        <w:rPr>
          <w:color w:val="000000"/>
          <w:sz w:val="24"/>
        </w:rPr>
        <w:t>27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366C6" w:rsidRDefault="004F335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366C6" w:rsidRDefault="004F335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366C6" w:rsidRDefault="004F335C">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2020</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955,200,269.46</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C619D" w:rsidRPr="008640AE" w:rsidTr="005C619D">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(2020</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-2020</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5C619D" w:rsidRPr="008640AE" w:rsidTr="005C619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141,480,203.67</w:t>
            </w:r>
          </w:p>
        </w:tc>
      </w:tr>
      <w:tr w:rsidR="005C619D" w:rsidRPr="008640AE" w:rsidTr="005C619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90,774,953.37</w:t>
            </w:r>
          </w:p>
        </w:tc>
      </w:tr>
      <w:tr w:rsidR="005C619D" w:rsidRPr="008640AE" w:rsidTr="005C619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0.0914</w:t>
            </w:r>
          </w:p>
        </w:tc>
      </w:tr>
      <w:tr w:rsidR="005C619D" w:rsidRPr="008640AE" w:rsidTr="005C619D">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1,733,240,372.19</w:t>
            </w:r>
          </w:p>
        </w:tc>
      </w:tr>
      <w:tr w:rsidR="005C619D" w:rsidRPr="008640AE" w:rsidTr="005C619D">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1.815</w:t>
            </w:r>
          </w:p>
        </w:tc>
      </w:tr>
    </w:tbl>
    <w:p w:rsidR="00B366C6" w:rsidRDefault="004F335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99"/>
        <w:gridCol w:w="1194"/>
        <w:gridCol w:w="1194"/>
        <w:gridCol w:w="1194"/>
        <w:gridCol w:w="1342"/>
        <w:gridCol w:w="1194"/>
        <w:gridCol w:w="1048"/>
      </w:tblGrid>
      <w:tr w:rsidR="00243BAB" w:rsidRPr="00243BAB" w:rsidTr="00A4743E">
        <w:trPr>
          <w:jc w:val="center"/>
        </w:trPr>
        <w:tc>
          <w:tcPr>
            <w:tcW w:w="1699" w:type="dxa"/>
            <w:tcMar>
              <w:top w:w="57" w:type="dxa"/>
              <w:left w:w="108" w:type="dxa"/>
              <w:bottom w:w="57" w:type="dxa"/>
              <w:right w:w="108" w:type="dxa"/>
            </w:tcMar>
            <w:vAlign w:val="center"/>
            <w:hideMark/>
          </w:tcPr>
          <w:p w:rsidR="00243BAB" w:rsidRPr="00243BAB" w:rsidRDefault="00243BAB" w:rsidP="00243BAB">
            <w:pPr>
              <w:widowControl/>
              <w:autoSpaceDE w:val="0"/>
              <w:autoSpaceDN w:val="0"/>
              <w:spacing w:before="29" w:line="288" w:lineRule="auto"/>
              <w:ind w:left="17"/>
              <w:jc w:val="center"/>
              <w:rPr>
                <w:rFonts w:eastAsiaTheme="minorEastAsia" w:cs="宋体"/>
                <w:color w:val="000000"/>
                <w:kern w:val="0"/>
                <w:sz w:val="24"/>
              </w:rPr>
            </w:pPr>
            <w:r w:rsidRPr="00243BAB">
              <w:rPr>
                <w:rFonts w:eastAsiaTheme="minorEastAsia" w:cs="宋体" w:hint="eastAsia"/>
                <w:color w:val="000000"/>
                <w:kern w:val="0"/>
                <w:sz w:val="24"/>
              </w:rPr>
              <w:t>阶段</w:t>
            </w:r>
          </w:p>
        </w:tc>
        <w:tc>
          <w:tcPr>
            <w:tcW w:w="1194" w:type="dxa"/>
            <w:tcMar>
              <w:top w:w="57" w:type="dxa"/>
              <w:left w:w="108" w:type="dxa"/>
              <w:bottom w:w="57" w:type="dxa"/>
              <w:right w:w="108" w:type="dxa"/>
            </w:tcMar>
            <w:vAlign w:val="center"/>
            <w:hideMark/>
          </w:tcPr>
          <w:p w:rsidR="00243BAB" w:rsidRPr="00243BAB" w:rsidRDefault="00243BAB" w:rsidP="00243BAB">
            <w:pPr>
              <w:widowControl/>
              <w:autoSpaceDE w:val="0"/>
              <w:autoSpaceDN w:val="0"/>
              <w:spacing w:before="29" w:line="288" w:lineRule="auto"/>
              <w:ind w:left="15"/>
              <w:jc w:val="center"/>
              <w:rPr>
                <w:rFonts w:eastAsiaTheme="minorEastAsia" w:cs="宋体"/>
                <w:color w:val="000000"/>
                <w:kern w:val="0"/>
                <w:sz w:val="24"/>
              </w:rPr>
            </w:pPr>
            <w:r w:rsidRPr="00243BAB">
              <w:rPr>
                <w:rFonts w:eastAsiaTheme="minorEastAsia" w:cs="宋体" w:hint="eastAsia"/>
                <w:color w:val="000000"/>
                <w:kern w:val="0"/>
                <w:sz w:val="24"/>
              </w:rPr>
              <w:t>净值增</w:t>
            </w:r>
          </w:p>
          <w:p w:rsidR="00243BAB" w:rsidRPr="00243BAB" w:rsidRDefault="00243BAB" w:rsidP="00243BAB">
            <w:pPr>
              <w:widowControl/>
              <w:autoSpaceDE w:val="0"/>
              <w:autoSpaceDN w:val="0"/>
              <w:spacing w:before="29" w:line="288" w:lineRule="auto"/>
              <w:ind w:left="17"/>
              <w:jc w:val="center"/>
              <w:rPr>
                <w:rFonts w:eastAsiaTheme="minorEastAsia" w:cs="宋体"/>
                <w:color w:val="000000"/>
                <w:kern w:val="0"/>
                <w:sz w:val="24"/>
              </w:rPr>
            </w:pPr>
            <w:r w:rsidRPr="00243BAB">
              <w:rPr>
                <w:rFonts w:eastAsiaTheme="minorEastAsia" w:cs="宋体" w:hint="eastAsia"/>
                <w:color w:val="000000"/>
                <w:kern w:val="0"/>
                <w:sz w:val="24"/>
              </w:rPr>
              <w:t>长率①</w:t>
            </w:r>
          </w:p>
        </w:tc>
        <w:tc>
          <w:tcPr>
            <w:tcW w:w="1194" w:type="dxa"/>
            <w:tcMar>
              <w:top w:w="57" w:type="dxa"/>
              <w:left w:w="108" w:type="dxa"/>
              <w:bottom w:w="57" w:type="dxa"/>
              <w:right w:w="108" w:type="dxa"/>
            </w:tcMar>
            <w:vAlign w:val="center"/>
            <w:hideMark/>
          </w:tcPr>
          <w:p w:rsidR="00243BAB" w:rsidRPr="00243BAB" w:rsidRDefault="00243BAB" w:rsidP="00243BAB">
            <w:pPr>
              <w:widowControl/>
              <w:autoSpaceDE w:val="0"/>
              <w:autoSpaceDN w:val="0"/>
              <w:spacing w:before="29" w:line="288" w:lineRule="auto"/>
              <w:ind w:left="15"/>
              <w:jc w:val="center"/>
              <w:rPr>
                <w:rFonts w:eastAsiaTheme="minorEastAsia" w:cs="宋体"/>
                <w:color w:val="000000"/>
                <w:kern w:val="0"/>
                <w:sz w:val="24"/>
              </w:rPr>
            </w:pPr>
            <w:r w:rsidRPr="00243BAB">
              <w:rPr>
                <w:rFonts w:eastAsiaTheme="minorEastAsia" w:cs="宋体" w:hint="eastAsia"/>
                <w:color w:val="000000"/>
                <w:kern w:val="0"/>
                <w:sz w:val="24"/>
              </w:rPr>
              <w:t>净值增长</w:t>
            </w:r>
          </w:p>
          <w:p w:rsidR="00243BAB" w:rsidRPr="00243BAB" w:rsidRDefault="00243BAB" w:rsidP="00243BAB">
            <w:pPr>
              <w:widowControl/>
              <w:autoSpaceDE w:val="0"/>
              <w:autoSpaceDN w:val="0"/>
              <w:spacing w:before="29" w:line="288" w:lineRule="auto"/>
              <w:ind w:left="15"/>
              <w:jc w:val="center"/>
              <w:rPr>
                <w:rFonts w:eastAsiaTheme="minorEastAsia" w:cs="宋体"/>
                <w:color w:val="000000"/>
                <w:kern w:val="0"/>
                <w:sz w:val="24"/>
              </w:rPr>
            </w:pPr>
            <w:r w:rsidRPr="00243BAB">
              <w:rPr>
                <w:rFonts w:eastAsiaTheme="minorEastAsia" w:cs="宋体" w:hint="eastAsia"/>
                <w:color w:val="000000"/>
                <w:kern w:val="0"/>
                <w:sz w:val="24"/>
              </w:rPr>
              <w:t>率标准差</w:t>
            </w:r>
          </w:p>
          <w:p w:rsidR="00243BAB" w:rsidRPr="00243BAB" w:rsidRDefault="00243BAB" w:rsidP="00243BAB">
            <w:pPr>
              <w:widowControl/>
              <w:autoSpaceDE w:val="0"/>
              <w:autoSpaceDN w:val="0"/>
              <w:spacing w:before="29" w:line="288" w:lineRule="auto"/>
              <w:ind w:left="17"/>
              <w:jc w:val="center"/>
              <w:rPr>
                <w:rFonts w:eastAsiaTheme="minorEastAsia" w:cs="宋体"/>
                <w:color w:val="000000"/>
                <w:kern w:val="0"/>
                <w:sz w:val="24"/>
              </w:rPr>
            </w:pPr>
            <w:r w:rsidRPr="00243BAB">
              <w:rPr>
                <w:rFonts w:eastAsiaTheme="minorEastAsia" w:cs="宋体" w:hint="eastAsia"/>
                <w:color w:val="000000"/>
                <w:kern w:val="0"/>
                <w:sz w:val="24"/>
              </w:rPr>
              <w:t>②</w:t>
            </w:r>
          </w:p>
        </w:tc>
        <w:tc>
          <w:tcPr>
            <w:tcW w:w="1194" w:type="dxa"/>
            <w:tcMar>
              <w:top w:w="57" w:type="dxa"/>
              <w:left w:w="108" w:type="dxa"/>
              <w:bottom w:w="57" w:type="dxa"/>
              <w:right w:w="108" w:type="dxa"/>
            </w:tcMar>
            <w:vAlign w:val="center"/>
            <w:hideMark/>
          </w:tcPr>
          <w:p w:rsidR="00243BAB" w:rsidRPr="00243BAB" w:rsidRDefault="00243BAB" w:rsidP="00243BAB">
            <w:pPr>
              <w:widowControl/>
              <w:autoSpaceDE w:val="0"/>
              <w:autoSpaceDN w:val="0"/>
              <w:spacing w:before="29" w:line="288" w:lineRule="auto"/>
              <w:ind w:left="17"/>
              <w:jc w:val="center"/>
              <w:rPr>
                <w:rFonts w:eastAsiaTheme="minorEastAsia" w:cs="宋体"/>
                <w:color w:val="000000"/>
                <w:kern w:val="0"/>
                <w:sz w:val="24"/>
              </w:rPr>
            </w:pPr>
            <w:r w:rsidRPr="00243BAB">
              <w:rPr>
                <w:rFonts w:eastAsiaTheme="minorEastAsia" w:cs="宋体" w:hint="eastAsia"/>
                <w:color w:val="000000"/>
                <w:kern w:val="0"/>
                <w:sz w:val="24"/>
              </w:rPr>
              <w:t>业绩比较基准收益率③</w:t>
            </w:r>
          </w:p>
        </w:tc>
        <w:tc>
          <w:tcPr>
            <w:tcW w:w="1342" w:type="dxa"/>
            <w:tcMar>
              <w:top w:w="57" w:type="dxa"/>
              <w:left w:w="108" w:type="dxa"/>
              <w:bottom w:w="57" w:type="dxa"/>
              <w:right w:w="108" w:type="dxa"/>
            </w:tcMar>
            <w:vAlign w:val="center"/>
            <w:hideMark/>
          </w:tcPr>
          <w:p w:rsidR="00243BAB" w:rsidRPr="00243BAB" w:rsidRDefault="00243BAB" w:rsidP="00243BAB">
            <w:pPr>
              <w:widowControl/>
              <w:autoSpaceDE w:val="0"/>
              <w:autoSpaceDN w:val="0"/>
              <w:spacing w:before="29" w:line="288" w:lineRule="auto"/>
              <w:ind w:left="17"/>
              <w:jc w:val="center"/>
              <w:rPr>
                <w:rFonts w:eastAsiaTheme="minorEastAsia" w:cs="宋体"/>
                <w:color w:val="000000"/>
                <w:kern w:val="0"/>
                <w:sz w:val="24"/>
              </w:rPr>
            </w:pPr>
            <w:r w:rsidRPr="00243BAB">
              <w:rPr>
                <w:rFonts w:eastAsiaTheme="minorEastAsia" w:cs="宋体" w:hint="eastAsia"/>
                <w:color w:val="000000"/>
                <w:kern w:val="0"/>
                <w:sz w:val="24"/>
              </w:rPr>
              <w:t>业绩比较基准收益率标准差④</w:t>
            </w:r>
          </w:p>
        </w:tc>
        <w:tc>
          <w:tcPr>
            <w:tcW w:w="1194" w:type="dxa"/>
            <w:tcMar>
              <w:top w:w="57" w:type="dxa"/>
              <w:left w:w="108" w:type="dxa"/>
              <w:bottom w:w="57" w:type="dxa"/>
              <w:right w:w="108" w:type="dxa"/>
            </w:tcMar>
            <w:vAlign w:val="center"/>
            <w:hideMark/>
          </w:tcPr>
          <w:p w:rsidR="00243BAB" w:rsidRPr="00243BAB" w:rsidRDefault="00243BAB" w:rsidP="00243BAB">
            <w:pPr>
              <w:widowControl/>
              <w:autoSpaceDE w:val="0"/>
              <w:autoSpaceDN w:val="0"/>
              <w:spacing w:before="29" w:line="288" w:lineRule="auto"/>
              <w:ind w:left="17"/>
              <w:jc w:val="center"/>
              <w:rPr>
                <w:rFonts w:eastAsiaTheme="minorEastAsia" w:cs="宋体"/>
                <w:color w:val="000000"/>
                <w:kern w:val="0"/>
                <w:sz w:val="24"/>
              </w:rPr>
            </w:pPr>
            <w:r w:rsidRPr="00243BAB">
              <w:rPr>
                <w:rFonts w:eastAsiaTheme="minorEastAsia" w:cs="宋体" w:hint="eastAsia"/>
                <w:color w:val="000000"/>
                <w:kern w:val="0"/>
                <w:sz w:val="24"/>
              </w:rPr>
              <w:t>①</w:t>
            </w:r>
            <w:r w:rsidRPr="00243BAB">
              <w:rPr>
                <w:rFonts w:eastAsiaTheme="minorEastAsia" w:cs="宋体" w:hint="eastAsia"/>
                <w:color w:val="000000"/>
                <w:kern w:val="0"/>
                <w:sz w:val="24"/>
              </w:rPr>
              <w:t>-</w:t>
            </w:r>
            <w:r w:rsidRPr="00243BAB">
              <w:rPr>
                <w:rFonts w:eastAsiaTheme="minorEastAsia" w:cs="宋体" w:hint="eastAsia"/>
                <w:color w:val="000000"/>
                <w:kern w:val="0"/>
                <w:sz w:val="24"/>
              </w:rPr>
              <w:t>③</w:t>
            </w:r>
          </w:p>
        </w:tc>
        <w:tc>
          <w:tcPr>
            <w:tcW w:w="1048" w:type="dxa"/>
            <w:tcMar>
              <w:top w:w="57" w:type="dxa"/>
              <w:left w:w="108" w:type="dxa"/>
              <w:bottom w:w="57" w:type="dxa"/>
              <w:right w:w="108" w:type="dxa"/>
            </w:tcMar>
            <w:vAlign w:val="center"/>
            <w:hideMark/>
          </w:tcPr>
          <w:p w:rsidR="00243BAB" w:rsidRPr="00243BAB" w:rsidRDefault="00243BAB" w:rsidP="00243BAB">
            <w:pPr>
              <w:widowControl/>
              <w:autoSpaceDE w:val="0"/>
              <w:autoSpaceDN w:val="0"/>
              <w:spacing w:before="29" w:line="288" w:lineRule="auto"/>
              <w:ind w:left="17"/>
              <w:jc w:val="center"/>
              <w:rPr>
                <w:rFonts w:eastAsiaTheme="minorEastAsia" w:cs="宋体"/>
                <w:color w:val="000000"/>
                <w:kern w:val="0"/>
                <w:sz w:val="24"/>
              </w:rPr>
            </w:pPr>
            <w:r w:rsidRPr="00243BAB">
              <w:rPr>
                <w:rFonts w:eastAsiaTheme="minorEastAsia" w:cs="宋体" w:hint="eastAsia"/>
                <w:color w:val="000000"/>
                <w:kern w:val="0"/>
                <w:sz w:val="24"/>
              </w:rPr>
              <w:t>②</w:t>
            </w:r>
            <w:r w:rsidRPr="00243BAB">
              <w:rPr>
                <w:rFonts w:eastAsiaTheme="minorEastAsia" w:cs="宋体" w:hint="eastAsia"/>
                <w:color w:val="000000"/>
                <w:kern w:val="0"/>
                <w:sz w:val="24"/>
              </w:rPr>
              <w:t>-</w:t>
            </w:r>
            <w:r w:rsidRPr="00243BAB">
              <w:rPr>
                <w:rFonts w:eastAsiaTheme="minorEastAsia" w:cs="宋体" w:hint="eastAsia"/>
                <w:color w:val="000000"/>
                <w:kern w:val="0"/>
                <w:sz w:val="24"/>
              </w:rPr>
              <w:t>④</w:t>
            </w:r>
          </w:p>
        </w:tc>
      </w:tr>
      <w:tr w:rsidR="00243BAB" w:rsidRPr="00243BAB" w:rsidTr="00A4743E">
        <w:trPr>
          <w:jc w:val="center"/>
        </w:trPr>
        <w:tc>
          <w:tcPr>
            <w:tcW w:w="1699" w:type="dxa"/>
            <w:tcMar>
              <w:top w:w="57" w:type="dxa"/>
              <w:left w:w="108" w:type="dxa"/>
              <w:bottom w:w="57" w:type="dxa"/>
              <w:right w:w="108" w:type="dxa"/>
            </w:tcMar>
            <w:vAlign w:val="center"/>
            <w:hideMark/>
          </w:tcPr>
          <w:p w:rsidR="00243BAB" w:rsidRPr="00243BAB" w:rsidRDefault="00243BAB" w:rsidP="00243BAB">
            <w:pPr>
              <w:widowControl/>
              <w:jc w:val="left"/>
              <w:rPr>
                <w:rFonts w:eastAsiaTheme="minorEastAsia" w:cs="宋体"/>
                <w:kern w:val="0"/>
                <w:szCs w:val="21"/>
              </w:rPr>
            </w:pPr>
            <w:r w:rsidRPr="00243BAB">
              <w:rPr>
                <w:rFonts w:eastAsiaTheme="minorEastAsia" w:cs="宋体" w:hint="eastAsia"/>
                <w:color w:val="000000"/>
                <w:kern w:val="0"/>
                <w:sz w:val="24"/>
              </w:rPr>
              <w:t>过去三个月</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4.91%</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1.73%</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4.64%</w:t>
            </w:r>
          </w:p>
        </w:tc>
        <w:tc>
          <w:tcPr>
            <w:tcW w:w="1342"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1.63%</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0.27%</w:t>
            </w:r>
          </w:p>
        </w:tc>
        <w:tc>
          <w:tcPr>
            <w:tcW w:w="1048"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0.10%</w:t>
            </w:r>
          </w:p>
        </w:tc>
      </w:tr>
      <w:tr w:rsidR="00243BAB" w:rsidRPr="00243BAB" w:rsidTr="00A4743E">
        <w:trPr>
          <w:jc w:val="center"/>
        </w:trPr>
        <w:tc>
          <w:tcPr>
            <w:tcW w:w="1699" w:type="dxa"/>
            <w:tcMar>
              <w:top w:w="57" w:type="dxa"/>
              <w:left w:w="108" w:type="dxa"/>
              <w:bottom w:w="57" w:type="dxa"/>
              <w:right w:w="108" w:type="dxa"/>
            </w:tcMar>
            <w:vAlign w:val="center"/>
            <w:hideMark/>
          </w:tcPr>
          <w:p w:rsidR="00243BAB" w:rsidRPr="00243BAB" w:rsidRDefault="00243BAB" w:rsidP="00243BAB">
            <w:pPr>
              <w:widowControl/>
              <w:jc w:val="left"/>
              <w:rPr>
                <w:rFonts w:eastAsiaTheme="minorEastAsia" w:cs="宋体"/>
                <w:kern w:val="0"/>
                <w:szCs w:val="21"/>
              </w:rPr>
            </w:pPr>
            <w:r w:rsidRPr="00243BAB">
              <w:rPr>
                <w:rFonts w:eastAsiaTheme="minorEastAsia" w:cs="宋体" w:hint="eastAsia"/>
                <w:color w:val="000000"/>
                <w:kern w:val="0"/>
                <w:sz w:val="24"/>
              </w:rPr>
              <w:t>过去六个月</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41.69%</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1.77%</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41.30%</w:t>
            </w:r>
          </w:p>
        </w:tc>
        <w:tc>
          <w:tcPr>
            <w:tcW w:w="1342"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1.67%</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0.39%</w:t>
            </w:r>
          </w:p>
        </w:tc>
        <w:tc>
          <w:tcPr>
            <w:tcW w:w="1048"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0.10%</w:t>
            </w:r>
          </w:p>
        </w:tc>
      </w:tr>
      <w:tr w:rsidR="00243BAB" w:rsidRPr="00243BAB" w:rsidTr="00A4743E">
        <w:trPr>
          <w:jc w:val="center"/>
        </w:trPr>
        <w:tc>
          <w:tcPr>
            <w:tcW w:w="1699" w:type="dxa"/>
            <w:tcMar>
              <w:top w:w="57" w:type="dxa"/>
              <w:left w:w="108" w:type="dxa"/>
              <w:bottom w:w="57" w:type="dxa"/>
              <w:right w:w="108" w:type="dxa"/>
            </w:tcMar>
            <w:vAlign w:val="center"/>
            <w:hideMark/>
          </w:tcPr>
          <w:p w:rsidR="00243BAB" w:rsidRPr="00243BAB" w:rsidRDefault="00243BAB" w:rsidP="00243BAB">
            <w:pPr>
              <w:widowControl/>
              <w:jc w:val="left"/>
              <w:rPr>
                <w:rFonts w:eastAsiaTheme="minorEastAsia" w:cs="宋体"/>
                <w:kern w:val="0"/>
                <w:szCs w:val="21"/>
              </w:rPr>
            </w:pPr>
            <w:r w:rsidRPr="00243BAB">
              <w:rPr>
                <w:rFonts w:eastAsiaTheme="minorEastAsia" w:cs="宋体" w:hint="eastAsia"/>
                <w:color w:val="000000"/>
                <w:kern w:val="0"/>
                <w:sz w:val="24"/>
              </w:rPr>
              <w:t>过去一年</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55.79%</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1.82%</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52.60%</w:t>
            </w:r>
          </w:p>
        </w:tc>
        <w:tc>
          <w:tcPr>
            <w:tcW w:w="1342"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1.74%</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3.19%</w:t>
            </w:r>
          </w:p>
        </w:tc>
        <w:tc>
          <w:tcPr>
            <w:tcW w:w="1048"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0.08%</w:t>
            </w:r>
          </w:p>
        </w:tc>
      </w:tr>
      <w:tr w:rsidR="00243BAB" w:rsidRPr="00243BAB" w:rsidTr="00A4743E">
        <w:trPr>
          <w:jc w:val="center"/>
        </w:trPr>
        <w:tc>
          <w:tcPr>
            <w:tcW w:w="1699" w:type="dxa"/>
            <w:tcMar>
              <w:top w:w="57" w:type="dxa"/>
              <w:left w:w="108" w:type="dxa"/>
              <w:bottom w:w="57" w:type="dxa"/>
              <w:right w:w="108" w:type="dxa"/>
            </w:tcMar>
            <w:vAlign w:val="center"/>
            <w:hideMark/>
          </w:tcPr>
          <w:p w:rsidR="00243BAB" w:rsidRPr="00243BAB" w:rsidRDefault="00243BAB" w:rsidP="00243BAB">
            <w:pPr>
              <w:widowControl/>
              <w:jc w:val="left"/>
              <w:rPr>
                <w:rFonts w:eastAsiaTheme="minorEastAsia" w:cs="宋体"/>
                <w:kern w:val="0"/>
                <w:szCs w:val="21"/>
              </w:rPr>
            </w:pPr>
            <w:r w:rsidRPr="00243BAB">
              <w:rPr>
                <w:rFonts w:eastAsiaTheme="minorEastAsia" w:cs="宋体" w:hint="eastAsia"/>
                <w:color w:val="000000"/>
                <w:kern w:val="0"/>
                <w:sz w:val="24"/>
              </w:rPr>
              <w:t>过去三年</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31.52%</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1.74%</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27.77%</w:t>
            </w:r>
          </w:p>
        </w:tc>
        <w:tc>
          <w:tcPr>
            <w:tcW w:w="1342"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1.65%</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3.75%</w:t>
            </w:r>
          </w:p>
        </w:tc>
        <w:tc>
          <w:tcPr>
            <w:tcW w:w="1048"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0.09%</w:t>
            </w:r>
          </w:p>
        </w:tc>
      </w:tr>
      <w:tr w:rsidR="00243BAB" w:rsidRPr="00243BAB" w:rsidTr="00A4743E">
        <w:trPr>
          <w:jc w:val="center"/>
        </w:trPr>
        <w:tc>
          <w:tcPr>
            <w:tcW w:w="1699" w:type="dxa"/>
            <w:tcMar>
              <w:top w:w="57" w:type="dxa"/>
              <w:left w:w="108" w:type="dxa"/>
              <w:bottom w:w="57" w:type="dxa"/>
              <w:right w:w="108" w:type="dxa"/>
            </w:tcMar>
            <w:vAlign w:val="center"/>
            <w:hideMark/>
          </w:tcPr>
          <w:p w:rsidR="00243BAB" w:rsidRPr="00243BAB" w:rsidRDefault="00243BAB" w:rsidP="00243BAB">
            <w:pPr>
              <w:widowControl/>
              <w:jc w:val="left"/>
              <w:rPr>
                <w:rFonts w:eastAsiaTheme="minorEastAsia" w:cs="宋体"/>
                <w:kern w:val="0"/>
                <w:szCs w:val="21"/>
              </w:rPr>
            </w:pPr>
            <w:r w:rsidRPr="00243BAB">
              <w:rPr>
                <w:rFonts w:eastAsiaTheme="minorEastAsia" w:cs="宋体" w:hint="eastAsia"/>
                <w:color w:val="000000"/>
                <w:kern w:val="0"/>
                <w:sz w:val="24"/>
              </w:rPr>
              <w:t>过去五年</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143.95%</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1.57%</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147.01%</w:t>
            </w:r>
          </w:p>
        </w:tc>
        <w:tc>
          <w:tcPr>
            <w:tcW w:w="1342"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1.51%</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-3.06%</w:t>
            </w:r>
          </w:p>
        </w:tc>
        <w:tc>
          <w:tcPr>
            <w:tcW w:w="1048"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0.06%</w:t>
            </w:r>
          </w:p>
        </w:tc>
      </w:tr>
      <w:tr w:rsidR="00243BAB" w:rsidRPr="00243BAB" w:rsidTr="00A4743E">
        <w:trPr>
          <w:jc w:val="center"/>
        </w:trPr>
        <w:tc>
          <w:tcPr>
            <w:tcW w:w="1699" w:type="dxa"/>
            <w:tcMar>
              <w:top w:w="57" w:type="dxa"/>
              <w:left w:w="108" w:type="dxa"/>
              <w:bottom w:w="57" w:type="dxa"/>
              <w:right w:w="108" w:type="dxa"/>
            </w:tcMar>
            <w:vAlign w:val="center"/>
            <w:hideMark/>
          </w:tcPr>
          <w:p w:rsidR="00243BAB" w:rsidRPr="00243BAB" w:rsidRDefault="00243BAB" w:rsidP="00243BAB">
            <w:pPr>
              <w:widowControl/>
              <w:jc w:val="left"/>
              <w:rPr>
                <w:rFonts w:eastAsiaTheme="minorEastAsia" w:cs="宋体"/>
                <w:kern w:val="0"/>
                <w:szCs w:val="21"/>
              </w:rPr>
            </w:pPr>
            <w:r w:rsidRPr="00243BAB">
              <w:rPr>
                <w:rFonts w:eastAsiaTheme="minorEastAsia" w:cs="宋体" w:hint="eastAsia"/>
                <w:color w:val="000000"/>
                <w:kern w:val="0"/>
                <w:sz w:val="24"/>
              </w:rPr>
              <w:t>自基金合同生效起至今</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81.50%</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1.60%</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82.62%</w:t>
            </w:r>
          </w:p>
        </w:tc>
        <w:tc>
          <w:tcPr>
            <w:tcW w:w="1342"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1.57%</w:t>
            </w:r>
          </w:p>
        </w:tc>
        <w:tc>
          <w:tcPr>
            <w:tcW w:w="1194"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-1.12%</w:t>
            </w:r>
          </w:p>
        </w:tc>
        <w:tc>
          <w:tcPr>
            <w:tcW w:w="1048" w:type="dxa"/>
            <w:tcMar>
              <w:top w:w="57" w:type="dxa"/>
              <w:left w:w="108" w:type="dxa"/>
              <w:bottom w:w="57" w:type="dxa"/>
              <w:right w:w="108" w:type="dxa"/>
            </w:tcMar>
            <w:vAlign w:val="center"/>
            <w:hideMark/>
          </w:tcPr>
          <w:p w:rsidR="00243BAB" w:rsidRPr="00243BAB" w:rsidRDefault="00243BAB" w:rsidP="00243BAB">
            <w:pPr>
              <w:widowControl/>
              <w:jc w:val="right"/>
              <w:rPr>
                <w:rFonts w:eastAsiaTheme="minorEastAsia" w:cs="宋体"/>
                <w:kern w:val="0"/>
                <w:szCs w:val="21"/>
              </w:rPr>
            </w:pPr>
            <w:r w:rsidRPr="00243BAB">
              <w:rPr>
                <w:rFonts w:eastAsiaTheme="minorEastAsia" w:cs="宋体" w:hint="eastAsia"/>
                <w:color w:val="000000"/>
                <w:kern w:val="0"/>
                <w:sz w:val="24"/>
              </w:rPr>
              <w:t>0.03%</w:t>
            </w:r>
          </w:p>
        </w:tc>
      </w:tr>
    </w:tbl>
    <w:p w:rsidR="0076518F" w:rsidRPr="008640AE" w:rsidRDefault="00243BAB" w:rsidP="005546C0">
      <w:pPr>
        <w:autoSpaceDE w:val="0"/>
        <w:autoSpaceDN w:val="0"/>
        <w:adjustRightInd w:val="0"/>
        <w:spacing w:before="29" w:line="288" w:lineRule="auto"/>
        <w:jc w:val="left"/>
        <w:rPr>
          <w:color w:val="000000"/>
          <w:kern w:val="0"/>
          <w:sz w:val="24"/>
        </w:rPr>
      </w:pPr>
      <w:r w:rsidRPr="00243BAB">
        <w:rPr>
          <w:rFonts w:hint="eastAsia"/>
          <w:color w:val="000000"/>
          <w:kern w:val="0"/>
          <w:sz w:val="24"/>
        </w:rPr>
        <w:t>注：本基金的业绩比较基准为中证海外中国互联网指数收益率×</w:t>
      </w:r>
      <w:r w:rsidRPr="00243BAB">
        <w:rPr>
          <w:rFonts w:hint="eastAsia"/>
          <w:color w:val="000000"/>
          <w:kern w:val="0"/>
          <w:sz w:val="24"/>
        </w:rPr>
        <w:t>95%</w:t>
      </w:r>
      <w:r w:rsidRPr="00243BAB">
        <w:rPr>
          <w:rFonts w:hint="eastAsia"/>
          <w:color w:val="000000"/>
          <w:kern w:val="0"/>
          <w:sz w:val="24"/>
        </w:rPr>
        <w:t>＋银行活期存款利率（税后）×</w:t>
      </w:r>
      <w:r w:rsidRPr="00243BAB">
        <w:rPr>
          <w:rFonts w:hint="eastAsia"/>
          <w:color w:val="000000"/>
          <w:kern w:val="0"/>
          <w:sz w:val="24"/>
        </w:rPr>
        <w:t>5%</w:t>
      </w:r>
      <w:r w:rsidRPr="00243BAB">
        <w:rPr>
          <w:rFonts w:hint="eastAsia"/>
          <w:color w:val="000000"/>
          <w:kern w:val="0"/>
          <w:sz w:val="24"/>
        </w:rPr>
        <w:t>，每日进行再平衡过程。</w:t>
      </w:r>
      <w:r w:rsidR="00932021" w:rsidRPr="00932021">
        <w:rPr>
          <w:rFonts w:hint="eastAsia"/>
          <w:color w:val="000000"/>
          <w:kern w:val="0"/>
          <w:sz w:val="24"/>
        </w:rPr>
        <w:t>其中中证海外中国互联网指数采用人民币价格，</w:t>
      </w:r>
      <w:bookmarkStart w:id="0" w:name="_GoBack"/>
      <w:r w:rsidR="00746C07" w:rsidRPr="00746C07">
        <w:rPr>
          <w:rFonts w:hint="eastAsia"/>
          <w:color w:val="000000"/>
          <w:kern w:val="0"/>
          <w:sz w:val="24"/>
        </w:rPr>
        <w:t>自</w:t>
      </w:r>
      <w:r w:rsidR="00746C07" w:rsidRPr="00746C07">
        <w:rPr>
          <w:rFonts w:hint="eastAsia"/>
          <w:color w:val="000000"/>
          <w:kern w:val="0"/>
          <w:sz w:val="24"/>
        </w:rPr>
        <w:t>2020</w:t>
      </w:r>
      <w:r w:rsidR="00746C07" w:rsidRPr="00746C07">
        <w:rPr>
          <w:rFonts w:hint="eastAsia"/>
          <w:color w:val="000000"/>
          <w:kern w:val="0"/>
          <w:sz w:val="24"/>
        </w:rPr>
        <w:t>年第三季度报告起追溯调整过往业绩比较基准收益率</w:t>
      </w:r>
      <w:r w:rsidR="00932021" w:rsidRPr="00932021">
        <w:rPr>
          <w:rFonts w:hint="eastAsia"/>
          <w:color w:val="000000"/>
          <w:kern w:val="0"/>
          <w:sz w:val="24"/>
        </w:rPr>
        <w:t>。</w:t>
      </w:r>
    </w:p>
    <w:bookmarkEnd w:id="0"/>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2020</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6C31C1" w:rsidP="005546C0">
      <w:pPr>
        <w:tabs>
          <w:tab w:val="left" w:pos="1800"/>
        </w:tabs>
        <w:spacing w:before="29" w:line="288" w:lineRule="auto"/>
        <w:jc w:val="center"/>
        <w:rPr>
          <w:color w:val="000000"/>
          <w:sz w:val="24"/>
        </w:rPr>
      </w:pPr>
      <w:r w:rsidRPr="006C31C1">
        <w:rPr>
          <w:noProof/>
        </w:rPr>
        <w:drawing>
          <wp:inline distT="0" distB="0" distL="0" distR="0" wp14:anchorId="4B7388F4" wp14:editId="728CA31A">
            <wp:extent cx="5731510" cy="3376989"/>
            <wp:effectExtent l="0" t="0" r="0" b="0"/>
            <wp:docPr id="2"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731510" cy="3376989"/>
                    </a:xfrm>
                    <a:prstGeom prst="rect">
                      <a:avLst/>
                    </a:prstGeom>
                    <a:noFill/>
                    <a:ln>
                      <a:noFill/>
                    </a:ln>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B366C6">
        <w:trPr>
          <w:jc w:val="center"/>
        </w:trPr>
        <w:tc>
          <w:tcPr>
            <w:tcW w:w="846" w:type="dxa"/>
            <w:vAlign w:val="center"/>
          </w:tcPr>
          <w:p w:rsidR="00B366C6" w:rsidRDefault="004F335C">
            <w:pPr>
              <w:jc w:val="center"/>
            </w:pPr>
            <w:r>
              <w:rPr>
                <w:color w:val="000000"/>
                <w:sz w:val="24"/>
              </w:rPr>
              <w:t>蔡铮</w:t>
            </w:r>
          </w:p>
        </w:tc>
        <w:tc>
          <w:tcPr>
            <w:tcW w:w="845" w:type="dxa"/>
            <w:vAlign w:val="center"/>
          </w:tcPr>
          <w:p w:rsidR="00B366C6" w:rsidRDefault="004F335C">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指数的基金经理，公司量化投资副总监兼多元资产管理副总监</w:t>
            </w:r>
          </w:p>
        </w:tc>
        <w:tc>
          <w:tcPr>
            <w:tcW w:w="1549" w:type="dxa"/>
            <w:vAlign w:val="center"/>
          </w:tcPr>
          <w:p w:rsidR="00B366C6" w:rsidRDefault="004F335C">
            <w:pPr>
              <w:jc w:val="center"/>
            </w:pPr>
            <w:r>
              <w:rPr>
                <w:color w:val="000000"/>
                <w:sz w:val="24"/>
              </w:rPr>
              <w:t>2015-05-27</w:t>
            </w:r>
          </w:p>
        </w:tc>
        <w:tc>
          <w:tcPr>
            <w:tcW w:w="1548" w:type="dxa"/>
            <w:vAlign w:val="center"/>
          </w:tcPr>
          <w:p w:rsidR="00B366C6" w:rsidRDefault="004F335C">
            <w:pPr>
              <w:jc w:val="center"/>
            </w:pPr>
            <w:r>
              <w:rPr>
                <w:color w:val="000000"/>
                <w:sz w:val="24"/>
              </w:rPr>
              <w:t>-</w:t>
            </w:r>
          </w:p>
        </w:tc>
        <w:tc>
          <w:tcPr>
            <w:tcW w:w="1407" w:type="dxa"/>
            <w:vAlign w:val="center"/>
          </w:tcPr>
          <w:p w:rsidR="00B366C6" w:rsidRDefault="004F335C">
            <w:pPr>
              <w:jc w:val="center"/>
            </w:pPr>
            <w:r>
              <w:rPr>
                <w:color w:val="000000"/>
                <w:sz w:val="24"/>
              </w:rPr>
              <w:t>11</w:t>
            </w:r>
            <w:r>
              <w:rPr>
                <w:color w:val="000000"/>
                <w:sz w:val="24"/>
              </w:rPr>
              <w:t>年</w:t>
            </w:r>
          </w:p>
        </w:tc>
        <w:tc>
          <w:tcPr>
            <w:tcW w:w="2673" w:type="dxa"/>
            <w:vAlign w:val="center"/>
          </w:tcPr>
          <w:p w:rsidR="00B366C6" w:rsidRDefault="004F335C">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B366C6" w:rsidRDefault="004F335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366C6" w:rsidRDefault="004F335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366C6" w:rsidRDefault="004F335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B366C6" w:rsidRDefault="004F33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2020年三季度，全球范围内新冠疫情持续蔓延，每日新增确诊人数仍在高位徘徊。同时，像印度、巴西等发展中大国确诊人数开始快速上升，整体情况仍十分严峻。九月以来以西班牙、法国和英国为代表的欧洲区域疫情再度升级，部分国家可能会采取更为严格的封锁措施。叠加美国新一轮财政刺激迟迟无法推出，投资者担忧情绪升温，美股市场短期波动有所加大。作为跟踪中证海外中国互联网指数的指数基金，三季度基金总体呈现出震荡态势。</w:t>
      </w:r>
    </w:p>
    <w:p w:rsidR="00B366C6" w:rsidRDefault="004F335C">
      <w:pPr>
        <w:spacing w:line="360" w:lineRule="auto"/>
        <w:ind w:firstLineChars="200" w:firstLine="420"/>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展望2020年四季度，海外疫情的持续导致全球经济复苏或将出现边际放缓趋势，同时美国大选等风险因素可能对短期市场产生一定冲击。为缓解疫情冲击，发达经济体未来或将进一步加大财政刺激的力度，货币宽松的趋势大概率仍将延续。国内方面，国内经济继续保持修复性增长，其中消费和出口上行趋势相对明显。考虑到海外疫情和美国大选等不确定性因素，我们总体上对于中国海外互联网板块的表现保持谨慎乐观的看法。</w:t>
      </w:r>
    </w:p>
    <w:p w:rsidR="009E7EF6" w:rsidRPr="008277FF" w:rsidRDefault="009E7EF6" w:rsidP="009E7EF6">
      <w:pPr>
        <w:spacing w:line="360" w:lineRule="auto"/>
        <w:ind w:firstLineChars="200" w:firstLine="420"/>
        <w:rPr>
          <w:rFonts w:asciiTheme="minorEastAsia" w:eastAsiaTheme="minorEastAsia" w:hAnsiTheme="minorEastAsia"/>
          <w:color w:val="000000" w:themeColor="text1"/>
          <w:szCs w:val="21"/>
        </w:rPr>
      </w:pPr>
      <w:r w:rsidRPr="008277FF">
        <w:rPr>
          <w:rFonts w:asciiTheme="minorEastAsia" w:eastAsiaTheme="minorEastAsia" w:hAnsiTheme="minorEastAsia"/>
          <w:color w:val="000000" w:themeColor="text1"/>
          <w:szCs w:val="21"/>
        </w:rPr>
        <w:t>本基金（各类）份额净值及业绩表现请见“3.1主要财务指标” 及“3.2.1 本报告期基金份额净值增长率及其与同期业绩比较基准收益率的比较”部分披露。</w:t>
      </w:r>
    </w:p>
    <w:p w:rsidR="00C736BB" w:rsidRPr="009E7EF6"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p w:rsidR="00D005B0" w:rsidRPr="00D005B0" w:rsidRDefault="00D005B0" w:rsidP="00D005B0">
      <w:pPr>
        <w:autoSpaceDE w:val="0"/>
        <w:autoSpaceDN w:val="0"/>
        <w:adjustRightInd w:val="0"/>
        <w:spacing w:before="29" w:line="288" w:lineRule="auto"/>
        <w:jc w:val="right"/>
        <w:rPr>
          <w:color w:val="000000"/>
          <w:kern w:val="0"/>
          <w:sz w:val="24"/>
        </w:rPr>
      </w:pPr>
      <w:r w:rsidRPr="00D005B0">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2802"/>
        <w:gridCol w:w="3118"/>
        <w:gridCol w:w="2143"/>
      </w:tblGrid>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2802"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3118"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p>
        </w:tc>
        <w:tc>
          <w:tcPr>
            <w:tcW w:w="2143" w:type="dxa"/>
            <w:shd w:val="clear" w:color="auto" w:fill="auto"/>
            <w:vAlign w:val="center"/>
          </w:tcPr>
          <w:p w:rsidR="00363E15" w:rsidRPr="008640AE" w:rsidRDefault="00363E15" w:rsidP="007F7FBA">
            <w:pPr>
              <w:spacing w:before="29" w:line="288" w:lineRule="auto"/>
              <w:ind w:left="17"/>
              <w:jc w:val="center"/>
              <w:rPr>
                <w:color w:val="000000"/>
                <w:sz w:val="24"/>
              </w:rPr>
            </w:pPr>
            <w:r w:rsidRPr="008640AE">
              <w:rPr>
                <w:color w:val="000000"/>
                <w:sz w:val="24"/>
              </w:rPr>
              <w:t>占基金总资产的比例</w:t>
            </w:r>
            <w:r w:rsidR="007F7FBA">
              <w:rPr>
                <w:rFonts w:hint="eastAsia"/>
                <w:color w:val="000000"/>
                <w:sz w:val="24"/>
              </w:rPr>
              <w:t>(</w:t>
            </w:r>
            <w:r w:rsidR="007F7FBA">
              <w:rPr>
                <w:color w:val="000000"/>
                <w:sz w:val="24"/>
              </w:rPr>
              <w:t>%</w:t>
            </w:r>
            <w:r w:rsidR="007F7FBA">
              <w:rPr>
                <w:rFonts w:hint="eastAsia"/>
                <w:color w:val="000000"/>
                <w:sz w:val="24"/>
              </w:rPr>
              <w:t>)</w:t>
            </w:r>
          </w:p>
        </w:tc>
      </w:tr>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2802"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3118"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1,648,928,181.27</w:t>
            </w:r>
          </w:p>
        </w:tc>
        <w:tc>
          <w:tcPr>
            <w:tcW w:w="2143"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92.53</w:t>
            </w:r>
          </w:p>
        </w:tc>
      </w:tr>
      <w:tr w:rsidR="00363E15" w:rsidRPr="008640AE" w:rsidTr="007F7FBA">
        <w:trPr>
          <w:jc w:val="center"/>
        </w:trPr>
        <w:tc>
          <w:tcPr>
            <w:tcW w:w="805"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2802"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3118"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492,242,617.49</w:t>
            </w:r>
          </w:p>
        </w:tc>
        <w:tc>
          <w:tcPr>
            <w:tcW w:w="2143"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27.62</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1,156,685,563.78</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64.91</w:t>
            </w:r>
          </w:p>
        </w:tc>
      </w:tr>
      <w:tr w:rsidR="00CE4499" w:rsidRPr="008640AE" w:rsidTr="007F7FBA">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2802"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3118"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7F7FBA">
        <w:trPr>
          <w:jc w:val="center"/>
        </w:trPr>
        <w:tc>
          <w:tcPr>
            <w:tcW w:w="805"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2802"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r w:rsidR="00D005B0" w:rsidRPr="008640AE">
              <w:rPr>
                <w:color w:val="000000"/>
                <w:sz w:val="24"/>
              </w:rPr>
              <w:t>凭证</w:t>
            </w:r>
          </w:p>
        </w:tc>
        <w:tc>
          <w:tcPr>
            <w:tcW w:w="3118"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3118"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3118"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2802"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3118"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2143"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2802"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3118"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95,826,064.62</w:t>
            </w:r>
          </w:p>
        </w:tc>
        <w:tc>
          <w:tcPr>
            <w:tcW w:w="2143"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5.38</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2802"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C12856">
              <w:rPr>
                <w:rFonts w:hint="eastAsia"/>
                <w:color w:val="000000"/>
                <w:sz w:val="24"/>
              </w:rPr>
              <w:t>各项</w:t>
            </w:r>
            <w:r w:rsidR="00E462F4" w:rsidRPr="008640AE">
              <w:rPr>
                <w:color w:val="000000"/>
                <w:sz w:val="24"/>
              </w:rPr>
              <w:t>资产</w:t>
            </w:r>
          </w:p>
        </w:tc>
        <w:tc>
          <w:tcPr>
            <w:tcW w:w="3118"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37,220,450.05</w:t>
            </w:r>
          </w:p>
        </w:tc>
        <w:tc>
          <w:tcPr>
            <w:tcW w:w="2143"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2.09</w:t>
            </w:r>
          </w:p>
        </w:tc>
      </w:tr>
      <w:tr w:rsidR="00E462F4" w:rsidRPr="008640AE" w:rsidTr="007F7FBA">
        <w:trPr>
          <w:jc w:val="center"/>
        </w:trPr>
        <w:tc>
          <w:tcPr>
            <w:tcW w:w="805"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2802"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3118"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1,781,974,695.94</w:t>
            </w:r>
          </w:p>
        </w:tc>
        <w:tc>
          <w:tcPr>
            <w:tcW w:w="2143"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p w:rsidR="00173CEB" w:rsidRPr="00173CEB" w:rsidRDefault="00173CEB" w:rsidP="00173CEB">
      <w:pPr>
        <w:autoSpaceDE w:val="0"/>
        <w:autoSpaceDN w:val="0"/>
        <w:adjustRightInd w:val="0"/>
        <w:spacing w:before="29" w:line="288" w:lineRule="auto"/>
        <w:jc w:val="right"/>
        <w:rPr>
          <w:color w:val="000000"/>
          <w:kern w:val="0"/>
          <w:sz w:val="24"/>
        </w:rPr>
      </w:pPr>
      <w:r w:rsidRPr="00173CEB">
        <w:rPr>
          <w:rFonts w:hint="eastAsia"/>
          <w:color w:val="000000"/>
          <w:kern w:val="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366C6">
        <w:trPr>
          <w:jc w:val="center"/>
        </w:trPr>
        <w:tc>
          <w:tcPr>
            <w:tcW w:w="2484" w:type="dxa"/>
            <w:vAlign w:val="center"/>
          </w:tcPr>
          <w:p w:rsidR="00B366C6" w:rsidRDefault="004F335C">
            <w:pPr>
              <w:jc w:val="left"/>
            </w:pPr>
            <w:r>
              <w:rPr>
                <w:color w:val="000000"/>
                <w:sz w:val="24"/>
              </w:rPr>
              <w:t>美国</w:t>
            </w:r>
          </w:p>
        </w:tc>
        <w:tc>
          <w:tcPr>
            <w:tcW w:w="3214" w:type="dxa"/>
            <w:vAlign w:val="center"/>
          </w:tcPr>
          <w:p w:rsidR="00B366C6" w:rsidRDefault="004F335C">
            <w:pPr>
              <w:jc w:val="right"/>
            </w:pPr>
            <w:r>
              <w:rPr>
                <w:color w:val="000000"/>
                <w:sz w:val="24"/>
              </w:rPr>
              <w:t>1,175,422,960.91</w:t>
            </w:r>
          </w:p>
        </w:tc>
        <w:tc>
          <w:tcPr>
            <w:tcW w:w="3170" w:type="dxa"/>
            <w:vAlign w:val="center"/>
          </w:tcPr>
          <w:p w:rsidR="00B366C6" w:rsidRDefault="004F335C">
            <w:pPr>
              <w:jc w:val="right"/>
            </w:pPr>
            <w:r>
              <w:rPr>
                <w:color w:val="000000"/>
                <w:sz w:val="24"/>
              </w:rPr>
              <w:t>67.82</w:t>
            </w:r>
          </w:p>
        </w:tc>
      </w:tr>
      <w:tr w:rsidR="00B366C6">
        <w:trPr>
          <w:jc w:val="center"/>
        </w:trPr>
        <w:tc>
          <w:tcPr>
            <w:tcW w:w="2484" w:type="dxa"/>
            <w:vAlign w:val="center"/>
          </w:tcPr>
          <w:p w:rsidR="00B366C6" w:rsidRDefault="004F335C">
            <w:pPr>
              <w:jc w:val="left"/>
            </w:pPr>
            <w:r>
              <w:rPr>
                <w:color w:val="000000"/>
                <w:sz w:val="24"/>
              </w:rPr>
              <w:t>香港</w:t>
            </w:r>
          </w:p>
        </w:tc>
        <w:tc>
          <w:tcPr>
            <w:tcW w:w="3214" w:type="dxa"/>
            <w:vAlign w:val="center"/>
          </w:tcPr>
          <w:p w:rsidR="00B366C6" w:rsidRDefault="004F335C">
            <w:pPr>
              <w:jc w:val="right"/>
            </w:pPr>
            <w:r>
              <w:rPr>
                <w:color w:val="000000"/>
                <w:sz w:val="24"/>
              </w:rPr>
              <w:t>473,505,220.36</w:t>
            </w:r>
          </w:p>
        </w:tc>
        <w:tc>
          <w:tcPr>
            <w:tcW w:w="3170" w:type="dxa"/>
            <w:vAlign w:val="center"/>
          </w:tcPr>
          <w:p w:rsidR="00B366C6" w:rsidRDefault="004F335C">
            <w:pPr>
              <w:jc w:val="right"/>
            </w:pPr>
            <w:r>
              <w:rPr>
                <w:color w:val="000000"/>
                <w:sz w:val="24"/>
              </w:rPr>
              <w:t>27.32</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1,648,928,181.27</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95.14</w:t>
            </w:r>
          </w:p>
        </w:tc>
      </w:tr>
    </w:tbl>
    <w:p w:rsidR="00B366C6" w:rsidRDefault="004F335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p w:rsidR="001C3D24" w:rsidRPr="001C3D24" w:rsidRDefault="001C3D24" w:rsidP="001C3D24">
      <w:pPr>
        <w:autoSpaceDE w:val="0"/>
        <w:autoSpaceDN w:val="0"/>
        <w:adjustRightInd w:val="0"/>
        <w:spacing w:before="29" w:line="288" w:lineRule="auto"/>
        <w:jc w:val="right"/>
        <w:rPr>
          <w:color w:val="000000"/>
          <w:kern w:val="0"/>
          <w:sz w:val="24"/>
        </w:rPr>
      </w:pPr>
      <w:r w:rsidRPr="001C3D24">
        <w:rPr>
          <w:rFonts w:hint="eastAsia"/>
          <w:color w:val="000000"/>
          <w:kern w:val="0"/>
          <w:sz w:val="24"/>
        </w:rPr>
        <w:t>金额单位：人民币元</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1C3D24"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Pr>
                <w:rFonts w:asciiTheme="minorEastAsia" w:eastAsiaTheme="minorEastAsia" w:hAnsiTheme="minorEastAsia" w:cs="Arial" w:hint="eastAsia"/>
                <w:color w:val="000000"/>
                <w:kern w:val="0"/>
                <w:sz w:val="24"/>
              </w:rPr>
              <w:t>公允价值</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B366C6">
        <w:tc>
          <w:tcPr>
            <w:tcW w:w="2787" w:type="dxa"/>
            <w:vAlign w:val="center"/>
          </w:tcPr>
          <w:p w:rsidR="00B366C6" w:rsidRDefault="004F335C">
            <w:pPr>
              <w:jc w:val="left"/>
            </w:pPr>
            <w:r>
              <w:rPr>
                <w:color w:val="000000"/>
                <w:sz w:val="24"/>
              </w:rPr>
              <w:t>通信服务</w:t>
            </w:r>
          </w:p>
        </w:tc>
        <w:tc>
          <w:tcPr>
            <w:tcW w:w="2976" w:type="dxa"/>
            <w:vAlign w:val="center"/>
          </w:tcPr>
          <w:p w:rsidR="00B366C6" w:rsidRDefault="004F335C">
            <w:pPr>
              <w:jc w:val="right"/>
            </w:pPr>
            <w:r>
              <w:rPr>
                <w:color w:val="000000"/>
                <w:sz w:val="24"/>
              </w:rPr>
              <w:t>613,855,604.71</w:t>
            </w:r>
          </w:p>
        </w:tc>
        <w:tc>
          <w:tcPr>
            <w:tcW w:w="3261" w:type="dxa"/>
            <w:vAlign w:val="center"/>
          </w:tcPr>
          <w:p w:rsidR="00B366C6" w:rsidRDefault="004F335C">
            <w:pPr>
              <w:jc w:val="right"/>
            </w:pPr>
            <w:r>
              <w:rPr>
                <w:color w:val="000000"/>
                <w:sz w:val="24"/>
              </w:rPr>
              <w:t>35.42</w:t>
            </w:r>
          </w:p>
        </w:tc>
      </w:tr>
      <w:tr w:rsidR="00B366C6">
        <w:tc>
          <w:tcPr>
            <w:tcW w:w="2787" w:type="dxa"/>
            <w:vAlign w:val="center"/>
          </w:tcPr>
          <w:p w:rsidR="00B366C6" w:rsidRDefault="004F335C">
            <w:pPr>
              <w:jc w:val="left"/>
            </w:pPr>
            <w:r>
              <w:rPr>
                <w:color w:val="000000"/>
                <w:sz w:val="24"/>
              </w:rPr>
              <w:t>非日常生活消费品</w:t>
            </w:r>
          </w:p>
        </w:tc>
        <w:tc>
          <w:tcPr>
            <w:tcW w:w="2976" w:type="dxa"/>
            <w:vAlign w:val="center"/>
          </w:tcPr>
          <w:p w:rsidR="00B366C6" w:rsidRDefault="004F335C">
            <w:pPr>
              <w:jc w:val="right"/>
            </w:pPr>
            <w:r>
              <w:rPr>
                <w:color w:val="000000"/>
                <w:sz w:val="24"/>
              </w:rPr>
              <w:t>807,061,465.98</w:t>
            </w:r>
          </w:p>
        </w:tc>
        <w:tc>
          <w:tcPr>
            <w:tcW w:w="3261" w:type="dxa"/>
            <w:vAlign w:val="center"/>
          </w:tcPr>
          <w:p w:rsidR="00B366C6" w:rsidRDefault="004F335C">
            <w:pPr>
              <w:jc w:val="right"/>
            </w:pPr>
            <w:r>
              <w:rPr>
                <w:color w:val="000000"/>
                <w:sz w:val="24"/>
              </w:rPr>
              <w:t>46.56</w:t>
            </w:r>
          </w:p>
        </w:tc>
      </w:tr>
      <w:tr w:rsidR="00B366C6">
        <w:tc>
          <w:tcPr>
            <w:tcW w:w="2787" w:type="dxa"/>
            <w:vAlign w:val="center"/>
          </w:tcPr>
          <w:p w:rsidR="00B366C6" w:rsidRDefault="004F335C">
            <w:pPr>
              <w:jc w:val="left"/>
            </w:pPr>
            <w:r>
              <w:rPr>
                <w:color w:val="000000"/>
                <w:sz w:val="24"/>
              </w:rPr>
              <w:t>工业</w:t>
            </w:r>
          </w:p>
        </w:tc>
        <w:tc>
          <w:tcPr>
            <w:tcW w:w="2976" w:type="dxa"/>
            <w:vAlign w:val="center"/>
          </w:tcPr>
          <w:p w:rsidR="00B366C6" w:rsidRDefault="004F335C">
            <w:pPr>
              <w:jc w:val="right"/>
            </w:pPr>
            <w:r>
              <w:rPr>
                <w:color w:val="000000"/>
                <w:sz w:val="24"/>
              </w:rPr>
              <w:t>17,473,838.10</w:t>
            </w:r>
          </w:p>
        </w:tc>
        <w:tc>
          <w:tcPr>
            <w:tcW w:w="3261" w:type="dxa"/>
            <w:vAlign w:val="center"/>
          </w:tcPr>
          <w:p w:rsidR="00B366C6" w:rsidRDefault="004F335C">
            <w:pPr>
              <w:jc w:val="right"/>
            </w:pPr>
            <w:r>
              <w:rPr>
                <w:color w:val="000000"/>
                <w:sz w:val="24"/>
              </w:rPr>
              <w:t>1.01</w:t>
            </w:r>
          </w:p>
        </w:tc>
      </w:tr>
      <w:tr w:rsidR="00B366C6">
        <w:tc>
          <w:tcPr>
            <w:tcW w:w="2787" w:type="dxa"/>
            <w:vAlign w:val="center"/>
          </w:tcPr>
          <w:p w:rsidR="00B366C6" w:rsidRDefault="004F335C">
            <w:pPr>
              <w:jc w:val="left"/>
            </w:pPr>
            <w:r>
              <w:rPr>
                <w:color w:val="000000"/>
                <w:sz w:val="24"/>
              </w:rPr>
              <w:t>房地产</w:t>
            </w:r>
          </w:p>
        </w:tc>
        <w:tc>
          <w:tcPr>
            <w:tcW w:w="2976" w:type="dxa"/>
            <w:vAlign w:val="center"/>
          </w:tcPr>
          <w:p w:rsidR="00B366C6" w:rsidRDefault="004F335C">
            <w:pPr>
              <w:jc w:val="right"/>
            </w:pPr>
            <w:r>
              <w:rPr>
                <w:color w:val="000000"/>
                <w:sz w:val="24"/>
              </w:rPr>
              <w:t>76,449,290.48</w:t>
            </w:r>
          </w:p>
        </w:tc>
        <w:tc>
          <w:tcPr>
            <w:tcW w:w="3261" w:type="dxa"/>
            <w:vAlign w:val="center"/>
          </w:tcPr>
          <w:p w:rsidR="00B366C6" w:rsidRDefault="004F335C">
            <w:pPr>
              <w:jc w:val="right"/>
            </w:pPr>
            <w:r>
              <w:rPr>
                <w:color w:val="000000"/>
                <w:sz w:val="24"/>
              </w:rPr>
              <w:t>4.41</w:t>
            </w:r>
          </w:p>
        </w:tc>
      </w:tr>
      <w:tr w:rsidR="00B366C6">
        <w:tc>
          <w:tcPr>
            <w:tcW w:w="2787" w:type="dxa"/>
            <w:vAlign w:val="center"/>
          </w:tcPr>
          <w:p w:rsidR="00B366C6" w:rsidRDefault="004F335C">
            <w:pPr>
              <w:jc w:val="left"/>
            </w:pPr>
            <w:r>
              <w:rPr>
                <w:color w:val="000000"/>
                <w:sz w:val="24"/>
              </w:rPr>
              <w:t>医疗保健</w:t>
            </w:r>
          </w:p>
        </w:tc>
        <w:tc>
          <w:tcPr>
            <w:tcW w:w="2976" w:type="dxa"/>
            <w:vAlign w:val="center"/>
          </w:tcPr>
          <w:p w:rsidR="00B366C6" w:rsidRDefault="004F335C">
            <w:pPr>
              <w:jc w:val="right"/>
            </w:pPr>
            <w:r>
              <w:rPr>
                <w:color w:val="000000"/>
                <w:sz w:val="24"/>
              </w:rPr>
              <w:t>103,318,379.74</w:t>
            </w:r>
          </w:p>
        </w:tc>
        <w:tc>
          <w:tcPr>
            <w:tcW w:w="3261" w:type="dxa"/>
            <w:vAlign w:val="center"/>
          </w:tcPr>
          <w:p w:rsidR="00B366C6" w:rsidRDefault="004F335C">
            <w:pPr>
              <w:jc w:val="right"/>
            </w:pPr>
            <w:r>
              <w:rPr>
                <w:color w:val="000000"/>
                <w:sz w:val="24"/>
              </w:rPr>
              <w:t>5.96</w:t>
            </w:r>
          </w:p>
        </w:tc>
      </w:tr>
      <w:tr w:rsidR="00B366C6">
        <w:tc>
          <w:tcPr>
            <w:tcW w:w="2787" w:type="dxa"/>
            <w:vAlign w:val="center"/>
          </w:tcPr>
          <w:p w:rsidR="00B366C6" w:rsidRDefault="004F335C">
            <w:pPr>
              <w:jc w:val="left"/>
            </w:pPr>
            <w:r>
              <w:rPr>
                <w:color w:val="000000"/>
                <w:sz w:val="24"/>
              </w:rPr>
              <w:t>信息技术</w:t>
            </w:r>
          </w:p>
        </w:tc>
        <w:tc>
          <w:tcPr>
            <w:tcW w:w="2976" w:type="dxa"/>
            <w:vAlign w:val="center"/>
          </w:tcPr>
          <w:p w:rsidR="00B366C6" w:rsidRDefault="004F335C">
            <w:pPr>
              <w:jc w:val="right"/>
            </w:pPr>
            <w:r>
              <w:rPr>
                <w:color w:val="000000"/>
                <w:sz w:val="24"/>
              </w:rPr>
              <w:t>30,769,602.26</w:t>
            </w:r>
          </w:p>
        </w:tc>
        <w:tc>
          <w:tcPr>
            <w:tcW w:w="3261" w:type="dxa"/>
            <w:vAlign w:val="center"/>
          </w:tcPr>
          <w:p w:rsidR="00B366C6" w:rsidRDefault="004F335C">
            <w:pPr>
              <w:jc w:val="right"/>
            </w:pPr>
            <w:r>
              <w:rPr>
                <w:color w:val="000000"/>
                <w:sz w:val="24"/>
              </w:rPr>
              <w:t>1.78</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1,648,928,181.27</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95.14</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期末指数投资按公允价值占基金资产净值比例大小排序的前十名股票及存托凭证投资明细</w:t>
      </w:r>
    </w:p>
    <w:tbl>
      <w:tblPr>
        <w:tblStyle w:val="af7"/>
        <w:tblW w:w="0" w:type="auto"/>
        <w:tblInd w:w="15" w:type="dxa"/>
        <w:tblLook w:val="04A0" w:firstRow="1" w:lastRow="0" w:firstColumn="1" w:lastColumn="0" w:noHBand="0" w:noVBand="1"/>
      </w:tblPr>
      <w:tblGrid>
        <w:gridCol w:w="514"/>
        <w:gridCol w:w="1606"/>
        <w:gridCol w:w="892"/>
        <w:gridCol w:w="957"/>
        <w:gridCol w:w="652"/>
        <w:gridCol w:w="743"/>
        <w:gridCol w:w="1176"/>
        <w:gridCol w:w="1716"/>
        <w:gridCol w:w="971"/>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B366C6">
        <w:tc>
          <w:tcPr>
            <w:tcW w:w="0" w:type="auto"/>
            <w:vAlign w:val="center"/>
          </w:tcPr>
          <w:p w:rsidR="00B366C6" w:rsidRDefault="004F335C">
            <w:pPr>
              <w:jc w:val="center"/>
            </w:pPr>
            <w:r>
              <w:rPr>
                <w:color w:val="000000"/>
                <w:sz w:val="24"/>
              </w:rPr>
              <w:t>1</w:t>
            </w:r>
          </w:p>
        </w:tc>
        <w:tc>
          <w:tcPr>
            <w:tcW w:w="0" w:type="auto"/>
            <w:vAlign w:val="center"/>
          </w:tcPr>
          <w:p w:rsidR="00B366C6" w:rsidRDefault="004F335C">
            <w:pPr>
              <w:jc w:val="center"/>
            </w:pPr>
            <w:r>
              <w:rPr>
                <w:color w:val="000000"/>
                <w:sz w:val="24"/>
              </w:rPr>
              <w:t>Alibaba Group Holding Ltd</w:t>
            </w:r>
          </w:p>
        </w:tc>
        <w:tc>
          <w:tcPr>
            <w:tcW w:w="0" w:type="auto"/>
            <w:vAlign w:val="center"/>
          </w:tcPr>
          <w:p w:rsidR="00B366C6" w:rsidRDefault="004F335C">
            <w:pPr>
              <w:jc w:val="center"/>
            </w:pPr>
            <w:r>
              <w:rPr>
                <w:color w:val="000000"/>
                <w:sz w:val="24"/>
              </w:rPr>
              <w:t>阿里巴巴</w:t>
            </w:r>
          </w:p>
        </w:tc>
        <w:tc>
          <w:tcPr>
            <w:tcW w:w="0" w:type="auto"/>
            <w:vAlign w:val="center"/>
          </w:tcPr>
          <w:p w:rsidR="00B366C6" w:rsidRDefault="004F335C">
            <w:pPr>
              <w:jc w:val="center"/>
            </w:pPr>
            <w:r>
              <w:rPr>
                <w:color w:val="000000"/>
                <w:sz w:val="24"/>
              </w:rPr>
              <w:t>BABA US</w:t>
            </w:r>
          </w:p>
        </w:tc>
        <w:tc>
          <w:tcPr>
            <w:tcW w:w="0" w:type="auto"/>
            <w:vAlign w:val="center"/>
          </w:tcPr>
          <w:p w:rsidR="00B366C6" w:rsidRDefault="004F335C">
            <w:pPr>
              <w:jc w:val="center"/>
            </w:pPr>
            <w:r>
              <w:rPr>
                <w:color w:val="000000"/>
                <w:sz w:val="24"/>
              </w:rPr>
              <w:t>美国证券交易所</w:t>
            </w:r>
          </w:p>
        </w:tc>
        <w:tc>
          <w:tcPr>
            <w:tcW w:w="0" w:type="auto"/>
            <w:vAlign w:val="center"/>
          </w:tcPr>
          <w:p w:rsidR="00B366C6" w:rsidRDefault="004F335C">
            <w:pPr>
              <w:jc w:val="center"/>
            </w:pPr>
            <w:r>
              <w:rPr>
                <w:color w:val="000000"/>
                <w:sz w:val="24"/>
              </w:rPr>
              <w:t>美国</w:t>
            </w:r>
          </w:p>
        </w:tc>
        <w:tc>
          <w:tcPr>
            <w:tcW w:w="0" w:type="auto"/>
            <w:vAlign w:val="center"/>
          </w:tcPr>
          <w:p w:rsidR="00B366C6" w:rsidRDefault="004F335C">
            <w:pPr>
              <w:jc w:val="right"/>
            </w:pPr>
            <w:r>
              <w:rPr>
                <w:color w:val="000000"/>
                <w:sz w:val="24"/>
              </w:rPr>
              <w:t>91,965</w:t>
            </w:r>
          </w:p>
        </w:tc>
        <w:tc>
          <w:tcPr>
            <w:tcW w:w="0" w:type="auto"/>
            <w:vAlign w:val="center"/>
          </w:tcPr>
          <w:p w:rsidR="00B366C6" w:rsidRDefault="004F335C">
            <w:pPr>
              <w:jc w:val="right"/>
            </w:pPr>
            <w:r>
              <w:rPr>
                <w:color w:val="000000"/>
                <w:sz w:val="24"/>
              </w:rPr>
              <w:t>184,116,983.05</w:t>
            </w:r>
          </w:p>
        </w:tc>
        <w:tc>
          <w:tcPr>
            <w:tcW w:w="0" w:type="auto"/>
            <w:vAlign w:val="center"/>
          </w:tcPr>
          <w:p w:rsidR="00B366C6" w:rsidRDefault="004F335C">
            <w:pPr>
              <w:jc w:val="right"/>
            </w:pPr>
            <w:r>
              <w:rPr>
                <w:color w:val="000000"/>
                <w:sz w:val="24"/>
              </w:rPr>
              <w:t>10.62</w:t>
            </w:r>
          </w:p>
        </w:tc>
      </w:tr>
      <w:tr w:rsidR="00B366C6">
        <w:tc>
          <w:tcPr>
            <w:tcW w:w="0" w:type="auto"/>
            <w:vAlign w:val="center"/>
          </w:tcPr>
          <w:p w:rsidR="00B366C6" w:rsidRDefault="004F335C">
            <w:pPr>
              <w:jc w:val="center"/>
            </w:pPr>
            <w:r>
              <w:rPr>
                <w:color w:val="000000"/>
                <w:sz w:val="24"/>
              </w:rPr>
              <w:t>2</w:t>
            </w:r>
          </w:p>
        </w:tc>
        <w:tc>
          <w:tcPr>
            <w:tcW w:w="0" w:type="auto"/>
            <w:vAlign w:val="center"/>
          </w:tcPr>
          <w:p w:rsidR="00B366C6" w:rsidRDefault="004F335C">
            <w:pPr>
              <w:jc w:val="center"/>
            </w:pPr>
            <w:r>
              <w:rPr>
                <w:color w:val="000000"/>
                <w:sz w:val="24"/>
              </w:rPr>
              <w:t>Tencent Holdings Ltd</w:t>
            </w:r>
          </w:p>
        </w:tc>
        <w:tc>
          <w:tcPr>
            <w:tcW w:w="0" w:type="auto"/>
            <w:vAlign w:val="center"/>
          </w:tcPr>
          <w:p w:rsidR="00B366C6" w:rsidRDefault="004F335C">
            <w:pPr>
              <w:jc w:val="center"/>
            </w:pPr>
            <w:r>
              <w:rPr>
                <w:color w:val="000000"/>
                <w:sz w:val="24"/>
              </w:rPr>
              <w:t>腾讯控股</w:t>
            </w:r>
          </w:p>
        </w:tc>
        <w:tc>
          <w:tcPr>
            <w:tcW w:w="0" w:type="auto"/>
            <w:vAlign w:val="center"/>
          </w:tcPr>
          <w:p w:rsidR="00B366C6" w:rsidRDefault="004F335C">
            <w:pPr>
              <w:jc w:val="center"/>
            </w:pPr>
            <w:r>
              <w:rPr>
                <w:color w:val="000000"/>
                <w:sz w:val="24"/>
              </w:rPr>
              <w:t>700 HK</w:t>
            </w:r>
          </w:p>
        </w:tc>
        <w:tc>
          <w:tcPr>
            <w:tcW w:w="0" w:type="auto"/>
            <w:vAlign w:val="center"/>
          </w:tcPr>
          <w:p w:rsidR="00B366C6" w:rsidRDefault="004F335C">
            <w:pPr>
              <w:jc w:val="center"/>
            </w:pPr>
            <w:r>
              <w:rPr>
                <w:color w:val="000000"/>
                <w:sz w:val="24"/>
              </w:rPr>
              <w:t>香港证券交易所</w:t>
            </w:r>
          </w:p>
        </w:tc>
        <w:tc>
          <w:tcPr>
            <w:tcW w:w="0" w:type="auto"/>
            <w:vAlign w:val="center"/>
          </w:tcPr>
          <w:p w:rsidR="00B366C6" w:rsidRDefault="004F335C">
            <w:pPr>
              <w:jc w:val="center"/>
            </w:pPr>
            <w:r>
              <w:rPr>
                <w:color w:val="000000"/>
                <w:sz w:val="24"/>
              </w:rPr>
              <w:t>香港</w:t>
            </w:r>
          </w:p>
        </w:tc>
        <w:tc>
          <w:tcPr>
            <w:tcW w:w="0" w:type="auto"/>
            <w:vAlign w:val="center"/>
          </w:tcPr>
          <w:p w:rsidR="00B366C6" w:rsidRDefault="004F335C">
            <w:pPr>
              <w:jc w:val="right"/>
            </w:pPr>
            <w:r>
              <w:rPr>
                <w:color w:val="000000"/>
                <w:sz w:val="24"/>
              </w:rPr>
              <w:t>319,200</w:t>
            </w:r>
          </w:p>
        </w:tc>
        <w:tc>
          <w:tcPr>
            <w:tcW w:w="0" w:type="auto"/>
            <w:vAlign w:val="center"/>
          </w:tcPr>
          <w:p w:rsidR="00B366C6" w:rsidRDefault="004F335C">
            <w:pPr>
              <w:jc w:val="right"/>
            </w:pPr>
            <w:r>
              <w:rPr>
                <w:color w:val="000000"/>
                <w:sz w:val="24"/>
              </w:rPr>
              <w:t>143,467,228.00</w:t>
            </w:r>
          </w:p>
        </w:tc>
        <w:tc>
          <w:tcPr>
            <w:tcW w:w="0" w:type="auto"/>
            <w:vAlign w:val="center"/>
          </w:tcPr>
          <w:p w:rsidR="00B366C6" w:rsidRDefault="004F335C">
            <w:pPr>
              <w:jc w:val="right"/>
            </w:pPr>
            <w:r>
              <w:rPr>
                <w:color w:val="000000"/>
                <w:sz w:val="24"/>
              </w:rPr>
              <w:t>8.28</w:t>
            </w:r>
          </w:p>
        </w:tc>
      </w:tr>
      <w:tr w:rsidR="00B366C6">
        <w:tc>
          <w:tcPr>
            <w:tcW w:w="0" w:type="auto"/>
            <w:vAlign w:val="center"/>
          </w:tcPr>
          <w:p w:rsidR="00B366C6" w:rsidRDefault="004F335C">
            <w:pPr>
              <w:jc w:val="center"/>
            </w:pPr>
            <w:r>
              <w:rPr>
                <w:color w:val="000000"/>
                <w:sz w:val="24"/>
              </w:rPr>
              <w:t>3</w:t>
            </w:r>
          </w:p>
        </w:tc>
        <w:tc>
          <w:tcPr>
            <w:tcW w:w="0" w:type="auto"/>
            <w:vAlign w:val="center"/>
          </w:tcPr>
          <w:p w:rsidR="00B366C6" w:rsidRDefault="004F335C">
            <w:pPr>
              <w:jc w:val="center"/>
            </w:pPr>
            <w:r>
              <w:rPr>
                <w:color w:val="000000"/>
                <w:sz w:val="24"/>
              </w:rPr>
              <w:t>Meituan</w:t>
            </w:r>
          </w:p>
        </w:tc>
        <w:tc>
          <w:tcPr>
            <w:tcW w:w="0" w:type="auto"/>
            <w:vAlign w:val="center"/>
          </w:tcPr>
          <w:p w:rsidR="00B366C6" w:rsidRDefault="004F335C">
            <w:pPr>
              <w:jc w:val="center"/>
            </w:pPr>
            <w:r>
              <w:rPr>
                <w:color w:val="000000"/>
                <w:sz w:val="24"/>
              </w:rPr>
              <w:t>美团</w:t>
            </w:r>
          </w:p>
        </w:tc>
        <w:tc>
          <w:tcPr>
            <w:tcW w:w="0" w:type="auto"/>
            <w:vAlign w:val="center"/>
          </w:tcPr>
          <w:p w:rsidR="00B366C6" w:rsidRDefault="004F335C">
            <w:pPr>
              <w:jc w:val="center"/>
            </w:pPr>
            <w:r>
              <w:rPr>
                <w:color w:val="000000"/>
                <w:sz w:val="24"/>
              </w:rPr>
              <w:t>3690 HK</w:t>
            </w:r>
          </w:p>
        </w:tc>
        <w:tc>
          <w:tcPr>
            <w:tcW w:w="0" w:type="auto"/>
            <w:vAlign w:val="center"/>
          </w:tcPr>
          <w:p w:rsidR="00B366C6" w:rsidRDefault="004F335C">
            <w:pPr>
              <w:jc w:val="center"/>
            </w:pPr>
            <w:r>
              <w:rPr>
                <w:color w:val="000000"/>
                <w:sz w:val="24"/>
              </w:rPr>
              <w:t>香港证券交易所</w:t>
            </w:r>
          </w:p>
        </w:tc>
        <w:tc>
          <w:tcPr>
            <w:tcW w:w="0" w:type="auto"/>
            <w:vAlign w:val="center"/>
          </w:tcPr>
          <w:p w:rsidR="00B366C6" w:rsidRDefault="004F335C">
            <w:pPr>
              <w:jc w:val="center"/>
            </w:pPr>
            <w:r>
              <w:rPr>
                <w:color w:val="000000"/>
                <w:sz w:val="24"/>
              </w:rPr>
              <w:t>香港</w:t>
            </w:r>
          </w:p>
        </w:tc>
        <w:tc>
          <w:tcPr>
            <w:tcW w:w="0" w:type="auto"/>
            <w:vAlign w:val="center"/>
          </w:tcPr>
          <w:p w:rsidR="00B366C6" w:rsidRDefault="004F335C">
            <w:pPr>
              <w:jc w:val="right"/>
            </w:pPr>
            <w:r>
              <w:rPr>
                <w:color w:val="000000"/>
                <w:sz w:val="24"/>
              </w:rPr>
              <w:t>624,500</w:t>
            </w:r>
          </w:p>
        </w:tc>
        <w:tc>
          <w:tcPr>
            <w:tcW w:w="0" w:type="auto"/>
            <w:vAlign w:val="center"/>
          </w:tcPr>
          <w:p w:rsidR="00B366C6" w:rsidRDefault="004F335C">
            <w:pPr>
              <w:jc w:val="right"/>
            </w:pPr>
            <w:r>
              <w:rPr>
                <w:color w:val="000000"/>
                <w:sz w:val="24"/>
              </w:rPr>
              <w:t>132,688,390.35</w:t>
            </w:r>
          </w:p>
        </w:tc>
        <w:tc>
          <w:tcPr>
            <w:tcW w:w="0" w:type="auto"/>
            <w:vAlign w:val="center"/>
          </w:tcPr>
          <w:p w:rsidR="00B366C6" w:rsidRDefault="004F335C">
            <w:pPr>
              <w:jc w:val="right"/>
            </w:pPr>
            <w:r>
              <w:rPr>
                <w:color w:val="000000"/>
                <w:sz w:val="24"/>
              </w:rPr>
              <w:t>7.66</w:t>
            </w:r>
          </w:p>
        </w:tc>
      </w:tr>
      <w:tr w:rsidR="00B366C6">
        <w:tc>
          <w:tcPr>
            <w:tcW w:w="0" w:type="auto"/>
            <w:vAlign w:val="center"/>
          </w:tcPr>
          <w:p w:rsidR="00B366C6" w:rsidRDefault="004F335C">
            <w:pPr>
              <w:jc w:val="center"/>
            </w:pPr>
            <w:r>
              <w:rPr>
                <w:color w:val="000000"/>
                <w:sz w:val="24"/>
              </w:rPr>
              <w:t>4</w:t>
            </w:r>
          </w:p>
        </w:tc>
        <w:tc>
          <w:tcPr>
            <w:tcW w:w="0" w:type="auto"/>
            <w:vAlign w:val="center"/>
          </w:tcPr>
          <w:p w:rsidR="00B366C6" w:rsidRDefault="004F335C">
            <w:pPr>
              <w:jc w:val="center"/>
            </w:pPr>
            <w:r>
              <w:rPr>
                <w:color w:val="000000"/>
                <w:sz w:val="24"/>
              </w:rPr>
              <w:t>JD.com Inc</w:t>
            </w:r>
          </w:p>
        </w:tc>
        <w:tc>
          <w:tcPr>
            <w:tcW w:w="0" w:type="auto"/>
            <w:vAlign w:val="center"/>
          </w:tcPr>
          <w:p w:rsidR="00B366C6" w:rsidRDefault="004F335C">
            <w:pPr>
              <w:jc w:val="center"/>
            </w:pPr>
            <w:r>
              <w:rPr>
                <w:color w:val="000000"/>
                <w:sz w:val="24"/>
              </w:rPr>
              <w:t>京东集团</w:t>
            </w:r>
          </w:p>
        </w:tc>
        <w:tc>
          <w:tcPr>
            <w:tcW w:w="0" w:type="auto"/>
            <w:vAlign w:val="center"/>
          </w:tcPr>
          <w:p w:rsidR="00B366C6" w:rsidRDefault="004F335C">
            <w:pPr>
              <w:jc w:val="center"/>
            </w:pPr>
            <w:r>
              <w:rPr>
                <w:color w:val="000000"/>
                <w:sz w:val="24"/>
              </w:rPr>
              <w:t>JD US</w:t>
            </w:r>
          </w:p>
        </w:tc>
        <w:tc>
          <w:tcPr>
            <w:tcW w:w="0" w:type="auto"/>
            <w:vAlign w:val="center"/>
          </w:tcPr>
          <w:p w:rsidR="00B366C6" w:rsidRDefault="004F335C">
            <w:pPr>
              <w:jc w:val="center"/>
            </w:pPr>
            <w:r>
              <w:rPr>
                <w:color w:val="000000"/>
                <w:sz w:val="24"/>
              </w:rPr>
              <w:t>美国证券交易所</w:t>
            </w:r>
          </w:p>
        </w:tc>
        <w:tc>
          <w:tcPr>
            <w:tcW w:w="0" w:type="auto"/>
            <w:vAlign w:val="center"/>
          </w:tcPr>
          <w:p w:rsidR="00B366C6" w:rsidRDefault="004F335C">
            <w:pPr>
              <w:jc w:val="center"/>
            </w:pPr>
            <w:r>
              <w:rPr>
                <w:color w:val="000000"/>
                <w:sz w:val="24"/>
              </w:rPr>
              <w:t>美国</w:t>
            </w:r>
          </w:p>
        </w:tc>
        <w:tc>
          <w:tcPr>
            <w:tcW w:w="0" w:type="auto"/>
            <w:vAlign w:val="center"/>
          </w:tcPr>
          <w:p w:rsidR="00B366C6" w:rsidRDefault="004F335C">
            <w:pPr>
              <w:jc w:val="right"/>
            </w:pPr>
            <w:r>
              <w:rPr>
                <w:color w:val="000000"/>
                <w:sz w:val="24"/>
              </w:rPr>
              <w:t>238,609</w:t>
            </w:r>
          </w:p>
        </w:tc>
        <w:tc>
          <w:tcPr>
            <w:tcW w:w="0" w:type="auto"/>
            <w:vAlign w:val="center"/>
          </w:tcPr>
          <w:p w:rsidR="00B366C6" w:rsidRDefault="004F335C">
            <w:pPr>
              <w:jc w:val="right"/>
            </w:pPr>
            <w:r>
              <w:rPr>
                <w:color w:val="000000"/>
                <w:sz w:val="24"/>
              </w:rPr>
              <w:t>126,112,458.82</w:t>
            </w:r>
          </w:p>
        </w:tc>
        <w:tc>
          <w:tcPr>
            <w:tcW w:w="0" w:type="auto"/>
            <w:vAlign w:val="center"/>
          </w:tcPr>
          <w:p w:rsidR="00B366C6" w:rsidRDefault="004F335C">
            <w:pPr>
              <w:jc w:val="right"/>
            </w:pPr>
            <w:r>
              <w:rPr>
                <w:color w:val="000000"/>
                <w:sz w:val="24"/>
              </w:rPr>
              <w:t>7.28</w:t>
            </w:r>
          </w:p>
        </w:tc>
      </w:tr>
      <w:tr w:rsidR="00B366C6">
        <w:tc>
          <w:tcPr>
            <w:tcW w:w="0" w:type="auto"/>
            <w:vAlign w:val="center"/>
          </w:tcPr>
          <w:p w:rsidR="00B366C6" w:rsidRDefault="004F335C">
            <w:pPr>
              <w:jc w:val="center"/>
            </w:pPr>
            <w:r>
              <w:rPr>
                <w:color w:val="000000"/>
                <w:sz w:val="24"/>
              </w:rPr>
              <w:t>5</w:t>
            </w:r>
          </w:p>
        </w:tc>
        <w:tc>
          <w:tcPr>
            <w:tcW w:w="0" w:type="auto"/>
            <w:vAlign w:val="center"/>
          </w:tcPr>
          <w:p w:rsidR="00B366C6" w:rsidRDefault="004F335C">
            <w:pPr>
              <w:jc w:val="center"/>
            </w:pPr>
            <w:r>
              <w:rPr>
                <w:color w:val="000000"/>
                <w:sz w:val="24"/>
              </w:rPr>
              <w:t>Pinduoduo Inc</w:t>
            </w:r>
          </w:p>
        </w:tc>
        <w:tc>
          <w:tcPr>
            <w:tcW w:w="0" w:type="auto"/>
            <w:vAlign w:val="center"/>
          </w:tcPr>
          <w:p w:rsidR="00B366C6" w:rsidRDefault="004F335C">
            <w:pPr>
              <w:jc w:val="center"/>
            </w:pPr>
            <w:r>
              <w:rPr>
                <w:color w:val="000000"/>
                <w:sz w:val="24"/>
              </w:rPr>
              <w:t>拼多多</w:t>
            </w:r>
          </w:p>
        </w:tc>
        <w:tc>
          <w:tcPr>
            <w:tcW w:w="0" w:type="auto"/>
            <w:vAlign w:val="center"/>
          </w:tcPr>
          <w:p w:rsidR="00B366C6" w:rsidRDefault="004F335C">
            <w:pPr>
              <w:jc w:val="center"/>
            </w:pPr>
            <w:r>
              <w:rPr>
                <w:color w:val="000000"/>
                <w:sz w:val="24"/>
              </w:rPr>
              <w:t>PDD US</w:t>
            </w:r>
          </w:p>
        </w:tc>
        <w:tc>
          <w:tcPr>
            <w:tcW w:w="0" w:type="auto"/>
            <w:vAlign w:val="center"/>
          </w:tcPr>
          <w:p w:rsidR="00B366C6" w:rsidRDefault="004F335C">
            <w:pPr>
              <w:jc w:val="center"/>
            </w:pPr>
            <w:r>
              <w:rPr>
                <w:color w:val="000000"/>
                <w:sz w:val="24"/>
              </w:rPr>
              <w:t>美国证券交易所</w:t>
            </w:r>
          </w:p>
        </w:tc>
        <w:tc>
          <w:tcPr>
            <w:tcW w:w="0" w:type="auto"/>
            <w:vAlign w:val="center"/>
          </w:tcPr>
          <w:p w:rsidR="00B366C6" w:rsidRDefault="004F335C">
            <w:pPr>
              <w:jc w:val="center"/>
            </w:pPr>
            <w:r>
              <w:rPr>
                <w:color w:val="000000"/>
                <w:sz w:val="24"/>
              </w:rPr>
              <w:t>美国</w:t>
            </w:r>
          </w:p>
        </w:tc>
        <w:tc>
          <w:tcPr>
            <w:tcW w:w="0" w:type="auto"/>
            <w:vAlign w:val="center"/>
          </w:tcPr>
          <w:p w:rsidR="00B366C6" w:rsidRDefault="004F335C">
            <w:pPr>
              <w:jc w:val="right"/>
            </w:pPr>
            <w:r>
              <w:rPr>
                <w:color w:val="000000"/>
                <w:sz w:val="24"/>
              </w:rPr>
              <w:t>174,599</w:t>
            </w:r>
          </w:p>
        </w:tc>
        <w:tc>
          <w:tcPr>
            <w:tcW w:w="0" w:type="auto"/>
            <w:vAlign w:val="center"/>
          </w:tcPr>
          <w:p w:rsidR="00B366C6" w:rsidRDefault="004F335C">
            <w:pPr>
              <w:jc w:val="right"/>
            </w:pPr>
            <w:r>
              <w:rPr>
                <w:color w:val="000000"/>
                <w:sz w:val="24"/>
              </w:rPr>
              <w:t>88,167,067.59</w:t>
            </w:r>
          </w:p>
        </w:tc>
        <w:tc>
          <w:tcPr>
            <w:tcW w:w="0" w:type="auto"/>
            <w:vAlign w:val="center"/>
          </w:tcPr>
          <w:p w:rsidR="00B366C6" w:rsidRDefault="004F335C">
            <w:pPr>
              <w:jc w:val="right"/>
            </w:pPr>
            <w:r>
              <w:rPr>
                <w:color w:val="000000"/>
                <w:sz w:val="24"/>
              </w:rPr>
              <w:t>5.09</w:t>
            </w:r>
          </w:p>
        </w:tc>
      </w:tr>
      <w:tr w:rsidR="00B366C6">
        <w:tc>
          <w:tcPr>
            <w:tcW w:w="0" w:type="auto"/>
            <w:vAlign w:val="center"/>
          </w:tcPr>
          <w:p w:rsidR="00B366C6" w:rsidRDefault="004F335C">
            <w:pPr>
              <w:jc w:val="center"/>
            </w:pPr>
            <w:r>
              <w:rPr>
                <w:color w:val="000000"/>
                <w:sz w:val="24"/>
              </w:rPr>
              <w:t>6</w:t>
            </w:r>
          </w:p>
        </w:tc>
        <w:tc>
          <w:tcPr>
            <w:tcW w:w="0" w:type="auto"/>
            <w:vAlign w:val="center"/>
          </w:tcPr>
          <w:p w:rsidR="00B366C6" w:rsidRDefault="004F335C">
            <w:pPr>
              <w:jc w:val="center"/>
            </w:pPr>
            <w:r>
              <w:rPr>
                <w:color w:val="000000"/>
                <w:sz w:val="24"/>
              </w:rPr>
              <w:t>KE Holdings Inc</w:t>
            </w:r>
          </w:p>
        </w:tc>
        <w:tc>
          <w:tcPr>
            <w:tcW w:w="0" w:type="auto"/>
            <w:vAlign w:val="center"/>
          </w:tcPr>
          <w:p w:rsidR="00B366C6" w:rsidRDefault="004F335C">
            <w:pPr>
              <w:jc w:val="center"/>
            </w:pPr>
            <w:r>
              <w:rPr>
                <w:color w:val="000000"/>
                <w:sz w:val="24"/>
              </w:rPr>
              <w:t>贝壳</w:t>
            </w:r>
          </w:p>
        </w:tc>
        <w:tc>
          <w:tcPr>
            <w:tcW w:w="0" w:type="auto"/>
            <w:vAlign w:val="center"/>
          </w:tcPr>
          <w:p w:rsidR="00B366C6" w:rsidRDefault="004F335C">
            <w:pPr>
              <w:jc w:val="center"/>
            </w:pPr>
            <w:r>
              <w:rPr>
                <w:color w:val="000000"/>
                <w:sz w:val="24"/>
              </w:rPr>
              <w:t>BEKE US</w:t>
            </w:r>
          </w:p>
        </w:tc>
        <w:tc>
          <w:tcPr>
            <w:tcW w:w="0" w:type="auto"/>
            <w:vAlign w:val="center"/>
          </w:tcPr>
          <w:p w:rsidR="00B366C6" w:rsidRDefault="004F335C">
            <w:pPr>
              <w:jc w:val="center"/>
            </w:pPr>
            <w:r>
              <w:rPr>
                <w:color w:val="000000"/>
                <w:sz w:val="24"/>
              </w:rPr>
              <w:t>美国证券交易所</w:t>
            </w:r>
          </w:p>
        </w:tc>
        <w:tc>
          <w:tcPr>
            <w:tcW w:w="0" w:type="auto"/>
            <w:vAlign w:val="center"/>
          </w:tcPr>
          <w:p w:rsidR="00B366C6" w:rsidRDefault="004F335C">
            <w:pPr>
              <w:jc w:val="center"/>
            </w:pPr>
            <w:r>
              <w:rPr>
                <w:color w:val="000000"/>
                <w:sz w:val="24"/>
              </w:rPr>
              <w:t>美国</w:t>
            </w:r>
          </w:p>
        </w:tc>
        <w:tc>
          <w:tcPr>
            <w:tcW w:w="0" w:type="auto"/>
            <w:vAlign w:val="center"/>
          </w:tcPr>
          <w:p w:rsidR="00B366C6" w:rsidRDefault="004F335C">
            <w:pPr>
              <w:jc w:val="right"/>
            </w:pPr>
            <w:r>
              <w:rPr>
                <w:color w:val="000000"/>
                <w:sz w:val="24"/>
              </w:rPr>
              <w:t>183,130</w:t>
            </w:r>
          </w:p>
        </w:tc>
        <w:tc>
          <w:tcPr>
            <w:tcW w:w="0" w:type="auto"/>
            <w:vAlign w:val="center"/>
          </w:tcPr>
          <w:p w:rsidR="00B366C6" w:rsidRDefault="004F335C">
            <w:pPr>
              <w:jc w:val="right"/>
            </w:pPr>
            <w:r>
              <w:rPr>
                <w:color w:val="000000"/>
                <w:sz w:val="24"/>
              </w:rPr>
              <w:t>76,449,290.48</w:t>
            </w:r>
          </w:p>
        </w:tc>
        <w:tc>
          <w:tcPr>
            <w:tcW w:w="0" w:type="auto"/>
            <w:vAlign w:val="center"/>
          </w:tcPr>
          <w:p w:rsidR="00B366C6" w:rsidRDefault="004F335C">
            <w:pPr>
              <w:jc w:val="right"/>
            </w:pPr>
            <w:r>
              <w:rPr>
                <w:color w:val="000000"/>
                <w:sz w:val="24"/>
              </w:rPr>
              <w:t>4.41</w:t>
            </w:r>
          </w:p>
        </w:tc>
      </w:tr>
      <w:tr w:rsidR="00B366C6">
        <w:tc>
          <w:tcPr>
            <w:tcW w:w="0" w:type="auto"/>
            <w:vAlign w:val="center"/>
          </w:tcPr>
          <w:p w:rsidR="00B366C6" w:rsidRDefault="004F335C">
            <w:pPr>
              <w:jc w:val="center"/>
            </w:pPr>
            <w:r>
              <w:rPr>
                <w:color w:val="000000"/>
                <w:sz w:val="24"/>
              </w:rPr>
              <w:t>7</w:t>
            </w:r>
          </w:p>
        </w:tc>
        <w:tc>
          <w:tcPr>
            <w:tcW w:w="0" w:type="auto"/>
            <w:vAlign w:val="center"/>
          </w:tcPr>
          <w:p w:rsidR="00B366C6" w:rsidRDefault="004F335C">
            <w:pPr>
              <w:jc w:val="center"/>
            </w:pPr>
            <w:r>
              <w:rPr>
                <w:color w:val="000000"/>
                <w:sz w:val="24"/>
              </w:rPr>
              <w:t>Trip.com Group Ltd</w:t>
            </w:r>
          </w:p>
        </w:tc>
        <w:tc>
          <w:tcPr>
            <w:tcW w:w="0" w:type="auto"/>
            <w:vAlign w:val="center"/>
          </w:tcPr>
          <w:p w:rsidR="00B366C6" w:rsidRDefault="004F335C">
            <w:pPr>
              <w:jc w:val="center"/>
            </w:pPr>
            <w:r>
              <w:rPr>
                <w:color w:val="000000"/>
                <w:sz w:val="24"/>
              </w:rPr>
              <w:t>携程集团有限公司</w:t>
            </w:r>
          </w:p>
        </w:tc>
        <w:tc>
          <w:tcPr>
            <w:tcW w:w="0" w:type="auto"/>
            <w:vAlign w:val="center"/>
          </w:tcPr>
          <w:p w:rsidR="00B366C6" w:rsidRDefault="004F335C">
            <w:pPr>
              <w:jc w:val="center"/>
            </w:pPr>
            <w:r>
              <w:rPr>
                <w:color w:val="000000"/>
                <w:sz w:val="24"/>
              </w:rPr>
              <w:t>TCOM US</w:t>
            </w:r>
          </w:p>
        </w:tc>
        <w:tc>
          <w:tcPr>
            <w:tcW w:w="0" w:type="auto"/>
            <w:vAlign w:val="center"/>
          </w:tcPr>
          <w:p w:rsidR="00B366C6" w:rsidRDefault="004F335C">
            <w:pPr>
              <w:jc w:val="center"/>
            </w:pPr>
            <w:r>
              <w:rPr>
                <w:color w:val="000000"/>
                <w:sz w:val="24"/>
              </w:rPr>
              <w:t>美国证券交易所</w:t>
            </w:r>
          </w:p>
        </w:tc>
        <w:tc>
          <w:tcPr>
            <w:tcW w:w="0" w:type="auto"/>
            <w:vAlign w:val="center"/>
          </w:tcPr>
          <w:p w:rsidR="00B366C6" w:rsidRDefault="004F335C">
            <w:pPr>
              <w:jc w:val="center"/>
            </w:pPr>
            <w:r>
              <w:rPr>
                <w:color w:val="000000"/>
                <w:sz w:val="24"/>
              </w:rPr>
              <w:t>美国</w:t>
            </w:r>
          </w:p>
        </w:tc>
        <w:tc>
          <w:tcPr>
            <w:tcW w:w="0" w:type="auto"/>
            <w:vAlign w:val="center"/>
          </w:tcPr>
          <w:p w:rsidR="00B366C6" w:rsidRDefault="004F335C">
            <w:pPr>
              <w:jc w:val="right"/>
            </w:pPr>
            <w:r>
              <w:rPr>
                <w:color w:val="000000"/>
                <w:sz w:val="24"/>
              </w:rPr>
              <w:t>324,736</w:t>
            </w:r>
          </w:p>
        </w:tc>
        <w:tc>
          <w:tcPr>
            <w:tcW w:w="0" w:type="auto"/>
            <w:vAlign w:val="center"/>
          </w:tcPr>
          <w:p w:rsidR="00B366C6" w:rsidRDefault="004F335C">
            <w:pPr>
              <w:jc w:val="right"/>
            </w:pPr>
            <w:r>
              <w:rPr>
                <w:color w:val="000000"/>
                <w:sz w:val="24"/>
              </w:rPr>
              <w:t>68,865,631.49</w:t>
            </w:r>
          </w:p>
        </w:tc>
        <w:tc>
          <w:tcPr>
            <w:tcW w:w="0" w:type="auto"/>
            <w:vAlign w:val="center"/>
          </w:tcPr>
          <w:p w:rsidR="00B366C6" w:rsidRDefault="004F335C">
            <w:pPr>
              <w:jc w:val="right"/>
            </w:pPr>
            <w:r>
              <w:rPr>
                <w:color w:val="000000"/>
                <w:sz w:val="24"/>
              </w:rPr>
              <w:t>3.97</w:t>
            </w:r>
          </w:p>
        </w:tc>
      </w:tr>
      <w:tr w:rsidR="00B366C6">
        <w:tc>
          <w:tcPr>
            <w:tcW w:w="0" w:type="auto"/>
            <w:vAlign w:val="center"/>
          </w:tcPr>
          <w:p w:rsidR="00B366C6" w:rsidRDefault="004F335C">
            <w:pPr>
              <w:jc w:val="center"/>
            </w:pPr>
            <w:r>
              <w:rPr>
                <w:color w:val="000000"/>
                <w:sz w:val="24"/>
              </w:rPr>
              <w:t>8</w:t>
            </w:r>
          </w:p>
        </w:tc>
        <w:tc>
          <w:tcPr>
            <w:tcW w:w="0" w:type="auto"/>
            <w:vAlign w:val="center"/>
          </w:tcPr>
          <w:p w:rsidR="00B366C6" w:rsidRDefault="004F335C">
            <w:pPr>
              <w:jc w:val="center"/>
            </w:pPr>
            <w:r>
              <w:rPr>
                <w:color w:val="000000"/>
                <w:sz w:val="24"/>
              </w:rPr>
              <w:t>Baidu Inc</w:t>
            </w:r>
          </w:p>
        </w:tc>
        <w:tc>
          <w:tcPr>
            <w:tcW w:w="0" w:type="auto"/>
            <w:vAlign w:val="center"/>
          </w:tcPr>
          <w:p w:rsidR="00B366C6" w:rsidRDefault="004F335C">
            <w:pPr>
              <w:jc w:val="center"/>
            </w:pPr>
            <w:r>
              <w:rPr>
                <w:color w:val="000000"/>
                <w:sz w:val="24"/>
              </w:rPr>
              <w:t>百度</w:t>
            </w:r>
          </w:p>
        </w:tc>
        <w:tc>
          <w:tcPr>
            <w:tcW w:w="0" w:type="auto"/>
            <w:vAlign w:val="center"/>
          </w:tcPr>
          <w:p w:rsidR="00B366C6" w:rsidRDefault="004F335C">
            <w:pPr>
              <w:jc w:val="center"/>
            </w:pPr>
            <w:r>
              <w:rPr>
                <w:color w:val="000000"/>
                <w:sz w:val="24"/>
              </w:rPr>
              <w:t>BIDU US</w:t>
            </w:r>
          </w:p>
        </w:tc>
        <w:tc>
          <w:tcPr>
            <w:tcW w:w="0" w:type="auto"/>
            <w:vAlign w:val="center"/>
          </w:tcPr>
          <w:p w:rsidR="00B366C6" w:rsidRDefault="004F335C">
            <w:pPr>
              <w:jc w:val="center"/>
            </w:pPr>
            <w:r>
              <w:rPr>
                <w:color w:val="000000"/>
                <w:sz w:val="24"/>
              </w:rPr>
              <w:t>美国证券交易所</w:t>
            </w:r>
          </w:p>
        </w:tc>
        <w:tc>
          <w:tcPr>
            <w:tcW w:w="0" w:type="auto"/>
            <w:vAlign w:val="center"/>
          </w:tcPr>
          <w:p w:rsidR="00B366C6" w:rsidRDefault="004F335C">
            <w:pPr>
              <w:jc w:val="center"/>
            </w:pPr>
            <w:r>
              <w:rPr>
                <w:color w:val="000000"/>
                <w:sz w:val="24"/>
              </w:rPr>
              <w:t>美国</w:t>
            </w:r>
          </w:p>
        </w:tc>
        <w:tc>
          <w:tcPr>
            <w:tcW w:w="0" w:type="auto"/>
            <w:vAlign w:val="center"/>
          </w:tcPr>
          <w:p w:rsidR="00B366C6" w:rsidRDefault="004F335C">
            <w:pPr>
              <w:jc w:val="right"/>
            </w:pPr>
            <w:r>
              <w:rPr>
                <w:color w:val="000000"/>
                <w:sz w:val="24"/>
              </w:rPr>
              <w:t>78,284</w:t>
            </w:r>
          </w:p>
        </w:tc>
        <w:tc>
          <w:tcPr>
            <w:tcW w:w="0" w:type="auto"/>
            <w:vAlign w:val="center"/>
          </w:tcPr>
          <w:p w:rsidR="00B366C6" w:rsidRDefault="004F335C">
            <w:pPr>
              <w:jc w:val="right"/>
            </w:pPr>
            <w:r>
              <w:rPr>
                <w:color w:val="000000"/>
                <w:sz w:val="24"/>
              </w:rPr>
              <w:t>67,487,897.32</w:t>
            </w:r>
          </w:p>
        </w:tc>
        <w:tc>
          <w:tcPr>
            <w:tcW w:w="0" w:type="auto"/>
            <w:vAlign w:val="center"/>
          </w:tcPr>
          <w:p w:rsidR="00B366C6" w:rsidRDefault="004F335C">
            <w:pPr>
              <w:jc w:val="right"/>
            </w:pPr>
            <w:r>
              <w:rPr>
                <w:color w:val="000000"/>
                <w:sz w:val="24"/>
              </w:rPr>
              <w:t>3.89</w:t>
            </w:r>
          </w:p>
        </w:tc>
      </w:tr>
      <w:tr w:rsidR="00B366C6">
        <w:tc>
          <w:tcPr>
            <w:tcW w:w="0" w:type="auto"/>
            <w:vAlign w:val="center"/>
          </w:tcPr>
          <w:p w:rsidR="00B366C6" w:rsidRDefault="004F335C">
            <w:pPr>
              <w:jc w:val="center"/>
            </w:pPr>
            <w:r>
              <w:rPr>
                <w:color w:val="000000"/>
                <w:sz w:val="24"/>
              </w:rPr>
              <w:t>9</w:t>
            </w:r>
          </w:p>
        </w:tc>
        <w:tc>
          <w:tcPr>
            <w:tcW w:w="0" w:type="auto"/>
            <w:vAlign w:val="center"/>
          </w:tcPr>
          <w:p w:rsidR="00B366C6" w:rsidRDefault="004F335C">
            <w:pPr>
              <w:jc w:val="center"/>
            </w:pPr>
            <w:r>
              <w:rPr>
                <w:color w:val="000000"/>
                <w:sz w:val="24"/>
              </w:rPr>
              <w:t>Alibaba Health Information Tec</w:t>
            </w:r>
          </w:p>
        </w:tc>
        <w:tc>
          <w:tcPr>
            <w:tcW w:w="0" w:type="auto"/>
            <w:vAlign w:val="center"/>
          </w:tcPr>
          <w:p w:rsidR="00B366C6" w:rsidRDefault="004F335C">
            <w:pPr>
              <w:jc w:val="center"/>
            </w:pPr>
            <w:r>
              <w:rPr>
                <w:color w:val="000000"/>
                <w:sz w:val="24"/>
              </w:rPr>
              <w:t>阿里健康</w:t>
            </w:r>
          </w:p>
        </w:tc>
        <w:tc>
          <w:tcPr>
            <w:tcW w:w="0" w:type="auto"/>
            <w:vAlign w:val="center"/>
          </w:tcPr>
          <w:p w:rsidR="00B366C6" w:rsidRDefault="004F335C">
            <w:pPr>
              <w:jc w:val="center"/>
            </w:pPr>
            <w:r>
              <w:rPr>
                <w:color w:val="000000"/>
                <w:sz w:val="24"/>
              </w:rPr>
              <w:t>241 HK</w:t>
            </w:r>
          </w:p>
        </w:tc>
        <w:tc>
          <w:tcPr>
            <w:tcW w:w="0" w:type="auto"/>
            <w:vAlign w:val="center"/>
          </w:tcPr>
          <w:p w:rsidR="00B366C6" w:rsidRDefault="004F335C">
            <w:pPr>
              <w:jc w:val="center"/>
            </w:pPr>
            <w:r>
              <w:rPr>
                <w:color w:val="000000"/>
                <w:sz w:val="24"/>
              </w:rPr>
              <w:t>香港证券交易所</w:t>
            </w:r>
          </w:p>
        </w:tc>
        <w:tc>
          <w:tcPr>
            <w:tcW w:w="0" w:type="auto"/>
            <w:vAlign w:val="center"/>
          </w:tcPr>
          <w:p w:rsidR="00B366C6" w:rsidRDefault="004F335C">
            <w:pPr>
              <w:jc w:val="center"/>
            </w:pPr>
            <w:r>
              <w:rPr>
                <w:color w:val="000000"/>
                <w:sz w:val="24"/>
              </w:rPr>
              <w:t>香港</w:t>
            </w:r>
          </w:p>
        </w:tc>
        <w:tc>
          <w:tcPr>
            <w:tcW w:w="0" w:type="auto"/>
            <w:vAlign w:val="center"/>
          </w:tcPr>
          <w:p w:rsidR="00B366C6" w:rsidRDefault="004F335C">
            <w:pPr>
              <w:jc w:val="right"/>
            </w:pPr>
            <w:r>
              <w:rPr>
                <w:color w:val="000000"/>
                <w:sz w:val="24"/>
              </w:rPr>
              <w:t>3,992,000</w:t>
            </w:r>
          </w:p>
        </w:tc>
        <w:tc>
          <w:tcPr>
            <w:tcW w:w="0" w:type="auto"/>
            <w:vAlign w:val="center"/>
          </w:tcPr>
          <w:p w:rsidR="00B366C6" w:rsidRDefault="004F335C">
            <w:pPr>
              <w:jc w:val="right"/>
            </w:pPr>
            <w:r>
              <w:rPr>
                <w:color w:val="000000"/>
                <w:sz w:val="24"/>
              </w:rPr>
              <w:t>66,227,248.03</w:t>
            </w:r>
          </w:p>
        </w:tc>
        <w:tc>
          <w:tcPr>
            <w:tcW w:w="0" w:type="auto"/>
            <w:vAlign w:val="center"/>
          </w:tcPr>
          <w:p w:rsidR="00B366C6" w:rsidRDefault="004F335C">
            <w:pPr>
              <w:jc w:val="right"/>
            </w:pPr>
            <w:r>
              <w:rPr>
                <w:color w:val="000000"/>
                <w:sz w:val="24"/>
              </w:rPr>
              <w:t>3.82</w:t>
            </w:r>
          </w:p>
        </w:tc>
      </w:tr>
      <w:tr w:rsidR="00B366C6">
        <w:tc>
          <w:tcPr>
            <w:tcW w:w="0" w:type="auto"/>
            <w:vAlign w:val="center"/>
          </w:tcPr>
          <w:p w:rsidR="00B366C6" w:rsidRDefault="004F335C">
            <w:pPr>
              <w:jc w:val="center"/>
            </w:pPr>
            <w:r>
              <w:rPr>
                <w:color w:val="000000"/>
                <w:sz w:val="24"/>
              </w:rPr>
              <w:t>10</w:t>
            </w:r>
          </w:p>
        </w:tc>
        <w:tc>
          <w:tcPr>
            <w:tcW w:w="0" w:type="auto"/>
            <w:vAlign w:val="center"/>
          </w:tcPr>
          <w:p w:rsidR="00B366C6" w:rsidRDefault="004F335C">
            <w:pPr>
              <w:jc w:val="center"/>
            </w:pPr>
            <w:r>
              <w:rPr>
                <w:color w:val="000000"/>
                <w:sz w:val="24"/>
              </w:rPr>
              <w:t>TAL Education Group</w:t>
            </w:r>
          </w:p>
        </w:tc>
        <w:tc>
          <w:tcPr>
            <w:tcW w:w="0" w:type="auto"/>
            <w:vAlign w:val="center"/>
          </w:tcPr>
          <w:p w:rsidR="00B366C6" w:rsidRDefault="004F335C">
            <w:pPr>
              <w:jc w:val="center"/>
            </w:pPr>
            <w:r>
              <w:rPr>
                <w:color w:val="000000"/>
                <w:sz w:val="24"/>
              </w:rPr>
              <w:t>好未来教育集团</w:t>
            </w:r>
          </w:p>
        </w:tc>
        <w:tc>
          <w:tcPr>
            <w:tcW w:w="0" w:type="auto"/>
            <w:vAlign w:val="center"/>
          </w:tcPr>
          <w:p w:rsidR="00B366C6" w:rsidRDefault="004F335C">
            <w:pPr>
              <w:jc w:val="center"/>
            </w:pPr>
            <w:r>
              <w:rPr>
                <w:color w:val="000000"/>
                <w:sz w:val="24"/>
              </w:rPr>
              <w:t>TAL US</w:t>
            </w:r>
          </w:p>
        </w:tc>
        <w:tc>
          <w:tcPr>
            <w:tcW w:w="0" w:type="auto"/>
            <w:vAlign w:val="center"/>
          </w:tcPr>
          <w:p w:rsidR="00B366C6" w:rsidRDefault="004F335C">
            <w:pPr>
              <w:jc w:val="center"/>
            </w:pPr>
            <w:r>
              <w:rPr>
                <w:color w:val="000000"/>
                <w:sz w:val="24"/>
              </w:rPr>
              <w:t>美国证券交易所</w:t>
            </w:r>
          </w:p>
        </w:tc>
        <w:tc>
          <w:tcPr>
            <w:tcW w:w="0" w:type="auto"/>
            <w:vAlign w:val="center"/>
          </w:tcPr>
          <w:p w:rsidR="00B366C6" w:rsidRDefault="004F335C">
            <w:pPr>
              <w:jc w:val="center"/>
            </w:pPr>
            <w:r>
              <w:rPr>
                <w:color w:val="000000"/>
                <w:sz w:val="24"/>
              </w:rPr>
              <w:t>美国</w:t>
            </w:r>
          </w:p>
        </w:tc>
        <w:tc>
          <w:tcPr>
            <w:tcW w:w="0" w:type="auto"/>
            <w:vAlign w:val="center"/>
          </w:tcPr>
          <w:p w:rsidR="00B366C6" w:rsidRDefault="004F335C">
            <w:pPr>
              <w:jc w:val="right"/>
            </w:pPr>
            <w:r>
              <w:rPr>
                <w:color w:val="000000"/>
                <w:sz w:val="24"/>
              </w:rPr>
              <w:t>127,673</w:t>
            </w:r>
          </w:p>
        </w:tc>
        <w:tc>
          <w:tcPr>
            <w:tcW w:w="0" w:type="auto"/>
            <w:vAlign w:val="center"/>
          </w:tcPr>
          <w:p w:rsidR="00B366C6" w:rsidRDefault="004F335C">
            <w:pPr>
              <w:jc w:val="right"/>
            </w:pPr>
            <w:r>
              <w:rPr>
                <w:color w:val="000000"/>
                <w:sz w:val="24"/>
              </w:rPr>
              <w:t>66,114,186.83</w:t>
            </w:r>
          </w:p>
        </w:tc>
        <w:tc>
          <w:tcPr>
            <w:tcW w:w="0" w:type="auto"/>
            <w:vAlign w:val="center"/>
          </w:tcPr>
          <w:p w:rsidR="00B366C6" w:rsidRDefault="004F335C">
            <w:pPr>
              <w:jc w:val="right"/>
            </w:pPr>
            <w:r>
              <w:rPr>
                <w:color w:val="000000"/>
                <w:sz w:val="24"/>
              </w:rPr>
              <w:t>3.81</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32376C">
        <w:rPr>
          <w:b/>
          <w:color w:val="000000"/>
          <w:sz w:val="24"/>
        </w:rPr>
        <w:t>5.10.1</w:t>
      </w:r>
      <w:r w:rsidR="00521EDE" w:rsidRPr="008640AE">
        <w:rPr>
          <w:color w:val="000000"/>
          <w:sz w:val="24"/>
        </w:rPr>
        <w:t>报告期内本基金投资的前十名证券的发行主体除京东（证券代码：</w:t>
      </w:r>
      <w:r w:rsidR="00521EDE" w:rsidRPr="008640AE">
        <w:rPr>
          <w:color w:val="000000"/>
          <w:sz w:val="24"/>
        </w:rPr>
        <w:t>JD</w:t>
      </w:r>
      <w:r w:rsidR="00521EDE" w:rsidRPr="008640AE">
        <w:rPr>
          <w:color w:val="000000"/>
          <w:sz w:val="24"/>
        </w:rPr>
        <w:t>）外，未出现被监管部门立案调查，或在报告编制日前一年内受到公开谴责、处罚的情形。</w:t>
      </w:r>
    </w:p>
    <w:p w:rsidR="00B366C6" w:rsidRDefault="004F335C">
      <w:pPr>
        <w:spacing w:before="29" w:line="288" w:lineRule="auto"/>
        <w:rPr>
          <w:color w:val="000000"/>
          <w:sz w:val="24"/>
        </w:rPr>
      </w:pPr>
      <w:r>
        <w:rPr>
          <w:color w:val="000000"/>
          <w:sz w:val="24"/>
        </w:rPr>
        <w:t>报告期内本基金投资的前十名证券之一京东（证券代码：</w:t>
      </w:r>
      <w:r>
        <w:rPr>
          <w:color w:val="000000"/>
          <w:sz w:val="24"/>
        </w:rPr>
        <w:t>JD</w:t>
      </w:r>
      <w:r>
        <w:rPr>
          <w:color w:val="000000"/>
          <w:sz w:val="24"/>
        </w:rPr>
        <w:t>）于</w:t>
      </w:r>
      <w:r>
        <w:rPr>
          <w:color w:val="000000"/>
          <w:sz w:val="24"/>
        </w:rPr>
        <w:t>2020</w:t>
      </w:r>
      <w:r>
        <w:rPr>
          <w:color w:val="000000"/>
          <w:sz w:val="24"/>
        </w:rPr>
        <w:t>年</w:t>
      </w:r>
      <w:r>
        <w:rPr>
          <w:color w:val="000000"/>
          <w:sz w:val="24"/>
        </w:rPr>
        <w:t>5</w:t>
      </w:r>
      <w:r>
        <w:rPr>
          <w:color w:val="000000"/>
          <w:sz w:val="24"/>
        </w:rPr>
        <w:t>月</w:t>
      </w:r>
      <w:r>
        <w:rPr>
          <w:color w:val="000000"/>
          <w:sz w:val="24"/>
        </w:rPr>
        <w:t>27</w:t>
      </w:r>
      <w:r>
        <w:rPr>
          <w:color w:val="000000"/>
          <w:sz w:val="24"/>
        </w:rPr>
        <w:t>日披露，根据北京市市场监督管理局开出的京市监价处罚〔</w:t>
      </w:r>
      <w:r>
        <w:rPr>
          <w:color w:val="000000"/>
          <w:sz w:val="24"/>
        </w:rPr>
        <w:t>2020</w:t>
      </w:r>
      <w:r>
        <w:rPr>
          <w:color w:val="000000"/>
          <w:sz w:val="24"/>
        </w:rPr>
        <w:t>〕</w:t>
      </w:r>
      <w:r>
        <w:rPr>
          <w:color w:val="000000"/>
          <w:sz w:val="24"/>
        </w:rPr>
        <w:t>5</w:t>
      </w:r>
      <w:r>
        <w:rPr>
          <w:color w:val="000000"/>
          <w:sz w:val="24"/>
        </w:rPr>
        <w:t>号决定书，京东因为存在</w:t>
      </w:r>
      <w:r>
        <w:rPr>
          <w:color w:val="000000"/>
          <w:sz w:val="24"/>
        </w:rPr>
        <w:t>“</w:t>
      </w:r>
      <w:r>
        <w:rPr>
          <w:color w:val="000000"/>
          <w:sz w:val="24"/>
        </w:rPr>
        <w:t>利用虚假的或者使人误解的价格手段，诱骗消费者或者其他经营者与其进行交易</w:t>
      </w:r>
      <w:r>
        <w:rPr>
          <w:color w:val="000000"/>
          <w:sz w:val="24"/>
        </w:rPr>
        <w:t>”</w:t>
      </w:r>
      <w:r>
        <w:rPr>
          <w:color w:val="000000"/>
          <w:sz w:val="24"/>
        </w:rPr>
        <w:t>的价格违法行为，被警告以及作出</w:t>
      </w:r>
      <w:r>
        <w:rPr>
          <w:color w:val="000000"/>
          <w:sz w:val="24"/>
        </w:rPr>
        <w:t>50</w:t>
      </w:r>
      <w:r>
        <w:rPr>
          <w:color w:val="000000"/>
          <w:sz w:val="24"/>
        </w:rPr>
        <w:t>万元罚款的行政处罚。</w:t>
      </w:r>
    </w:p>
    <w:p w:rsidR="00B366C6" w:rsidRDefault="004F335C">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32376C">
        <w:rPr>
          <w:b/>
          <w:color w:val="000000"/>
          <w:sz w:val="24"/>
        </w:rPr>
        <w:t>5.10.2</w:t>
      </w:r>
      <w:r w:rsidR="00521EDE" w:rsidRPr="008640AE">
        <w:rPr>
          <w:color w:val="000000"/>
          <w:sz w:val="24"/>
        </w:rPr>
        <w:t>本基金投资的前十名股票中，没有超出基金合同规定的备选股票库之外的股票。</w:t>
      </w:r>
    </w:p>
    <w:p w:rsidR="0076518F"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2376C">
          <w:rPr>
            <w:b/>
            <w:color w:val="000000"/>
            <w:kern w:val="0"/>
            <w:sz w:val="24"/>
          </w:rPr>
          <w:t>5.10.3</w:t>
        </w:r>
      </w:smartTag>
      <w:r w:rsidRPr="00CA431C">
        <w:rPr>
          <w:b/>
          <w:color w:val="000000"/>
          <w:kern w:val="0"/>
          <w:sz w:val="24"/>
        </w:rPr>
        <w:t>其他资产构成</w:t>
      </w:r>
    </w:p>
    <w:p w:rsidR="00552C71" w:rsidRPr="008640AE" w:rsidRDefault="00552C71" w:rsidP="00552C71">
      <w:pPr>
        <w:autoSpaceDE w:val="0"/>
        <w:autoSpaceDN w:val="0"/>
        <w:adjustRightInd w:val="0"/>
        <w:spacing w:before="29" w:line="288" w:lineRule="auto"/>
        <w:jc w:val="right"/>
        <w:rPr>
          <w:color w:val="000000"/>
          <w:kern w:val="0"/>
          <w:sz w:val="24"/>
        </w:rPr>
      </w:pPr>
      <w:r w:rsidRPr="00552C71">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30,842,708.60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8,047.38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6,369,694.07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37,220,450.05</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32376C">
        <w:rPr>
          <w:b/>
          <w:color w:val="000000"/>
          <w:kern w:val="0"/>
          <w:sz w:val="24"/>
        </w:rPr>
        <w:t>5.10.4</w:t>
      </w:r>
      <w:r w:rsidRPr="00CA431C">
        <w:rPr>
          <w:b/>
          <w:color w:val="000000"/>
          <w:kern w:val="0"/>
          <w:sz w:val="24"/>
        </w:rPr>
        <w:t>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2376C">
          <w:rPr>
            <w:b/>
            <w:color w:val="000000"/>
            <w:kern w:val="0"/>
            <w:sz w:val="24"/>
          </w:rPr>
          <w:t>5.10.5</w:t>
        </w:r>
      </w:smartTag>
      <w:r w:rsidRPr="00CA431C">
        <w:rPr>
          <w:b/>
          <w:color w:val="000000"/>
          <w:kern w:val="0"/>
          <w:sz w:val="24"/>
        </w:rPr>
        <w:t>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2376C">
          <w:rPr>
            <w:b/>
            <w:color w:val="000000"/>
            <w:kern w:val="0"/>
            <w:sz w:val="24"/>
          </w:rPr>
          <w:t>5.</w:t>
        </w:r>
        <w:r w:rsidRPr="0032376C">
          <w:rPr>
            <w:rFonts w:hint="eastAsia"/>
            <w:b/>
            <w:color w:val="000000"/>
            <w:kern w:val="0"/>
            <w:sz w:val="24"/>
          </w:rPr>
          <w:t>10</w:t>
        </w:r>
        <w:r w:rsidRPr="0032376C">
          <w:rPr>
            <w:b/>
            <w:color w:val="000000"/>
            <w:kern w:val="0"/>
            <w:sz w:val="24"/>
          </w:rPr>
          <w:t>.5</w:t>
        </w:r>
      </w:smartTag>
      <w:r w:rsidRPr="0032376C">
        <w:rPr>
          <w:b/>
          <w:color w:val="000000"/>
          <w:kern w:val="0"/>
          <w:sz w:val="24"/>
        </w:rPr>
        <w:t>.</w:t>
      </w:r>
      <w:r w:rsidRPr="0032376C">
        <w:rPr>
          <w:rFonts w:hint="eastAsia"/>
          <w:b/>
          <w:color w:val="000000"/>
          <w:kern w:val="0"/>
          <w:sz w:val="24"/>
        </w:rPr>
        <w:t>1</w:t>
      </w:r>
      <w:r w:rsidRPr="004C1FC8">
        <w:rPr>
          <w:rFonts w:hint="eastAsia"/>
          <w:color w:val="000000"/>
          <w:kern w:val="0"/>
          <w:sz w:val="24"/>
        </w:rPr>
        <w:t xml:space="preserve"> </w:t>
      </w:r>
      <w:r w:rsidRPr="00CA431C">
        <w:rPr>
          <w:rFonts w:hint="eastAsia"/>
          <w:b/>
          <w:color w:val="000000"/>
          <w:kern w:val="0"/>
          <w:sz w:val="24"/>
        </w:rPr>
        <w:t>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2376C">
          <w:rPr>
            <w:b/>
            <w:color w:val="000000"/>
            <w:kern w:val="0"/>
            <w:sz w:val="24"/>
          </w:rPr>
          <w:t>5.</w:t>
        </w:r>
        <w:r w:rsidRPr="0032376C">
          <w:rPr>
            <w:rFonts w:hint="eastAsia"/>
            <w:b/>
            <w:color w:val="000000"/>
            <w:kern w:val="0"/>
            <w:sz w:val="24"/>
          </w:rPr>
          <w:t>10</w:t>
        </w:r>
        <w:r w:rsidRPr="0032376C">
          <w:rPr>
            <w:b/>
            <w:color w:val="000000"/>
            <w:kern w:val="0"/>
            <w:sz w:val="24"/>
          </w:rPr>
          <w:t>.5</w:t>
        </w:r>
      </w:smartTag>
      <w:r w:rsidRPr="0032376C">
        <w:rPr>
          <w:b/>
          <w:color w:val="000000"/>
          <w:kern w:val="0"/>
          <w:sz w:val="24"/>
        </w:rPr>
        <w:t>.</w:t>
      </w:r>
      <w:r w:rsidRPr="0032376C">
        <w:rPr>
          <w:rFonts w:hint="eastAsia"/>
          <w:b/>
          <w:color w:val="000000"/>
          <w:kern w:val="0"/>
          <w:sz w:val="24"/>
        </w:rPr>
        <w:t>2</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D77D2B" w:rsidRDefault="0076518F" w:rsidP="005546C0">
      <w:pPr>
        <w:autoSpaceDE w:val="0"/>
        <w:autoSpaceDN w:val="0"/>
        <w:adjustRightInd w:val="0"/>
        <w:spacing w:before="29" w:line="288" w:lineRule="auto"/>
        <w:jc w:val="left"/>
        <w:rPr>
          <w:b/>
          <w:color w:val="000000"/>
          <w:kern w:val="0"/>
          <w:sz w:val="24"/>
        </w:rPr>
      </w:pPr>
      <w:r w:rsidRPr="00D77D2B">
        <w:rPr>
          <w:b/>
          <w:color w:val="000000"/>
          <w:kern w:val="0"/>
          <w:sz w:val="24"/>
        </w:rPr>
        <w:t>5.10.6</w:t>
      </w:r>
      <w:r w:rsidR="001C46E1" w:rsidRPr="00D77D2B">
        <w:rPr>
          <w:b/>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1,121,146,096.48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284,679,321.90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450,625,148.92</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955,200,269.46</w:t>
            </w:r>
          </w:p>
        </w:tc>
      </w:tr>
    </w:tbl>
    <w:p w:rsidR="00B366C6" w:rsidRDefault="004F335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DB376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B366C6" w:rsidRDefault="004F335C">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B366C6" w:rsidRDefault="004F335C">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B366C6" w:rsidRDefault="004F335C">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B366C6" w:rsidRDefault="004F335C">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B366C6" w:rsidRDefault="004F335C">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B366C6" w:rsidRDefault="004F335C">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B366C6" w:rsidRDefault="004F335C">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B366C6" w:rsidRDefault="004F335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5"/>
      <w:footerReference w:type="even" r:id="rId16"/>
      <w:headerReference w:type="first" r:id="rId17"/>
      <w:footerReference w:type="first" r:id="rId1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35C" w:rsidRDefault="004F335C">
      <w:r>
        <w:separator/>
      </w:r>
    </w:p>
  </w:endnote>
  <w:endnote w:type="continuationSeparator" w:id="0">
    <w:p w:rsidR="004F335C" w:rsidRDefault="004F3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8060F5">
      <w:rPr>
        <w:kern w:val="0"/>
        <w:szCs w:val="21"/>
      </w:rPr>
      <w:fldChar w:fldCharType="begin"/>
    </w:r>
    <w:r>
      <w:rPr>
        <w:kern w:val="0"/>
        <w:szCs w:val="21"/>
      </w:rPr>
      <w:instrText xml:space="preserve"> PAGE </w:instrText>
    </w:r>
    <w:r w:rsidR="008060F5">
      <w:rPr>
        <w:kern w:val="0"/>
        <w:szCs w:val="21"/>
      </w:rPr>
      <w:fldChar w:fldCharType="separate"/>
    </w:r>
    <w:r w:rsidR="00746C07">
      <w:rPr>
        <w:noProof/>
        <w:kern w:val="0"/>
        <w:szCs w:val="21"/>
      </w:rPr>
      <w:t>3</w:t>
    </w:r>
    <w:r w:rsidR="008060F5">
      <w:rPr>
        <w:kern w:val="0"/>
        <w:szCs w:val="21"/>
      </w:rPr>
      <w:fldChar w:fldCharType="end"/>
    </w:r>
    <w:r>
      <w:rPr>
        <w:rFonts w:hint="eastAsia"/>
        <w:kern w:val="0"/>
        <w:szCs w:val="21"/>
      </w:rPr>
      <w:t>页共</w:t>
    </w:r>
    <w:r w:rsidR="008060F5">
      <w:rPr>
        <w:kern w:val="0"/>
        <w:szCs w:val="21"/>
      </w:rPr>
      <w:fldChar w:fldCharType="begin"/>
    </w:r>
    <w:r>
      <w:rPr>
        <w:kern w:val="0"/>
        <w:szCs w:val="21"/>
      </w:rPr>
      <w:instrText xml:space="preserve"> NUMPAGES </w:instrText>
    </w:r>
    <w:r w:rsidR="008060F5">
      <w:rPr>
        <w:kern w:val="0"/>
        <w:szCs w:val="21"/>
      </w:rPr>
      <w:fldChar w:fldCharType="separate"/>
    </w:r>
    <w:r w:rsidR="00746C07">
      <w:rPr>
        <w:noProof/>
        <w:kern w:val="0"/>
        <w:szCs w:val="21"/>
      </w:rPr>
      <w:t>14</w:t>
    </w:r>
    <w:r w:rsidR="008060F5">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8060F5">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35C" w:rsidRDefault="004F335C">
      <w:r>
        <w:separator/>
      </w:r>
    </w:p>
  </w:footnote>
  <w:footnote w:type="continuationSeparator" w:id="0">
    <w:p w:rsidR="004F335C" w:rsidRDefault="004F3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F078BA" w:rsidRDefault="00F078BA" w:rsidP="00F078BA">
    <w:pPr>
      <w:pStyle w:val="a9"/>
      <w:pBdr>
        <w:bottom w:val="single" w:sz="6" w:space="0" w:color="auto"/>
      </w:pBdr>
      <w:ind w:firstLine="480"/>
      <w:jc w:val="right"/>
      <w:rPr>
        <w:sz w:val="24"/>
        <w:szCs w:val="24"/>
      </w:rPr>
    </w:pPr>
    <w:r w:rsidRPr="003E676C">
      <w:rPr>
        <w:sz w:val="24"/>
        <w:szCs w:val="24"/>
      </w:rPr>
      <w:t>交银施罗德中证海外中国互联网指数型证券投资基金</w:t>
    </w:r>
    <w:r w:rsidRPr="003E676C">
      <w:rPr>
        <w:sz w:val="24"/>
        <w:szCs w:val="24"/>
      </w:rPr>
      <w:t>(LOF)2020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8BA" w:rsidRDefault="00F078BA">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3CEB"/>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3D24"/>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1F7F11"/>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3BAB"/>
    <w:rsid w:val="00245012"/>
    <w:rsid w:val="0024504E"/>
    <w:rsid w:val="0024651F"/>
    <w:rsid w:val="0025065B"/>
    <w:rsid w:val="0025158D"/>
    <w:rsid w:val="0025281A"/>
    <w:rsid w:val="002537A4"/>
    <w:rsid w:val="00253D3C"/>
    <w:rsid w:val="00254F37"/>
    <w:rsid w:val="00255292"/>
    <w:rsid w:val="00256097"/>
    <w:rsid w:val="00260200"/>
    <w:rsid w:val="00261DB3"/>
    <w:rsid w:val="00263E09"/>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0B58"/>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B70FF"/>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76C"/>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6526F"/>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45C8"/>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414A"/>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335C"/>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2C71"/>
    <w:rsid w:val="005546C0"/>
    <w:rsid w:val="0055513C"/>
    <w:rsid w:val="005571C9"/>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0D4F"/>
    <w:rsid w:val="005C5409"/>
    <w:rsid w:val="005C619D"/>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31C1"/>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595F"/>
    <w:rsid w:val="00726CFF"/>
    <w:rsid w:val="0072708F"/>
    <w:rsid w:val="00730500"/>
    <w:rsid w:val="00732D1D"/>
    <w:rsid w:val="00733C8D"/>
    <w:rsid w:val="00735D08"/>
    <w:rsid w:val="00736034"/>
    <w:rsid w:val="00736479"/>
    <w:rsid w:val="0073681C"/>
    <w:rsid w:val="00741EBE"/>
    <w:rsid w:val="00746130"/>
    <w:rsid w:val="00746A40"/>
    <w:rsid w:val="00746C07"/>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7F7FBA"/>
    <w:rsid w:val="008003A1"/>
    <w:rsid w:val="008006B7"/>
    <w:rsid w:val="00800FDB"/>
    <w:rsid w:val="00802081"/>
    <w:rsid w:val="008060F5"/>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A8"/>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021"/>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3122"/>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3A1C"/>
    <w:rsid w:val="009D4991"/>
    <w:rsid w:val="009D5BB5"/>
    <w:rsid w:val="009D696D"/>
    <w:rsid w:val="009D6DAB"/>
    <w:rsid w:val="009D6ED2"/>
    <w:rsid w:val="009D7D27"/>
    <w:rsid w:val="009E0F1A"/>
    <w:rsid w:val="009E140D"/>
    <w:rsid w:val="009E1E55"/>
    <w:rsid w:val="009E4465"/>
    <w:rsid w:val="009E6401"/>
    <w:rsid w:val="009E6C54"/>
    <w:rsid w:val="009E6D44"/>
    <w:rsid w:val="009E7EF6"/>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5ADB"/>
    <w:rsid w:val="00A27804"/>
    <w:rsid w:val="00A31920"/>
    <w:rsid w:val="00A32FDA"/>
    <w:rsid w:val="00A36AB5"/>
    <w:rsid w:val="00A37252"/>
    <w:rsid w:val="00A37DDA"/>
    <w:rsid w:val="00A411D1"/>
    <w:rsid w:val="00A41566"/>
    <w:rsid w:val="00A43389"/>
    <w:rsid w:val="00A43C40"/>
    <w:rsid w:val="00A43E71"/>
    <w:rsid w:val="00A45753"/>
    <w:rsid w:val="00A4743E"/>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872B1"/>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6C6"/>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2856"/>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57D9E"/>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05B0"/>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77D2B"/>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6A"/>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078BA"/>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1592596E-30D3-49A7-B49A-FFE6949C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25475714">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cid:image001.png@01D6AC66.DB72E4F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136</TotalTime>
  <Pages>14</Pages>
  <Words>1181</Words>
  <Characters>6732</Characters>
  <Application>Microsoft Office Word</Application>
  <DocSecurity>0</DocSecurity>
  <Lines>56</Lines>
  <Paragraphs>15</Paragraphs>
  <ScaleCrop>false</ScaleCrop>
  <Company>TRT. Ltd. Co.</Company>
  <LinksUpToDate>false</LinksUpToDate>
  <CharactersWithSpaces>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322</cp:revision>
  <cp:lastPrinted>2007-07-19T00:46:00Z</cp:lastPrinted>
  <dcterms:created xsi:type="dcterms:W3CDTF">2013-08-01T05:26:00Z</dcterms:created>
  <dcterms:modified xsi:type="dcterms:W3CDTF">2020-10-27T06:20:00Z</dcterms:modified>
</cp:coreProperties>
</file>